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5C2A" w14:textId="46BF0B47" w:rsidR="000B0F98" w:rsidRPr="00D00A49" w:rsidRDefault="00D00A49" w:rsidP="00906EBE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D00A49">
        <w:rPr>
          <w:b/>
          <w:bCs/>
          <w:u w:val="single"/>
        </w:rPr>
        <w:t>Je vnútroštátny predpis o hygiene cukroviniek v súlade s právom EU?</w:t>
      </w:r>
    </w:p>
    <w:p w14:paraId="2A208540" w14:textId="77777777" w:rsidR="00D00A49" w:rsidRDefault="00D00A49" w:rsidP="00906EBE">
      <w:pPr>
        <w:pStyle w:val="Odsekzoznamu"/>
        <w:jc w:val="both"/>
      </w:pPr>
    </w:p>
    <w:p w14:paraId="1D83CE7C" w14:textId="2E1E0384" w:rsidR="00007492" w:rsidRDefault="00007492" w:rsidP="00007492">
      <w:pPr>
        <w:pStyle w:val="Odsekzoznamu"/>
        <w:jc w:val="both"/>
      </w:pPr>
      <w:r w:rsidRPr="00007492">
        <w:t>Článok 34</w:t>
      </w:r>
      <w:r>
        <w:t xml:space="preserve"> ZFEU</w:t>
      </w:r>
      <w:r w:rsidRPr="00007492">
        <w:t xml:space="preserve"> hovorí, že všetky množstvové obmedzenia dovozu, ako aj opatrenia s rovnakým účinkom sú medzi členskými štátmi zakázané. </w:t>
      </w:r>
      <w:r w:rsidRPr="00007492">
        <w:rPr>
          <w:b/>
          <w:bCs/>
          <w:u w:val="single"/>
        </w:rPr>
        <w:t>Kvantitatívne prekážky môžu byť na rozdiel od fiškálnych prekážok prelomené výnimkami</w:t>
      </w:r>
      <w:r w:rsidRPr="00007492">
        <w:t xml:space="preserve">. Ich výpočet je taxatívne stanovený v článku 36 ZFEÚ, ktorý zahŕňa jednotlivé opodstatnenie obmedzenia vývozu alebo dovozu dôvodov verejnej morálky, verejným poriadkom, verejnej bezpečnosti, </w:t>
      </w:r>
      <w:r w:rsidRPr="00007492">
        <w:rPr>
          <w:b/>
          <w:bCs/>
          <w:u w:val="single"/>
        </w:rPr>
        <w:t>ochrany zdravia a života ľudí</w:t>
      </w:r>
      <w:r w:rsidRPr="00007492">
        <w:t>, zvierat a</w:t>
      </w:r>
      <w:r>
        <w:t> </w:t>
      </w:r>
      <w:r w:rsidRPr="00007492">
        <w:t>rastlín</w:t>
      </w:r>
      <w:r>
        <w:t>...</w:t>
      </w:r>
    </w:p>
    <w:p w14:paraId="24B471A8" w14:textId="77777777" w:rsidR="00007492" w:rsidRDefault="00007492" w:rsidP="00906EBE">
      <w:pPr>
        <w:pStyle w:val="Odsekzoznamu"/>
        <w:jc w:val="both"/>
      </w:pPr>
    </w:p>
    <w:p w14:paraId="4290FBD5" w14:textId="4FC3C6F4" w:rsidR="003C2BF1" w:rsidRDefault="003C2BF1" w:rsidP="00906EBE">
      <w:pPr>
        <w:pStyle w:val="Odsekzoznamu"/>
        <w:jc w:val="both"/>
      </w:pPr>
      <w:r>
        <w:t xml:space="preserve">Predpis o zákaze predaja nebalených žuvačiek v automatoch je </w:t>
      </w:r>
      <w:r w:rsidRPr="003C2BF1">
        <w:rPr>
          <w:b/>
          <w:bCs/>
          <w:u w:val="single"/>
        </w:rPr>
        <w:t>primeraný</w:t>
      </w:r>
      <w:r>
        <w:t xml:space="preserve">, s odôvodnením ochrany </w:t>
      </w:r>
      <w:r w:rsidRPr="003C2BF1">
        <w:rPr>
          <w:b/>
          <w:bCs/>
          <w:u w:val="single"/>
        </w:rPr>
        <w:t>verejného zdravia</w:t>
      </w:r>
      <w:r>
        <w:t>. Pri tomto tovare nie je zaručená hygiena a tovar tiež nie je dostatočne chránený. Ustanovenia článkov 28 a 30 ES a článok 7 smernice 93/43 o hygiene potravín (</w:t>
      </w:r>
      <w:r w:rsidRPr="00DF6EDC">
        <w:rPr>
          <w:i/>
          <w:iCs/>
        </w:rPr>
        <w:t>Podľa zmluvy môžu členské štáty ponechať, upraviť alebo</w:t>
      </w:r>
      <w:r w:rsidRPr="00DF6EDC">
        <w:rPr>
          <w:i/>
          <w:iCs/>
        </w:rPr>
        <w:t xml:space="preserve"> </w:t>
      </w:r>
      <w:r w:rsidRPr="00DF6EDC">
        <w:rPr>
          <w:i/>
          <w:iCs/>
        </w:rPr>
        <w:t>zaviesť štátne hygienické pravidlá, ktoré sú detailnejšie ako sú</w:t>
      </w:r>
      <w:r w:rsidRPr="00DF6EDC">
        <w:rPr>
          <w:i/>
          <w:iCs/>
        </w:rPr>
        <w:t xml:space="preserve"> </w:t>
      </w:r>
      <w:r w:rsidRPr="00DF6EDC">
        <w:rPr>
          <w:i/>
          <w:iCs/>
        </w:rPr>
        <w:t>ustanovenia tejto smernice</w:t>
      </w:r>
      <w:r w:rsidR="00DF6EDC" w:rsidRPr="00DF6EDC">
        <w:rPr>
          <w:i/>
          <w:iCs/>
        </w:rPr>
        <w:t>..</w:t>
      </w:r>
      <w:r w:rsidR="00DF6EDC">
        <w:t>.</w:t>
      </w:r>
      <w:r>
        <w:t>)</w:t>
      </w:r>
    </w:p>
    <w:p w14:paraId="0FAA0864" w14:textId="3F83BEEC" w:rsidR="003C2BF1" w:rsidRDefault="003C2BF1" w:rsidP="00906EBE">
      <w:pPr>
        <w:pStyle w:val="Odsekzoznamu"/>
        <w:jc w:val="both"/>
      </w:pPr>
      <w:r w:rsidRPr="003C2BF1">
        <w:rPr>
          <w:b/>
          <w:bCs/>
          <w:u w:val="single"/>
        </w:rPr>
        <w:t>nebráni tomuto ustanoveniu</w:t>
      </w:r>
      <w:r>
        <w:t xml:space="preserve">, predstavuje opatrenie s rovnocenným účinkom s článkom 28 ES, a môže byť odôvodnené na základe článku 30 ES z dôvodov ochrany verejného zdravia z dôvodu ochrany verejného zdravia a toto opatrenie je </w:t>
      </w:r>
      <w:r w:rsidRPr="003C2BF1">
        <w:rPr>
          <w:b/>
          <w:bCs/>
          <w:u w:val="single"/>
        </w:rPr>
        <w:t>vhodné a primerané pre dosiahnutie cieľa</w:t>
      </w:r>
      <w:r>
        <w:t>.</w:t>
      </w:r>
    </w:p>
    <w:p w14:paraId="3C404A9D" w14:textId="77777777" w:rsidR="00DF6EDC" w:rsidRDefault="00DF6EDC" w:rsidP="00906EBE">
      <w:pPr>
        <w:pStyle w:val="Odsekzoznamu"/>
        <w:jc w:val="both"/>
      </w:pPr>
    </w:p>
    <w:p w14:paraId="15D99380" w14:textId="371A84A0" w:rsidR="00D00A49" w:rsidRDefault="00DF6EDC" w:rsidP="00906EBE">
      <w:pPr>
        <w:pStyle w:val="Odsekzoznamu"/>
        <w:jc w:val="both"/>
      </w:pPr>
      <w:r>
        <w:t xml:space="preserve">(ako vo veci </w:t>
      </w:r>
      <w:r w:rsidRPr="00DF6EDC">
        <w:t>Georg Schwarz</w:t>
      </w:r>
      <w:r w:rsidRPr="00DF6EDC">
        <w:t>)</w:t>
      </w:r>
    </w:p>
    <w:p w14:paraId="0F5EB649" w14:textId="77777777" w:rsidR="00DF6EDC" w:rsidRDefault="00DF6EDC" w:rsidP="00906EBE">
      <w:pPr>
        <w:pStyle w:val="Odsekzoznamu"/>
        <w:jc w:val="both"/>
      </w:pPr>
    </w:p>
    <w:p w14:paraId="11177CDC" w14:textId="74D619EC" w:rsidR="00007492" w:rsidRDefault="00D00A49" w:rsidP="00007492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D00A49">
        <w:rPr>
          <w:b/>
          <w:bCs/>
          <w:u w:val="single"/>
        </w:rPr>
        <w:t>Líšil by sa záver, keby automaty nemohli byť umiestnené na chodbách školských budov?</w:t>
      </w:r>
    </w:p>
    <w:p w14:paraId="54AD758F" w14:textId="77777777" w:rsidR="00007492" w:rsidRPr="00007492" w:rsidRDefault="00007492" w:rsidP="00007492">
      <w:pPr>
        <w:pStyle w:val="Odsekzoznamu"/>
        <w:jc w:val="both"/>
        <w:rPr>
          <w:b/>
          <w:bCs/>
          <w:u w:val="single"/>
        </w:rPr>
      </w:pPr>
    </w:p>
    <w:p w14:paraId="0F91345B" w14:textId="789BEE72" w:rsidR="00906EBE" w:rsidRDefault="00906EBE" w:rsidP="00906EBE">
      <w:pPr>
        <w:pStyle w:val="Odsekzoznamu"/>
        <w:jc w:val="both"/>
      </w:pPr>
      <w:r>
        <w:t>Článok 34</w:t>
      </w:r>
      <w:r w:rsidR="00007492">
        <w:t xml:space="preserve"> </w:t>
      </w:r>
      <w:r>
        <w:t>ZFEU</w:t>
      </w:r>
      <w:r>
        <w:t xml:space="preserve"> </w:t>
      </w:r>
      <w:r>
        <w:t xml:space="preserve">- </w:t>
      </w:r>
      <w:r w:rsidRPr="00906EBE">
        <w:rPr>
          <w:i/>
          <w:iCs/>
        </w:rPr>
        <w:t>m</w:t>
      </w:r>
      <w:r w:rsidRPr="00906EBE">
        <w:rPr>
          <w:i/>
          <w:iCs/>
        </w:rPr>
        <w:t>nožstevné obmedzenia dovozu a všetky opatrenia s rovnocenným účinkom sú medzi členskými štátmi zakázané</w:t>
      </w:r>
    </w:p>
    <w:p w14:paraId="59856392" w14:textId="77777777" w:rsidR="00906EBE" w:rsidRPr="00906EBE" w:rsidRDefault="00906EBE" w:rsidP="00906EBE">
      <w:pPr>
        <w:pStyle w:val="Odsekzoznamu"/>
        <w:jc w:val="both"/>
        <w:rPr>
          <w:lang w:val="pl-PL"/>
        </w:rPr>
      </w:pPr>
    </w:p>
    <w:p w14:paraId="70FEDC05" w14:textId="77777777" w:rsidR="000E75BC" w:rsidRDefault="00906EBE" w:rsidP="000E75BC">
      <w:pPr>
        <w:pStyle w:val="Odsekzoznamu"/>
        <w:jc w:val="both"/>
        <w:rPr>
          <w:lang w:val="pl-PL"/>
        </w:rPr>
      </w:pPr>
      <w:r>
        <w:rPr>
          <w:lang w:val="pl-PL"/>
        </w:rPr>
        <w:t xml:space="preserve">Súdny dvora ale judikoval, že </w:t>
      </w:r>
      <w:r w:rsidRPr="00906EBE">
        <w:rPr>
          <w:b/>
          <w:bCs/>
          <w:u w:val="single"/>
          <w:lang w:val="pl-PL"/>
        </w:rPr>
        <w:t>prekážkou nie je určenie spôsobu predaja</w:t>
      </w:r>
      <w:r>
        <w:rPr>
          <w:lang w:val="pl-PL"/>
        </w:rPr>
        <w:t>, a článok 34 ZFEU nie je prostriedok na napadnutie všetkých ustanovení, ktoré obmedzujú obchodnú slobodu.</w:t>
      </w:r>
    </w:p>
    <w:p w14:paraId="47F3AFE3" w14:textId="7A4D5FE8" w:rsidR="000E75BC" w:rsidRDefault="000E75BC" w:rsidP="00677D45">
      <w:pPr>
        <w:pStyle w:val="Odsekzoznamu"/>
        <w:jc w:val="both"/>
        <w:rPr>
          <w:lang w:val="pl-PL"/>
        </w:rPr>
      </w:pPr>
      <w:r>
        <w:rPr>
          <w:lang w:val="pl-PL"/>
        </w:rPr>
        <w:t xml:space="preserve">Táto podmienka predaja </w:t>
      </w:r>
      <w:r w:rsidRPr="000E75BC">
        <w:rPr>
          <w:b/>
          <w:bCs/>
          <w:u w:val="single"/>
          <w:lang w:val="pl-PL"/>
        </w:rPr>
        <w:t>nespadá</w:t>
      </w:r>
      <w:r>
        <w:rPr>
          <w:lang w:val="pl-PL"/>
        </w:rPr>
        <w:t xml:space="preserve"> pod článok 34 ZFEU, pretože sa ňou </w:t>
      </w:r>
      <w:r w:rsidRPr="000E75BC">
        <w:rPr>
          <w:b/>
          <w:bCs/>
          <w:u w:val="single"/>
          <w:lang w:val="pl-PL"/>
        </w:rPr>
        <w:t>nezavádza právna ani faktická diskriminácia</w:t>
      </w:r>
      <w:r>
        <w:rPr>
          <w:lang w:val="pl-PL"/>
        </w:rPr>
        <w:t xml:space="preserve"> na základe pôvodu výrobku</w:t>
      </w:r>
      <w:r w:rsidR="00677D45">
        <w:rPr>
          <w:lang w:val="pl-PL"/>
        </w:rPr>
        <w:t>, a opatrenie sa vzťahuje na všetkých predajcov</w:t>
      </w:r>
      <w:r>
        <w:rPr>
          <w:lang w:val="pl-PL"/>
        </w:rPr>
        <w:t>.</w:t>
      </w:r>
      <w:r w:rsidR="00677D45">
        <w:rPr>
          <w:lang w:val="pl-PL"/>
        </w:rPr>
        <w:t xml:space="preserve"> (vec Keck verzus Mithuard)</w:t>
      </w:r>
    </w:p>
    <w:p w14:paraId="05654B75" w14:textId="77777777" w:rsidR="00677D45" w:rsidRPr="00677D45" w:rsidRDefault="00677D45" w:rsidP="00677D45">
      <w:pPr>
        <w:pStyle w:val="Odsekzoznamu"/>
        <w:jc w:val="both"/>
        <w:rPr>
          <w:lang w:val="pl-PL"/>
        </w:rPr>
      </w:pPr>
    </w:p>
    <w:p w14:paraId="041277DB" w14:textId="6587AD4D" w:rsidR="00906EBE" w:rsidRPr="00906EBE" w:rsidRDefault="000E75BC" w:rsidP="000E75BC">
      <w:pPr>
        <w:pStyle w:val="Odsekzoznamu"/>
        <w:jc w:val="both"/>
      </w:pPr>
      <w:r>
        <w:rPr>
          <w:lang w:val="pl-PL"/>
        </w:rPr>
        <w:t>P</w:t>
      </w:r>
      <w:r w:rsidR="00906EBE" w:rsidRPr="00906EBE">
        <w:rPr>
          <w:lang w:val="pl-PL"/>
        </w:rPr>
        <w:t>odmien</w:t>
      </w:r>
      <w:r>
        <w:rPr>
          <w:lang w:val="pl-PL"/>
        </w:rPr>
        <w:t>ky predaja podľa</w:t>
      </w:r>
      <w:r w:rsidR="00906EBE" w:rsidRPr="00906EBE">
        <w:rPr>
          <w:lang w:val="pl-PL"/>
        </w:rPr>
        <w:t xml:space="preserve"> Súdn</w:t>
      </w:r>
      <w:r>
        <w:rPr>
          <w:lang w:val="pl-PL"/>
        </w:rPr>
        <w:t xml:space="preserve">eho dvora môžu byť napríklad tie, ktoré regulujú </w:t>
      </w:r>
      <w:r w:rsidRPr="000E75BC">
        <w:rPr>
          <w:b/>
          <w:bCs/>
          <w:u w:val="single"/>
          <w:lang w:val="pl-PL"/>
        </w:rPr>
        <w:t>podmienky</w:t>
      </w:r>
      <w:r>
        <w:rPr>
          <w:lang w:val="pl-PL"/>
        </w:rPr>
        <w:t xml:space="preserve"> a </w:t>
      </w:r>
      <w:r w:rsidRPr="000E75BC">
        <w:rPr>
          <w:b/>
          <w:bCs/>
          <w:u w:val="single"/>
          <w:lang w:val="pl-PL"/>
        </w:rPr>
        <w:t>metódy</w:t>
      </w:r>
      <w:r>
        <w:rPr>
          <w:lang w:val="pl-PL"/>
        </w:rPr>
        <w:t xml:space="preserve"> predaja, a ktoré </w:t>
      </w:r>
      <w:r w:rsidR="00906EBE" w:rsidRPr="00906EBE">
        <w:t xml:space="preserve">sa týkajú </w:t>
      </w:r>
      <w:r w:rsidR="00906EBE" w:rsidRPr="00906EBE">
        <w:rPr>
          <w:b/>
          <w:bCs/>
          <w:u w:val="single"/>
        </w:rPr>
        <w:t>miesta</w:t>
      </w:r>
      <w:r w:rsidR="00906EBE" w:rsidRPr="00906EBE">
        <w:t xml:space="preserve"> predaja tovaru</w:t>
      </w:r>
      <w:r>
        <w:t>.</w:t>
      </w:r>
    </w:p>
    <w:p w14:paraId="7AF6A9A6" w14:textId="334014A3" w:rsidR="00906EBE" w:rsidRDefault="00906EBE" w:rsidP="00906EBE">
      <w:pPr>
        <w:pStyle w:val="Odsekzoznamu"/>
        <w:jc w:val="both"/>
      </w:pPr>
    </w:p>
    <w:p w14:paraId="3C6479F9" w14:textId="77777777" w:rsidR="00007492" w:rsidRDefault="00007492" w:rsidP="00906EBE">
      <w:pPr>
        <w:pStyle w:val="Odsekzoznamu"/>
        <w:jc w:val="both"/>
      </w:pPr>
    </w:p>
    <w:p w14:paraId="3D6CEB7E" w14:textId="16930569" w:rsidR="00906EBE" w:rsidRDefault="00906EBE" w:rsidP="00906EBE">
      <w:pPr>
        <w:pStyle w:val="Odsekzoznamu"/>
        <w:jc w:val="both"/>
      </w:pPr>
    </w:p>
    <w:p w14:paraId="5C8F65C4" w14:textId="644D217C" w:rsidR="00906EBE" w:rsidRPr="00906EBE" w:rsidRDefault="000E75BC" w:rsidP="000E75BC">
      <w:pPr>
        <w:pStyle w:val="Odsekzoznamu"/>
        <w:jc w:val="both"/>
      </w:pPr>
      <w:r>
        <w:t xml:space="preserve">Problém by nastal vtedy, keď by aplikovaním takéhoto opatrenia došlo </w:t>
      </w:r>
      <w:r w:rsidR="00906EBE" w:rsidRPr="00906EBE">
        <w:t xml:space="preserve">k zníženiu objemu dovozu týchto </w:t>
      </w:r>
      <w:r>
        <w:t>automatov</w:t>
      </w:r>
      <w:r w:rsidR="00906EBE" w:rsidRPr="00906EBE">
        <w:t xml:space="preserve"> z iných členských štátov. </w:t>
      </w:r>
      <w:r>
        <w:t xml:space="preserve">To by </w:t>
      </w:r>
      <w:r w:rsidR="00906EBE" w:rsidRPr="00906EBE">
        <w:t>mohl</w:t>
      </w:r>
      <w:r>
        <w:t>o</w:t>
      </w:r>
      <w:r w:rsidR="00906EBE" w:rsidRPr="00906EBE">
        <w:t xml:space="preserve"> byť určujúcim faktorom týkajúcim sa toho, prečo </w:t>
      </w:r>
      <w:r w:rsidR="00906EBE" w:rsidRPr="00906EBE">
        <w:rPr>
          <w:lang w:val="pl-PL"/>
        </w:rPr>
        <w:t xml:space="preserve">opatrenie spadá do rozsahu pôsobnosti článku </w:t>
      </w:r>
      <w:r w:rsidR="00906EBE" w:rsidRPr="00906EBE">
        <w:t>34 Zmluvy o fungovaní EÚ.</w:t>
      </w:r>
      <w:r>
        <w:t xml:space="preserve"> (vec Komisia verzus Grécko)</w:t>
      </w:r>
    </w:p>
    <w:p w14:paraId="21434F4F" w14:textId="77777777" w:rsidR="00906EBE" w:rsidRDefault="00906EBE" w:rsidP="00906EBE">
      <w:pPr>
        <w:pStyle w:val="Odsekzoznamu"/>
        <w:jc w:val="both"/>
      </w:pPr>
    </w:p>
    <w:p w14:paraId="6AE59376" w14:textId="7E0A71E0" w:rsidR="00906EBE" w:rsidRPr="00906EBE" w:rsidRDefault="00906EBE" w:rsidP="00906EBE">
      <w:pPr>
        <w:pStyle w:val="Odsekzoznamu"/>
        <w:jc w:val="both"/>
      </w:pPr>
    </w:p>
    <w:sectPr w:rsidR="00906EBE" w:rsidRPr="00906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1F00"/>
    <w:multiLevelType w:val="hybridMultilevel"/>
    <w:tmpl w:val="07F838BA"/>
    <w:lvl w:ilvl="0" w:tplc="A588E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0AC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45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2B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04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0B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E4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EC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6D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7335C0"/>
    <w:multiLevelType w:val="hybridMultilevel"/>
    <w:tmpl w:val="8AE024C6"/>
    <w:lvl w:ilvl="0" w:tplc="27CAE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EC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60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D8A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E1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67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E5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4B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8A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580D87"/>
    <w:multiLevelType w:val="hybridMultilevel"/>
    <w:tmpl w:val="9788C21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D27BC"/>
    <w:multiLevelType w:val="hybridMultilevel"/>
    <w:tmpl w:val="FC8E5DB8"/>
    <w:lvl w:ilvl="0" w:tplc="D7940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A64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A8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E0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E0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944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4B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EC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E4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C12F4E"/>
    <w:multiLevelType w:val="multilevel"/>
    <w:tmpl w:val="094E4740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0E235E"/>
    <w:multiLevelType w:val="hybridMultilevel"/>
    <w:tmpl w:val="26945074"/>
    <w:lvl w:ilvl="0" w:tplc="DF82F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205C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EE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CB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CB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89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85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A3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EA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49"/>
    <w:rsid w:val="00007492"/>
    <w:rsid w:val="000B0F98"/>
    <w:rsid w:val="000E75BC"/>
    <w:rsid w:val="003C2BF1"/>
    <w:rsid w:val="005E74F9"/>
    <w:rsid w:val="00677D45"/>
    <w:rsid w:val="00906EBE"/>
    <w:rsid w:val="00B57025"/>
    <w:rsid w:val="00C7001E"/>
    <w:rsid w:val="00D00A49"/>
    <w:rsid w:val="00DF6EDC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631E"/>
  <w15:chartTrackingRefBased/>
  <w15:docId w15:val="{3E0B9915-2431-4EA4-9EB1-5D15888A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D0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0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2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8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8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34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2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0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3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3</cp:revision>
  <dcterms:created xsi:type="dcterms:W3CDTF">2020-12-10T18:18:00Z</dcterms:created>
  <dcterms:modified xsi:type="dcterms:W3CDTF">2020-12-10T19:21:00Z</dcterms:modified>
</cp:coreProperties>
</file>