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607A" w:rsidRDefault="008F607A" w:rsidP="00AA6D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36324950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martin.hamrik@flaw.uniba.sk </w:t>
      </w:r>
    </w:p>
    <w:p w:rsidR="000335DE" w:rsidRPr="004B71CF" w:rsidRDefault="004B71CF" w:rsidP="00AA6D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71CF">
        <w:rPr>
          <w:rFonts w:ascii="Times New Roman" w:hAnsi="Times New Roman" w:cs="Times New Roman"/>
          <w:b/>
          <w:bCs/>
          <w:sz w:val="28"/>
          <w:szCs w:val="28"/>
        </w:rPr>
        <w:t>Občianske právo hmotné 2 – externá forma štúdia</w:t>
      </w:r>
    </w:p>
    <w:bookmarkEnd w:id="0"/>
    <w:p w:rsidR="004B71CF" w:rsidRDefault="004B71CF" w:rsidP="00AA6D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B71CF" w:rsidRPr="000B27C7" w:rsidRDefault="004B71CF" w:rsidP="00AA6D1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27C7">
        <w:rPr>
          <w:rFonts w:ascii="Times New Roman" w:hAnsi="Times New Roman" w:cs="Times New Roman"/>
          <w:b/>
          <w:bCs/>
          <w:sz w:val="24"/>
          <w:szCs w:val="24"/>
          <w:u w:val="single"/>
        </w:rPr>
        <w:t>III. konzultačné sústredenie – Vecné práva k cudzej veci</w:t>
      </w:r>
    </w:p>
    <w:p w:rsidR="004B71CF" w:rsidRDefault="004B71CF" w:rsidP="00AA6D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2282F" w:rsidRDefault="0002282F" w:rsidP="00AA6D1E">
      <w:pPr>
        <w:pStyle w:val="Odsekzoznamu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2F">
        <w:rPr>
          <w:rFonts w:ascii="Times New Roman" w:hAnsi="Times New Roman" w:cs="Times New Roman"/>
          <w:b/>
          <w:sz w:val="24"/>
          <w:szCs w:val="24"/>
        </w:rPr>
        <w:t>Ľuboš už približne jeden rok spokojne prechádza na svoj pozemok cez susediaci pozemok, patriaci Barbore, ktorej sa toto správanie nepáči a nevidí preň žiaden dôvod. Ľuboš naopak tvrdí, že právo prechodu si dohodli ešte ich otcovia (tak mu to povedal ten jeho), a preto mu toto právo patrí. Barbora však bližším skúmaním zistila nasledovné: a) v liste vlastníctva právo prechodu zapísané nie je, b) dohoda o práve prechodu uzavretá naozaj bola ešte pred 9 rokmi, nachádzala sa založená medzi „papiermi po otcovi“, návrh na zápis práva do katastra nehnuteľností však podaný nebol.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63CD" w:rsidRDefault="00FA63CD" w:rsidP="00AA6D1E">
      <w:pPr>
        <w:pStyle w:val="Odsekzoznamu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282F" w:rsidRPr="0002282F" w:rsidRDefault="0002282F" w:rsidP="00AA6D1E">
      <w:pPr>
        <w:pStyle w:val="Odsekzoznamu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82F">
        <w:rPr>
          <w:rFonts w:ascii="Times New Roman" w:hAnsi="Times New Roman" w:cs="Times New Roman"/>
          <w:bCs/>
          <w:sz w:val="24"/>
          <w:szCs w:val="24"/>
        </w:rPr>
        <w:t>Je Ľuboš oprávnený prechádzať cez Barborin pozemok? Ak áno, na základe akého právneho dôvodu? Ak nie, aké sú predpoklady pre nadobudnutie tohto práva?</w:t>
      </w:r>
    </w:p>
    <w:p w:rsidR="00C34598" w:rsidRDefault="00C34598" w:rsidP="00AA6D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A63CD" w:rsidRDefault="00FA63CD" w:rsidP="00AA6D1E">
      <w:pPr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Ľuboš nie je oprávnený na prechod cez pozemok.</w:t>
      </w:r>
    </w:p>
    <w:p w:rsidR="00C34598" w:rsidRDefault="00C34598" w:rsidP="00AA6D1E">
      <w:pPr>
        <w:jc w:val="both"/>
        <w:rPr>
          <w:rFonts w:asciiTheme="majorHAnsi" w:hAnsiTheme="majorHAnsi" w:cstheme="majorHAnsi"/>
          <w:bCs/>
          <w:sz w:val="24"/>
          <w:szCs w:val="24"/>
        </w:rPr>
      </w:pPr>
      <w:r w:rsidRPr="00C34598">
        <w:rPr>
          <w:rFonts w:asciiTheme="majorHAnsi" w:hAnsiTheme="majorHAnsi" w:cstheme="majorHAnsi"/>
          <w:bCs/>
          <w:sz w:val="24"/>
          <w:szCs w:val="24"/>
        </w:rPr>
        <w:t xml:space="preserve">Nie je </w:t>
      </w:r>
      <w:r w:rsidR="00FA63CD">
        <w:rPr>
          <w:rFonts w:asciiTheme="majorHAnsi" w:hAnsiTheme="majorHAnsi" w:cstheme="majorHAnsi"/>
          <w:bCs/>
          <w:sz w:val="24"/>
          <w:szCs w:val="24"/>
        </w:rPr>
        <w:t xml:space="preserve">jasne </w:t>
      </w:r>
      <w:r w:rsidRPr="00C34598">
        <w:rPr>
          <w:rFonts w:asciiTheme="majorHAnsi" w:hAnsiTheme="majorHAnsi" w:cstheme="majorHAnsi"/>
          <w:bCs/>
          <w:sz w:val="24"/>
          <w:szCs w:val="24"/>
        </w:rPr>
        <w:t xml:space="preserve">uvedené, či bolo vytvorené vecné bremeno „in </w:t>
      </w:r>
      <w:proofErr w:type="spellStart"/>
      <w:r w:rsidRPr="00C34598">
        <w:rPr>
          <w:rFonts w:asciiTheme="majorHAnsi" w:hAnsiTheme="majorHAnsi" w:cstheme="majorHAnsi"/>
          <w:bCs/>
          <w:sz w:val="24"/>
          <w:szCs w:val="24"/>
        </w:rPr>
        <w:t>rem</w:t>
      </w:r>
      <w:proofErr w:type="spellEnd"/>
      <w:r w:rsidRPr="00C34598">
        <w:rPr>
          <w:rFonts w:asciiTheme="majorHAnsi" w:hAnsiTheme="majorHAnsi" w:cstheme="majorHAnsi"/>
          <w:bCs/>
          <w:sz w:val="24"/>
          <w:szCs w:val="24"/>
        </w:rPr>
        <w:t xml:space="preserve">“ alebo „in </w:t>
      </w:r>
      <w:proofErr w:type="spellStart"/>
      <w:r w:rsidRPr="00C34598">
        <w:rPr>
          <w:rFonts w:asciiTheme="majorHAnsi" w:hAnsiTheme="majorHAnsi" w:cstheme="majorHAnsi"/>
          <w:bCs/>
          <w:sz w:val="24"/>
          <w:szCs w:val="24"/>
        </w:rPr>
        <w:t>personam</w:t>
      </w:r>
      <w:proofErr w:type="spellEnd"/>
      <w:r w:rsidRPr="00C34598">
        <w:rPr>
          <w:rFonts w:asciiTheme="majorHAnsi" w:hAnsiTheme="majorHAnsi" w:cstheme="majorHAnsi"/>
          <w:bCs/>
          <w:sz w:val="24"/>
          <w:szCs w:val="24"/>
        </w:rPr>
        <w:t>“</w:t>
      </w:r>
      <w:r>
        <w:rPr>
          <w:rFonts w:asciiTheme="majorHAnsi" w:hAnsiTheme="majorHAnsi" w:cstheme="majorHAnsi"/>
          <w:bCs/>
          <w:sz w:val="24"/>
          <w:szCs w:val="24"/>
        </w:rPr>
        <w:t xml:space="preserve"> – ak právo zodpovedajúce vecnému bremenu patrí určitej osobe, vecné bremeno zanikne najneskôr jej smrťou alebo zánikom (§151p </w:t>
      </w:r>
      <w:r w:rsidR="00FA63CD">
        <w:rPr>
          <w:rFonts w:asciiTheme="majorHAnsi" w:hAnsiTheme="majorHAnsi" w:cstheme="majorHAnsi"/>
          <w:bCs/>
          <w:sz w:val="24"/>
          <w:szCs w:val="24"/>
        </w:rPr>
        <w:t>ods</w:t>
      </w:r>
      <w:r w:rsidR="00B62A54">
        <w:rPr>
          <w:rFonts w:asciiTheme="majorHAnsi" w:hAnsiTheme="majorHAnsi" w:cstheme="majorHAnsi"/>
          <w:bCs/>
          <w:sz w:val="24"/>
          <w:szCs w:val="24"/>
        </w:rPr>
        <w:t>.</w:t>
      </w:r>
      <w:r w:rsidR="00FA63CD">
        <w:rPr>
          <w:rFonts w:asciiTheme="majorHAns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</w:rPr>
        <w:t>4</w:t>
      </w:r>
      <w:r w:rsidR="00FA63CD">
        <w:rPr>
          <w:rFonts w:asciiTheme="majorHAnsi" w:hAnsiTheme="majorHAnsi" w:cstheme="majorHAnsi"/>
          <w:bCs/>
          <w:sz w:val="24"/>
          <w:szCs w:val="24"/>
        </w:rPr>
        <w:t xml:space="preserve"> OZ</w:t>
      </w:r>
      <w:r>
        <w:rPr>
          <w:rFonts w:asciiTheme="majorHAnsi" w:hAnsiTheme="majorHAnsi" w:cstheme="majorHAnsi"/>
          <w:bCs/>
          <w:sz w:val="24"/>
          <w:szCs w:val="24"/>
        </w:rPr>
        <w:t>) – Ľuboš by nebol nadobúdateľom vecného bremena po otcovi.</w:t>
      </w:r>
      <w:r w:rsidR="00FA63CD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4913ED" w:rsidRDefault="004913ED" w:rsidP="00AA6D1E">
      <w:pPr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„Vecné bremená vznikajú písomnou zmluvou, na základe závetu v spojení s výsledkami konania o dedičstve, schválenou dohodou dedičov...“ (§151o </w:t>
      </w:r>
      <w:r w:rsidR="00FA63CD">
        <w:rPr>
          <w:rFonts w:asciiTheme="majorHAnsi" w:hAnsiTheme="majorHAnsi" w:cstheme="majorHAnsi"/>
          <w:bCs/>
          <w:sz w:val="24"/>
          <w:szCs w:val="24"/>
        </w:rPr>
        <w:t>ods</w:t>
      </w:r>
      <w:r w:rsidR="00B62A54">
        <w:rPr>
          <w:rFonts w:asciiTheme="majorHAnsi" w:hAnsiTheme="majorHAnsi" w:cstheme="majorHAnsi"/>
          <w:bCs/>
          <w:sz w:val="24"/>
          <w:szCs w:val="24"/>
        </w:rPr>
        <w:t xml:space="preserve">. </w:t>
      </w:r>
      <w:r>
        <w:rPr>
          <w:rFonts w:asciiTheme="majorHAnsi" w:hAnsiTheme="majorHAnsi" w:cstheme="majorHAnsi"/>
          <w:bCs/>
          <w:sz w:val="24"/>
          <w:szCs w:val="24"/>
        </w:rPr>
        <w:t>1</w:t>
      </w:r>
      <w:r w:rsidR="00FA63CD">
        <w:rPr>
          <w:rFonts w:asciiTheme="majorHAnsi" w:hAnsiTheme="majorHAnsi" w:cstheme="majorHAnsi"/>
          <w:bCs/>
          <w:sz w:val="24"/>
          <w:szCs w:val="24"/>
        </w:rPr>
        <w:t xml:space="preserve"> OZ</w:t>
      </w:r>
      <w:r>
        <w:rPr>
          <w:rFonts w:asciiTheme="majorHAnsi" w:hAnsiTheme="majorHAnsi" w:cstheme="majorHAnsi"/>
          <w:bCs/>
          <w:sz w:val="24"/>
          <w:szCs w:val="24"/>
        </w:rPr>
        <w:t xml:space="preserve">) – písomná zmluva medzi otcami mohla byť, ale „...na nadobudnutie práva zodpovedajúceho vecným bremenám je potrebný vklad do katastra nehnuteľností“ (§151o </w:t>
      </w:r>
      <w:r w:rsidR="00FA63CD">
        <w:rPr>
          <w:rFonts w:asciiTheme="majorHAnsi" w:hAnsiTheme="majorHAnsi" w:cstheme="majorHAnsi"/>
          <w:bCs/>
          <w:sz w:val="24"/>
          <w:szCs w:val="24"/>
        </w:rPr>
        <w:t>ods</w:t>
      </w:r>
      <w:r w:rsidR="00B62A54">
        <w:rPr>
          <w:rFonts w:asciiTheme="majorHAnsi" w:hAnsiTheme="majorHAnsi" w:cstheme="majorHAnsi"/>
          <w:bCs/>
          <w:sz w:val="24"/>
          <w:szCs w:val="24"/>
        </w:rPr>
        <w:t>.</w:t>
      </w:r>
      <w:r w:rsidR="00FA63CD">
        <w:rPr>
          <w:rFonts w:asciiTheme="majorHAns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</w:rPr>
        <w:t>1</w:t>
      </w:r>
      <w:r w:rsidR="00FA63CD">
        <w:rPr>
          <w:rFonts w:asciiTheme="majorHAnsi" w:hAnsiTheme="majorHAnsi" w:cstheme="majorHAnsi"/>
          <w:bCs/>
          <w:sz w:val="24"/>
          <w:szCs w:val="24"/>
        </w:rPr>
        <w:t xml:space="preserve"> OZ</w:t>
      </w:r>
      <w:r>
        <w:rPr>
          <w:rFonts w:asciiTheme="majorHAnsi" w:hAnsiTheme="majorHAnsi" w:cstheme="majorHAnsi"/>
          <w:bCs/>
          <w:sz w:val="24"/>
          <w:szCs w:val="24"/>
        </w:rPr>
        <w:t>) – a návrh na zápis do katastra nehnuteľností podaný nebol</w:t>
      </w:r>
      <w:r w:rsidR="00B57D2E">
        <w:rPr>
          <w:rFonts w:asciiTheme="majorHAnsi" w:hAnsiTheme="majorHAnsi" w:cstheme="majorHAnsi"/>
          <w:bCs/>
          <w:sz w:val="24"/>
          <w:szCs w:val="24"/>
        </w:rPr>
        <w:t>, a taktiež právo prechodu nie je zapísané ani v liste vlastníctva, čím by bol informovaný prípadný budúci vlastník.</w:t>
      </w:r>
    </w:p>
    <w:p w:rsidR="00FA63CD" w:rsidRDefault="00B57D2E" w:rsidP="00AA6D1E">
      <w:pPr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Právo  zodpovedajúce vecnému bremenu možno nadobudnúť tiež vydržaním (§151o ods</w:t>
      </w:r>
      <w:r w:rsidR="00B62A54">
        <w:rPr>
          <w:rFonts w:asciiTheme="majorHAnsi" w:hAnsiTheme="majorHAnsi" w:cstheme="majorHAnsi"/>
          <w:bCs/>
          <w:sz w:val="24"/>
          <w:szCs w:val="24"/>
        </w:rPr>
        <w:t>.</w:t>
      </w:r>
      <w:r>
        <w:rPr>
          <w:rFonts w:asciiTheme="majorHAnsi" w:hAnsiTheme="majorHAnsi" w:cstheme="majorHAnsi"/>
          <w:bCs/>
          <w:sz w:val="24"/>
          <w:szCs w:val="24"/>
        </w:rPr>
        <w:t xml:space="preserve"> 1 OZ), ale Ľuboš nie je oprávneným držiteľom, nakoľko nie je dobromyseľným po celú dobu 10 rokov.</w:t>
      </w:r>
    </w:p>
    <w:p w:rsidR="00C34598" w:rsidRDefault="00C34598" w:rsidP="00AA6D1E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:rsidR="003878FD" w:rsidRPr="00C34598" w:rsidRDefault="003878FD" w:rsidP="00AA6D1E">
      <w:pPr>
        <w:jc w:val="both"/>
        <w:rPr>
          <w:rFonts w:asciiTheme="majorHAnsi" w:hAnsiTheme="majorHAnsi" w:cstheme="majorHAnsi"/>
          <w:bCs/>
          <w:sz w:val="24"/>
          <w:szCs w:val="24"/>
        </w:rPr>
      </w:pPr>
      <w:r w:rsidRPr="00C34598">
        <w:rPr>
          <w:rFonts w:asciiTheme="majorHAnsi" w:hAnsiTheme="majorHAnsi" w:cstheme="majorHAnsi"/>
          <w:bCs/>
          <w:sz w:val="24"/>
          <w:szCs w:val="24"/>
        </w:rPr>
        <w:br w:type="page"/>
      </w:r>
    </w:p>
    <w:p w:rsidR="00B10E8B" w:rsidRPr="0002282F" w:rsidRDefault="00B10E8B" w:rsidP="00AA6D1E">
      <w:pPr>
        <w:pStyle w:val="Odsekzoznamu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2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Pán Juraj je vlastníkom príjazdovej cesty, na ktorej sa nachádza aj </w:t>
      </w:r>
      <w:r w:rsidR="001945D1">
        <w:rPr>
          <w:rFonts w:ascii="Times New Roman" w:hAnsi="Times New Roman" w:cs="Times New Roman"/>
          <w:b/>
          <w:sz w:val="24"/>
          <w:szCs w:val="24"/>
        </w:rPr>
        <w:t>v</w:t>
      </w:r>
      <w:r w:rsidRPr="0002282F">
        <w:rPr>
          <w:rFonts w:ascii="Times New Roman" w:hAnsi="Times New Roman" w:cs="Times New Roman"/>
          <w:b/>
          <w:sz w:val="24"/>
          <w:szCs w:val="24"/>
        </w:rPr>
        <w:t>stupná brána. Tú tvorí ručne ovládaná závora. Okrem pána Juraja užíva tento vjazd aj pán Maroš, ktorý vlastní neďaleký rodinný dom a pre ktorého je toto jediná prístupová cesta. Dohodnú sa preto na odplatnom zriadení vecného bremena v prospech pána Maroša. Juraj sa jedného dňa rozhodne nahradiť ručne ovládanú závoru modernejším, bezpečnostným, diaľkovo ovládaným systémom, ktorého súčasťou je aj bezpečnostná kamera. Nakoľko išlo o nezanedbateľnú investíciu a túto bránu bude užívať aj pán Maroš, požiadal ho o „preplatenie“ ½ vynaložených nákladov.</w:t>
      </w:r>
    </w:p>
    <w:p w:rsidR="0002282F" w:rsidRPr="0002282F" w:rsidRDefault="0002282F" w:rsidP="00AA6D1E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82F">
        <w:rPr>
          <w:rFonts w:ascii="Times New Roman" w:hAnsi="Times New Roman" w:cs="Times New Roman"/>
          <w:bCs/>
          <w:sz w:val="24"/>
          <w:szCs w:val="24"/>
        </w:rPr>
        <w:t>a) Je Maroš povinný finančne sa podieľať na vybudovaní nového systému?</w:t>
      </w:r>
    </w:p>
    <w:p w:rsidR="0002282F" w:rsidRDefault="0002282F" w:rsidP="00AA6D1E">
      <w:pPr>
        <w:spacing w:after="0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2F">
        <w:rPr>
          <w:rFonts w:ascii="Times New Roman" w:hAnsi="Times New Roman" w:cs="Times New Roman"/>
          <w:bCs/>
          <w:sz w:val="24"/>
          <w:szCs w:val="24"/>
        </w:rPr>
        <w:t>b) Zvážte, aké výdavky ( s uvedením príkladu) je Juraj oprávnený požadovať.</w:t>
      </w:r>
    </w:p>
    <w:p w:rsidR="0002282F" w:rsidRDefault="0002282F" w:rsidP="00AA6D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7348" w:rsidRDefault="00C400B2" w:rsidP="00AA6D1E">
      <w:pPr>
        <w:jc w:val="both"/>
        <w:rPr>
          <w:rFonts w:asciiTheme="majorHAnsi" w:hAnsiTheme="majorHAnsi" w:cstheme="majorHAnsi"/>
          <w:sz w:val="24"/>
          <w:szCs w:val="24"/>
        </w:rPr>
      </w:pPr>
      <w:r w:rsidRPr="0030615E">
        <w:rPr>
          <w:rFonts w:asciiTheme="majorHAnsi" w:hAnsiTheme="majorHAnsi" w:cstheme="majorHAnsi"/>
          <w:b/>
          <w:bCs/>
          <w:sz w:val="24"/>
          <w:szCs w:val="24"/>
        </w:rPr>
        <w:t>a)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E97348">
        <w:rPr>
          <w:rFonts w:asciiTheme="majorHAnsi" w:hAnsiTheme="majorHAnsi" w:cstheme="majorHAnsi"/>
          <w:sz w:val="24"/>
          <w:szCs w:val="24"/>
        </w:rPr>
        <w:t xml:space="preserve">Pán Maroš je povinný finančne sa podieľať na vybudovaní nového systému, keďže išlo  nezanedbateľnú investíciu, a podľa </w:t>
      </w:r>
      <w:r w:rsidR="001C4D80">
        <w:rPr>
          <w:rFonts w:asciiTheme="majorHAnsi" w:hAnsiTheme="majorHAnsi" w:cstheme="majorHAnsi"/>
          <w:sz w:val="24"/>
          <w:szCs w:val="24"/>
        </w:rPr>
        <w:t>§151n ods</w:t>
      </w:r>
      <w:r w:rsidR="00B62A54">
        <w:rPr>
          <w:rFonts w:asciiTheme="majorHAnsi" w:hAnsiTheme="majorHAnsi" w:cstheme="majorHAnsi"/>
          <w:sz w:val="24"/>
          <w:szCs w:val="24"/>
        </w:rPr>
        <w:t>.</w:t>
      </w:r>
      <w:r w:rsidR="001C4D80">
        <w:rPr>
          <w:rFonts w:asciiTheme="majorHAnsi" w:hAnsiTheme="majorHAnsi" w:cstheme="majorHAnsi"/>
          <w:sz w:val="24"/>
          <w:szCs w:val="24"/>
        </w:rPr>
        <w:t xml:space="preserve"> 3 OZ „Pokiaľ sa </w:t>
      </w:r>
      <w:r w:rsidR="00AA6D1E">
        <w:rPr>
          <w:rFonts w:asciiTheme="majorHAnsi" w:hAnsiTheme="majorHAnsi" w:cstheme="majorHAnsi"/>
          <w:sz w:val="24"/>
          <w:szCs w:val="24"/>
        </w:rPr>
        <w:t xml:space="preserve">účastníci nedohodli inak, je ten, kto je na základe práva zodpovedajúceho vecnému bremenu oprávnený užívať cudziu vec, je povinný znášať primerane náklady na jej zachovanie a opravy; avšak ak vec využíva aj jej vlastník, je povinný tieto náklady znášať podľa miery spoluužívania“. </w:t>
      </w:r>
    </w:p>
    <w:p w:rsidR="00B57D2E" w:rsidRDefault="00C400B2" w:rsidP="00AA6D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615E">
        <w:rPr>
          <w:rFonts w:asciiTheme="majorHAnsi" w:hAnsiTheme="majorHAnsi" w:cstheme="majorHAnsi"/>
          <w:b/>
          <w:bCs/>
          <w:sz w:val="24"/>
          <w:szCs w:val="24"/>
        </w:rPr>
        <w:t>b)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E97348">
        <w:rPr>
          <w:rFonts w:asciiTheme="majorHAnsi" w:hAnsiTheme="majorHAnsi" w:cstheme="majorHAnsi"/>
          <w:sz w:val="24"/>
          <w:szCs w:val="24"/>
        </w:rPr>
        <w:t>Pán Juraj je oprávnený požadovať výdavky podľa miery spoluužívania pána Maroša, napríklad za diaľkovo ovládaný systém, ktorý bude využívať aj pán Maroš – náklady za kamerový systém sa ho týkať nemusia, pokiaľ ho nebude tiež využívať.</w:t>
      </w:r>
      <w:r w:rsidR="00B57D2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02282F" w:rsidRDefault="0002282F" w:rsidP="00AA6D1E">
      <w:pPr>
        <w:pStyle w:val="Odsekzoznamu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82F">
        <w:rPr>
          <w:rFonts w:ascii="Times New Roman" w:hAnsi="Times New Roman" w:cs="Times New Roman"/>
          <w:b/>
          <w:bCs/>
          <w:sz w:val="24"/>
          <w:szCs w:val="24"/>
        </w:rPr>
        <w:t>Pánovi Petrovi sa pokazilo motorové vozidlo. S autoopravovňou uzavrie zmluvu o oprave veci a objedná si nielen opravu danej poruchy, ale aj kompletnú kontrolu technického stavu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vozidla</w:t>
      </w:r>
      <w:r w:rsidRPr="0002282F">
        <w:rPr>
          <w:rFonts w:ascii="Times New Roman" w:hAnsi="Times New Roman" w:cs="Times New Roman"/>
          <w:b/>
          <w:bCs/>
          <w:sz w:val="24"/>
          <w:szCs w:val="24"/>
        </w:rPr>
        <w:t>. Autoopravovňa objednané služby vykoná, avšak po pánovi Petrovi akoby sa zľahla zem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02282F">
        <w:rPr>
          <w:rFonts w:ascii="Times New Roman" w:hAnsi="Times New Roman" w:cs="Times New Roman"/>
          <w:b/>
          <w:bCs/>
          <w:sz w:val="24"/>
          <w:szCs w:val="24"/>
        </w:rPr>
        <w:t xml:space="preserve"> splatnú faktúru neuhrádza, na telefonáty neodpovedá, na písomné výzvy nereaguje. Po viac ako </w:t>
      </w:r>
      <w:r w:rsidR="001945D1">
        <w:rPr>
          <w:rFonts w:ascii="Times New Roman" w:hAnsi="Times New Roman" w:cs="Times New Roman"/>
          <w:b/>
          <w:bCs/>
          <w:sz w:val="24"/>
          <w:szCs w:val="24"/>
        </w:rPr>
        <w:t>siedmich</w:t>
      </w:r>
      <w:r w:rsidRPr="0002282F">
        <w:rPr>
          <w:rFonts w:ascii="Times New Roman" w:hAnsi="Times New Roman" w:cs="Times New Roman"/>
          <w:b/>
          <w:bCs/>
          <w:sz w:val="24"/>
          <w:szCs w:val="24"/>
        </w:rPr>
        <w:t xml:space="preserve"> mesiacoch autoopravovňa automobil predá, od výťažku si odpočíta cenu vykonaných práv a ostatok prevedie na osobitný účet. Následne sa však po návrate zo zahraničného pobytu objaví </w:t>
      </w:r>
      <w:r w:rsidR="001945D1">
        <w:rPr>
          <w:rFonts w:ascii="Times New Roman" w:hAnsi="Times New Roman" w:cs="Times New Roman"/>
          <w:b/>
          <w:bCs/>
          <w:sz w:val="24"/>
          <w:szCs w:val="24"/>
        </w:rPr>
        <w:t xml:space="preserve">pán </w:t>
      </w:r>
      <w:r w:rsidRPr="0002282F">
        <w:rPr>
          <w:rFonts w:ascii="Times New Roman" w:hAnsi="Times New Roman" w:cs="Times New Roman"/>
          <w:b/>
          <w:bCs/>
          <w:sz w:val="24"/>
          <w:szCs w:val="24"/>
        </w:rPr>
        <w:t xml:space="preserve">Peter, ktorý tvrdí, že autoopravovňa nemala na takýto postup právo, nakoľko zádržné právo, ktoré podľa jeho názoru vykonala autoopravovňa, neplní uhradzovaciu funkciu. </w:t>
      </w:r>
    </w:p>
    <w:p w:rsidR="00E97348" w:rsidRDefault="00E97348" w:rsidP="00E97348">
      <w:pPr>
        <w:pStyle w:val="Odsekzoznamu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2282F" w:rsidRPr="0002282F" w:rsidRDefault="0002282F" w:rsidP="00AA6D1E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282F">
        <w:rPr>
          <w:rFonts w:ascii="Times New Roman" w:hAnsi="Times New Roman" w:cs="Times New Roman"/>
          <w:sz w:val="24"/>
          <w:szCs w:val="24"/>
        </w:rPr>
        <w:t xml:space="preserve">Posúďte dôvodnosť takejto argumentácie a analyzujte vzťah medzi §151s a </w:t>
      </w:r>
      <w:proofErr w:type="spellStart"/>
      <w:r w:rsidRPr="0002282F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02282F">
        <w:rPr>
          <w:rFonts w:ascii="Times New Roman" w:hAnsi="Times New Roman" w:cs="Times New Roman"/>
          <w:sz w:val="24"/>
          <w:szCs w:val="24"/>
        </w:rPr>
        <w:t>. OZ a §656 OZ.</w:t>
      </w:r>
    </w:p>
    <w:p w:rsidR="0002282F" w:rsidRPr="0002282F" w:rsidRDefault="0002282F" w:rsidP="00AA6D1E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282F">
        <w:rPr>
          <w:rFonts w:ascii="Times New Roman" w:hAnsi="Times New Roman" w:cs="Times New Roman"/>
          <w:sz w:val="24"/>
          <w:szCs w:val="24"/>
        </w:rPr>
        <w:t>Mala autoopravovňa splatnú peňažnú pohľadávku?</w:t>
      </w:r>
    </w:p>
    <w:p w:rsidR="0002282F" w:rsidRPr="0002282F" w:rsidRDefault="0002282F" w:rsidP="00AA6D1E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282F">
        <w:rPr>
          <w:rFonts w:ascii="Times New Roman" w:hAnsi="Times New Roman" w:cs="Times New Roman"/>
          <w:sz w:val="24"/>
          <w:szCs w:val="24"/>
        </w:rPr>
        <w:t>Dostalo sa auto do sféry jej dispozície na základe platného právneho dôvodu?</w:t>
      </w:r>
    </w:p>
    <w:p w:rsidR="0002282F" w:rsidRPr="0002282F" w:rsidRDefault="0002282F" w:rsidP="00AA6D1E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282F">
        <w:rPr>
          <w:rFonts w:ascii="Times New Roman" w:hAnsi="Times New Roman" w:cs="Times New Roman"/>
          <w:sz w:val="24"/>
          <w:szCs w:val="24"/>
        </w:rPr>
        <w:t>Bola by autoopravovňa oprávnená zadržať iné auto pána Petra, hoci opravu tohto iného by</w:t>
      </w:r>
      <w:r w:rsidR="001945D1">
        <w:rPr>
          <w:rFonts w:ascii="Times New Roman" w:hAnsi="Times New Roman" w:cs="Times New Roman"/>
          <w:sz w:val="24"/>
          <w:szCs w:val="24"/>
        </w:rPr>
        <w:t xml:space="preserve"> Peter</w:t>
      </w:r>
      <w:r w:rsidRPr="0002282F">
        <w:rPr>
          <w:rFonts w:ascii="Times New Roman" w:hAnsi="Times New Roman" w:cs="Times New Roman"/>
          <w:sz w:val="24"/>
          <w:szCs w:val="24"/>
        </w:rPr>
        <w:t xml:space="preserve"> riadne zaplatil?</w:t>
      </w:r>
    </w:p>
    <w:p w:rsidR="0002282F" w:rsidRPr="0002282F" w:rsidRDefault="0002282F" w:rsidP="00AA6D1E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282F">
        <w:rPr>
          <w:rFonts w:ascii="Times New Roman" w:hAnsi="Times New Roman" w:cs="Times New Roman"/>
          <w:sz w:val="24"/>
          <w:szCs w:val="24"/>
        </w:rPr>
        <w:t>Je veriteľ v tomto prípade oprávnený používať zadržané motorové vozidlo?</w:t>
      </w:r>
    </w:p>
    <w:p w:rsidR="00B10E8B" w:rsidRDefault="0002282F" w:rsidP="00AA6D1E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282F">
        <w:rPr>
          <w:rFonts w:ascii="Times New Roman" w:hAnsi="Times New Roman" w:cs="Times New Roman"/>
          <w:sz w:val="24"/>
          <w:szCs w:val="24"/>
        </w:rPr>
        <w:t>Ako by ste riešili náhradu prípadných výdavkov, ktoré by veriteľovi vznikli v súvislosti so zadržiavaním veci (napr. výdavky spojené s uskladnením veci)?</w:t>
      </w:r>
    </w:p>
    <w:p w:rsidR="000B27C7" w:rsidRPr="00D46A58" w:rsidRDefault="000B27C7" w:rsidP="00AA6D1E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400B2" w:rsidRDefault="00C400B2" w:rsidP="00C400B2">
      <w:pPr>
        <w:jc w:val="both"/>
        <w:rPr>
          <w:rFonts w:asciiTheme="majorHAnsi" w:hAnsiTheme="majorHAnsi" w:cstheme="majorHAnsi"/>
          <w:sz w:val="24"/>
          <w:szCs w:val="24"/>
        </w:rPr>
      </w:pPr>
      <w:r w:rsidRPr="0030615E">
        <w:rPr>
          <w:rFonts w:asciiTheme="majorHAnsi" w:hAnsiTheme="majorHAnsi" w:cstheme="majorHAnsi"/>
          <w:b/>
          <w:bCs/>
          <w:sz w:val="24"/>
          <w:szCs w:val="24"/>
        </w:rPr>
        <w:t>a)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D46A58" w:rsidRPr="00D46A58">
        <w:rPr>
          <w:rFonts w:asciiTheme="majorHAnsi" w:hAnsiTheme="majorHAnsi" w:cstheme="majorHAnsi"/>
          <w:sz w:val="24"/>
          <w:szCs w:val="24"/>
        </w:rPr>
        <w:t>Autoopravovňa mala právo vykonať takýto postup. Podľa §151s ods</w:t>
      </w:r>
      <w:r w:rsidR="00B62A54">
        <w:rPr>
          <w:rFonts w:asciiTheme="majorHAnsi" w:hAnsiTheme="majorHAnsi" w:cstheme="majorHAnsi"/>
          <w:sz w:val="24"/>
          <w:szCs w:val="24"/>
        </w:rPr>
        <w:t>.</w:t>
      </w:r>
      <w:r w:rsidR="00D46A58" w:rsidRPr="00D46A58">
        <w:rPr>
          <w:rFonts w:asciiTheme="majorHAnsi" w:hAnsiTheme="majorHAnsi" w:cstheme="majorHAnsi"/>
          <w:sz w:val="24"/>
          <w:szCs w:val="24"/>
        </w:rPr>
        <w:t xml:space="preserve"> 1 OZ „Kto je povinný vydať hnuteľnú vec, môže ju zadržať, aby zabezpečil svoju splatnú peňažnú pohľadávku voči tomu, komu je inak povinný vec vydať..“</w:t>
      </w:r>
      <w:r w:rsidR="00D46A58">
        <w:rPr>
          <w:rFonts w:asciiTheme="majorHAnsi" w:hAnsiTheme="majorHAnsi" w:cstheme="majorHAnsi"/>
          <w:sz w:val="24"/>
          <w:szCs w:val="24"/>
        </w:rPr>
        <w:t xml:space="preserve"> Pán Peter sa však nepokúsil o prevzatie automobilu</w:t>
      </w:r>
      <w:r>
        <w:rPr>
          <w:rFonts w:asciiTheme="majorHAnsi" w:hAnsiTheme="majorHAnsi" w:cstheme="majorHAnsi"/>
          <w:sz w:val="24"/>
          <w:szCs w:val="24"/>
        </w:rPr>
        <w:t>, a teda autoopravovňa v skutočnosti nevykonávala zádržné práv, ale zachovala sa v súlade s ustanoveniami o zmluve o oprave a úprave veci, kde</w:t>
      </w:r>
      <w:r w:rsidR="00D46A58">
        <w:rPr>
          <w:rFonts w:asciiTheme="majorHAnsi" w:hAnsiTheme="majorHAnsi" w:cstheme="majorHAnsi"/>
          <w:sz w:val="24"/>
          <w:szCs w:val="24"/>
        </w:rPr>
        <w:t> podľa §656 ods</w:t>
      </w:r>
      <w:r w:rsidR="00B62A54">
        <w:rPr>
          <w:rFonts w:asciiTheme="majorHAnsi" w:hAnsiTheme="majorHAnsi" w:cstheme="majorHAnsi"/>
          <w:sz w:val="24"/>
          <w:szCs w:val="24"/>
        </w:rPr>
        <w:t>.</w:t>
      </w:r>
      <w:r w:rsidR="00D46A58">
        <w:rPr>
          <w:rFonts w:asciiTheme="majorHAnsi" w:hAnsiTheme="majorHAnsi" w:cstheme="majorHAnsi"/>
          <w:sz w:val="24"/>
          <w:szCs w:val="24"/>
        </w:rPr>
        <w:t xml:space="preserve">  OZ „Objednávateľ je povinný vyzdvihnúť si vec najneskôr do jedného mesiaca od uplynutia času, keď sa oprava [..] mala vykonať [..]. Ak tak neurobí, je povinný zaplatiť poplatok za uskladnenie.“ a §656 ods</w:t>
      </w:r>
      <w:r w:rsidR="00B62A54">
        <w:rPr>
          <w:rFonts w:asciiTheme="majorHAnsi" w:hAnsiTheme="majorHAnsi" w:cstheme="majorHAnsi"/>
          <w:sz w:val="24"/>
          <w:szCs w:val="24"/>
        </w:rPr>
        <w:t>.</w:t>
      </w:r>
      <w:r w:rsidR="00D46A58">
        <w:rPr>
          <w:rFonts w:asciiTheme="majorHAnsi" w:hAnsiTheme="majorHAnsi" w:cstheme="majorHAnsi"/>
          <w:sz w:val="24"/>
          <w:szCs w:val="24"/>
        </w:rPr>
        <w:t xml:space="preserve"> 2 OZ „Ak si objednávateľ nevyzdvihne vec v lehote šiestich mesiacov odo dňa, keď bol povinný ju vyzdvihnúť, má zhotoviteľ právo vec predať...“</w:t>
      </w:r>
      <w:r>
        <w:rPr>
          <w:rFonts w:asciiTheme="majorHAnsi" w:hAnsiTheme="majorHAnsi" w:cstheme="majorHAnsi"/>
          <w:sz w:val="24"/>
          <w:szCs w:val="24"/>
        </w:rPr>
        <w:t xml:space="preserve"> Autoopravovňa sa o kontaktovanie pána Petra pokúšala, a k predaju došlo až po uplynutí lehoty.</w:t>
      </w:r>
    </w:p>
    <w:p w:rsidR="00C400B2" w:rsidRDefault="00C400B2" w:rsidP="00C400B2">
      <w:pPr>
        <w:jc w:val="both"/>
        <w:rPr>
          <w:rFonts w:asciiTheme="majorHAnsi" w:hAnsiTheme="majorHAnsi" w:cstheme="majorHAnsi"/>
          <w:sz w:val="24"/>
          <w:szCs w:val="24"/>
        </w:rPr>
      </w:pPr>
      <w:r w:rsidRPr="0030615E">
        <w:rPr>
          <w:rFonts w:asciiTheme="majorHAnsi" w:hAnsiTheme="majorHAnsi" w:cstheme="majorHAnsi"/>
          <w:b/>
          <w:bCs/>
          <w:sz w:val="24"/>
          <w:szCs w:val="24"/>
        </w:rPr>
        <w:t>b)</w:t>
      </w:r>
      <w:r>
        <w:rPr>
          <w:rFonts w:asciiTheme="majorHAnsi" w:hAnsiTheme="majorHAnsi" w:cstheme="majorHAnsi"/>
          <w:sz w:val="24"/>
          <w:szCs w:val="24"/>
        </w:rPr>
        <w:t xml:space="preserve"> Autoopravovňa mala splatnú peňažnú pohľadávku, </w:t>
      </w:r>
      <w:r w:rsidRPr="00C400B2">
        <w:rPr>
          <w:rFonts w:asciiTheme="majorHAnsi" w:hAnsiTheme="majorHAnsi" w:cstheme="majorHAnsi"/>
          <w:sz w:val="24"/>
          <w:szCs w:val="24"/>
        </w:rPr>
        <w:t>v</w:t>
      </w:r>
      <w:r>
        <w:rPr>
          <w:rFonts w:asciiTheme="majorHAnsi" w:hAnsiTheme="majorHAnsi" w:cstheme="majorHAnsi"/>
          <w:sz w:val="24"/>
          <w:szCs w:val="24"/>
        </w:rPr>
        <w:t xml:space="preserve"> podobe </w:t>
      </w:r>
      <w:r w:rsidRPr="00C400B2">
        <w:rPr>
          <w:rFonts w:asciiTheme="majorHAnsi" w:hAnsiTheme="majorHAnsi" w:cstheme="majorHAnsi"/>
          <w:sz w:val="24"/>
          <w:szCs w:val="24"/>
        </w:rPr>
        <w:t>faktúry za opravu a kompletnú kontrolu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C400B2">
        <w:rPr>
          <w:rFonts w:asciiTheme="majorHAnsi" w:hAnsiTheme="majorHAnsi" w:cstheme="majorHAnsi"/>
          <w:sz w:val="24"/>
          <w:szCs w:val="24"/>
        </w:rPr>
        <w:t>technického stavu motorového vozidla.</w:t>
      </w:r>
    </w:p>
    <w:p w:rsidR="00C400B2" w:rsidRDefault="00C400B2" w:rsidP="00C400B2">
      <w:pPr>
        <w:jc w:val="both"/>
        <w:rPr>
          <w:rFonts w:asciiTheme="majorHAnsi" w:hAnsiTheme="majorHAnsi" w:cstheme="majorHAnsi"/>
          <w:sz w:val="24"/>
          <w:szCs w:val="24"/>
        </w:rPr>
      </w:pPr>
      <w:r w:rsidRPr="0030615E">
        <w:rPr>
          <w:rFonts w:asciiTheme="majorHAnsi" w:hAnsiTheme="majorHAnsi" w:cstheme="majorHAnsi"/>
          <w:b/>
          <w:bCs/>
          <w:sz w:val="24"/>
          <w:szCs w:val="24"/>
        </w:rPr>
        <w:t>c)</w:t>
      </w:r>
      <w:r>
        <w:rPr>
          <w:rFonts w:asciiTheme="majorHAnsi" w:hAnsiTheme="majorHAnsi" w:cstheme="majorHAnsi"/>
          <w:sz w:val="24"/>
          <w:szCs w:val="24"/>
        </w:rPr>
        <w:t xml:space="preserve"> M</w:t>
      </w:r>
      <w:r w:rsidRPr="00C400B2">
        <w:rPr>
          <w:rFonts w:asciiTheme="majorHAnsi" w:hAnsiTheme="majorHAnsi" w:cstheme="majorHAnsi"/>
          <w:sz w:val="24"/>
          <w:szCs w:val="24"/>
        </w:rPr>
        <w:t xml:space="preserve">otorové vozidlo sa do </w:t>
      </w:r>
      <w:r>
        <w:rPr>
          <w:rFonts w:asciiTheme="majorHAnsi" w:hAnsiTheme="majorHAnsi" w:cstheme="majorHAnsi"/>
          <w:sz w:val="24"/>
          <w:szCs w:val="24"/>
        </w:rPr>
        <w:t>sféry dispozície</w:t>
      </w:r>
      <w:r w:rsidRPr="00C400B2">
        <w:rPr>
          <w:rFonts w:asciiTheme="majorHAnsi" w:hAnsiTheme="majorHAnsi" w:cstheme="majorHAnsi"/>
          <w:sz w:val="24"/>
          <w:szCs w:val="24"/>
        </w:rPr>
        <w:t xml:space="preserve"> autoopravovne dostalo </w:t>
      </w:r>
      <w:r>
        <w:rPr>
          <w:rFonts w:asciiTheme="majorHAnsi" w:hAnsiTheme="majorHAnsi" w:cstheme="majorHAnsi"/>
          <w:sz w:val="24"/>
          <w:szCs w:val="24"/>
        </w:rPr>
        <w:t>na základe platného právneho dôvodu -</w:t>
      </w:r>
      <w:r w:rsidRPr="00C400B2">
        <w:rPr>
          <w:rFonts w:asciiTheme="majorHAnsi" w:hAnsiTheme="majorHAnsi" w:cstheme="majorHAnsi"/>
          <w:sz w:val="24"/>
          <w:szCs w:val="24"/>
        </w:rPr>
        <w:t xml:space="preserve"> na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C400B2">
        <w:rPr>
          <w:rFonts w:asciiTheme="majorHAnsi" w:hAnsiTheme="majorHAnsi" w:cstheme="majorHAnsi"/>
          <w:sz w:val="24"/>
          <w:szCs w:val="24"/>
        </w:rPr>
        <w:t>základe zmluvy o oprave veci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FB0F6F" w:rsidRDefault="00FB0F6F" w:rsidP="00C400B2">
      <w:pPr>
        <w:jc w:val="both"/>
        <w:rPr>
          <w:rFonts w:asciiTheme="majorHAnsi" w:hAnsiTheme="majorHAnsi" w:cstheme="majorHAnsi"/>
          <w:sz w:val="24"/>
          <w:szCs w:val="24"/>
        </w:rPr>
      </w:pPr>
      <w:bookmarkStart w:id="1" w:name="_GoBack"/>
      <w:r w:rsidRPr="00FB0F6F">
        <w:rPr>
          <w:rFonts w:asciiTheme="majorHAnsi" w:hAnsiTheme="majorHAnsi" w:cstheme="majorHAnsi"/>
          <w:b/>
          <w:bCs/>
          <w:sz w:val="24"/>
          <w:szCs w:val="24"/>
        </w:rPr>
        <w:t>d)</w:t>
      </w:r>
      <w:r>
        <w:rPr>
          <w:rFonts w:asciiTheme="majorHAnsi" w:hAnsiTheme="majorHAnsi" w:cstheme="majorHAnsi"/>
          <w:sz w:val="24"/>
          <w:szCs w:val="24"/>
        </w:rPr>
        <w:t xml:space="preserve"> Podľa §151s ods</w:t>
      </w:r>
      <w:r w:rsidR="00B62A54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1 OZ nemožno zadržiavať </w:t>
      </w:r>
      <w:r w:rsidR="00B62A54">
        <w:rPr>
          <w:rFonts w:asciiTheme="majorHAnsi" w:hAnsiTheme="majorHAnsi" w:cstheme="majorHAnsi"/>
          <w:sz w:val="24"/>
          <w:szCs w:val="24"/>
        </w:rPr>
        <w:t xml:space="preserve">vec </w:t>
      </w:r>
      <w:r>
        <w:rPr>
          <w:rFonts w:asciiTheme="majorHAnsi" w:hAnsiTheme="majorHAnsi" w:cstheme="majorHAnsi"/>
          <w:sz w:val="24"/>
          <w:szCs w:val="24"/>
        </w:rPr>
        <w:t>svojvoľne alebo ľstivo odňatú</w:t>
      </w:r>
      <w:r w:rsidR="00B62A54">
        <w:rPr>
          <w:rFonts w:asciiTheme="majorHAnsi" w:hAnsiTheme="majorHAnsi" w:cstheme="majorHAnsi"/>
          <w:sz w:val="24"/>
          <w:szCs w:val="24"/>
        </w:rPr>
        <w:t>, a teda autoopravovňa by nemala platný právny dôvod zadržať motorové vozidlo, ktorého oprava bola riadne zaplatená.</w:t>
      </w:r>
    </w:p>
    <w:bookmarkEnd w:id="1"/>
    <w:p w:rsidR="00B62A54" w:rsidRDefault="00B62A54" w:rsidP="00B62A54">
      <w:pPr>
        <w:jc w:val="both"/>
        <w:rPr>
          <w:rFonts w:asciiTheme="majorHAnsi" w:hAnsiTheme="majorHAnsi" w:cstheme="majorHAnsi"/>
          <w:sz w:val="24"/>
          <w:szCs w:val="24"/>
        </w:rPr>
      </w:pPr>
      <w:r w:rsidRPr="00B62A54">
        <w:rPr>
          <w:rFonts w:asciiTheme="majorHAnsi" w:hAnsiTheme="majorHAnsi" w:cstheme="majorHAnsi"/>
          <w:b/>
          <w:bCs/>
          <w:sz w:val="24"/>
          <w:szCs w:val="24"/>
        </w:rPr>
        <w:t>e)</w:t>
      </w:r>
      <w:r>
        <w:rPr>
          <w:rFonts w:asciiTheme="majorHAnsi" w:hAnsiTheme="majorHAnsi" w:cstheme="majorHAnsi"/>
          <w:sz w:val="24"/>
          <w:szCs w:val="24"/>
        </w:rPr>
        <w:t xml:space="preserve"> Nie, autoopravovňa nie je oprávnená motorové vozidlo využívať, pokiaľ sa s pánom Petrom nedohodne inak – podľa §151t a §151i ods. 2 OZ, </w:t>
      </w:r>
      <w:r w:rsidRPr="00B62A54">
        <w:rPr>
          <w:rFonts w:asciiTheme="majorHAnsi" w:hAnsiTheme="majorHAnsi" w:cstheme="majorHAnsi"/>
          <w:sz w:val="24"/>
          <w:szCs w:val="24"/>
        </w:rPr>
        <w:t>záložný veriteľ je oprávnený zverený záloh užívať len so súhlasom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62A54">
        <w:rPr>
          <w:rFonts w:asciiTheme="majorHAnsi" w:hAnsiTheme="majorHAnsi" w:cstheme="majorHAnsi"/>
          <w:sz w:val="24"/>
          <w:szCs w:val="24"/>
        </w:rPr>
        <w:t>záložcu, ak osobitný zákon neustanovuje inak.</w:t>
      </w:r>
    </w:p>
    <w:p w:rsidR="00B62A54" w:rsidRPr="00B62A54" w:rsidRDefault="00B62A54" w:rsidP="00B62A54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4313">
        <w:rPr>
          <w:rFonts w:asciiTheme="majorHAnsi" w:hAnsiTheme="majorHAnsi" w:cstheme="majorHAnsi"/>
          <w:b/>
          <w:bCs/>
          <w:sz w:val="24"/>
          <w:szCs w:val="24"/>
        </w:rPr>
        <w:t>f)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84313">
        <w:rPr>
          <w:rFonts w:asciiTheme="majorHAnsi" w:hAnsiTheme="majorHAnsi" w:cstheme="majorHAnsi"/>
          <w:sz w:val="24"/>
          <w:szCs w:val="24"/>
        </w:rPr>
        <w:t>Náklady autoopravovne, ktoré jej vznikli v súvislosti so zadržiavaním motorového vozidla znáša pán Peter, n</w:t>
      </w:r>
      <w:r>
        <w:rPr>
          <w:rFonts w:asciiTheme="majorHAnsi" w:hAnsiTheme="majorHAnsi" w:cstheme="majorHAnsi"/>
          <w:sz w:val="24"/>
          <w:szCs w:val="24"/>
        </w:rPr>
        <w:t>akoľko</w:t>
      </w:r>
      <w:r w:rsidR="00784313">
        <w:rPr>
          <w:rFonts w:asciiTheme="majorHAnsi" w:hAnsiTheme="majorHAnsi" w:cstheme="majorHAnsi"/>
          <w:sz w:val="24"/>
          <w:szCs w:val="24"/>
        </w:rPr>
        <w:t xml:space="preserve"> ohľadne opatrovania zadržanej veci a úhrady nákladov s tým spojených má ten, kto vec zadržuje, postavenie aké má záložný veriteľ ohľadne zálohu (§151t OZ), má voči dlžníkovi právo na úhradu nevyhnutne a účelne vynaložených nákladov v súvislosti s výkonom záložného práva (§151l ods. 3 OZ) a podľa §656 ods. 1 OZ ak si objednávateľ vec nevyzdvihne do jedného mesiaca, je povinný zaplatiť poplatok za uskladnenie.</w:t>
      </w:r>
    </w:p>
    <w:p w:rsidR="00E3516B" w:rsidRPr="00C400B2" w:rsidRDefault="00E3516B" w:rsidP="00C400B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27C7" w:rsidRDefault="000B27C7" w:rsidP="00AA6D1E">
      <w:pPr>
        <w:pStyle w:val="Odsekzoznamu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27C7">
        <w:rPr>
          <w:rFonts w:ascii="Times New Roman" w:hAnsi="Times New Roman" w:cs="Times New Roman"/>
          <w:b/>
          <w:sz w:val="24"/>
          <w:szCs w:val="24"/>
        </w:rPr>
        <w:t>Juraj, samostatne hospodáriaci poľnohospodár, utrpel v dôsledku zlých klimatických podmienok a</w:t>
      </w:r>
      <w:r>
        <w:rPr>
          <w:rFonts w:ascii="Times New Roman" w:hAnsi="Times New Roman" w:cs="Times New Roman"/>
          <w:b/>
          <w:sz w:val="24"/>
          <w:szCs w:val="24"/>
        </w:rPr>
        <w:t xml:space="preserve"> z</w:t>
      </w:r>
      <w:r w:rsidRPr="000B27C7">
        <w:rPr>
          <w:rFonts w:ascii="Times New Roman" w:hAnsi="Times New Roman" w:cs="Times New Roman"/>
          <w:b/>
          <w:sz w:val="24"/>
          <w:szCs w:val="24"/>
        </w:rPr>
        <w:t> toho vyplývajúcej slabej úrody výrazné ekonomické straty. Aby mohol pokračovať v podnikaní, bol nútený vziať si úver vo výške 80 000 eur. Nakoľko je finančne na mizine a jeho poľnohospodársky statok ani zďaleka „nepokrýva“ celý úver, rozhodne sa ako záloh poskytnúť svoju budúcoročnú úrodu, ktorá by v dôsledku priaznivých predpovedí mala byť podstatne lepšia.</w:t>
      </w:r>
    </w:p>
    <w:p w:rsidR="001E2259" w:rsidRPr="000B27C7" w:rsidRDefault="001E2259" w:rsidP="001E2259">
      <w:pPr>
        <w:pStyle w:val="Odsekzoznamu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27C7" w:rsidRPr="000B27C7" w:rsidRDefault="000B27C7" w:rsidP="00AA6D1E">
      <w:pPr>
        <w:pStyle w:val="Odsekzoznamu"/>
        <w:numPr>
          <w:ilvl w:val="1"/>
          <w:numId w:val="4"/>
        </w:numPr>
        <w:spacing w:after="0" w:line="276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7C7">
        <w:rPr>
          <w:rFonts w:ascii="Times New Roman" w:hAnsi="Times New Roman" w:cs="Times New Roman"/>
          <w:bCs/>
          <w:sz w:val="24"/>
          <w:szCs w:val="24"/>
        </w:rPr>
        <w:t>Je budúcoročná úroda spôsobilým predmetom záložného práva?</w:t>
      </w:r>
    </w:p>
    <w:p w:rsidR="000B27C7" w:rsidRPr="000B27C7" w:rsidRDefault="000B27C7" w:rsidP="00AA6D1E">
      <w:pPr>
        <w:pStyle w:val="Odsekzoznamu"/>
        <w:numPr>
          <w:ilvl w:val="1"/>
          <w:numId w:val="4"/>
        </w:numPr>
        <w:spacing w:after="0" w:line="276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7C7">
        <w:rPr>
          <w:rFonts w:ascii="Times New Roman" w:hAnsi="Times New Roman" w:cs="Times New Roman"/>
          <w:bCs/>
          <w:sz w:val="24"/>
          <w:szCs w:val="24"/>
        </w:rPr>
        <w:t>Ak áno, ktorým okamihom vznikne v takomto prípade záložné právo?</w:t>
      </w:r>
    </w:p>
    <w:p w:rsidR="000B27C7" w:rsidRPr="000B27C7" w:rsidRDefault="000B27C7" w:rsidP="00AA6D1E">
      <w:pPr>
        <w:pStyle w:val="Odsekzoznamu"/>
        <w:numPr>
          <w:ilvl w:val="1"/>
          <w:numId w:val="4"/>
        </w:numPr>
        <w:spacing w:after="0" w:line="276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B27C7">
        <w:rPr>
          <w:rFonts w:ascii="Times New Roman" w:hAnsi="Times New Roman" w:cs="Times New Roman"/>
          <w:bCs/>
          <w:sz w:val="24"/>
          <w:szCs w:val="24"/>
        </w:rPr>
        <w:t>Kto bude subjektom oprávneným podať návrh na zápis záložného práva do príslušného registra?</w:t>
      </w:r>
    </w:p>
    <w:p w:rsidR="00E97348" w:rsidRDefault="00E97348" w:rsidP="00E97348">
      <w:pPr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C33F9E" w:rsidRDefault="00882A09" w:rsidP="00882A09">
      <w:pPr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82A09">
        <w:rPr>
          <w:rFonts w:asciiTheme="majorHAnsi" w:hAnsiTheme="majorHAnsi" w:cstheme="majorHAnsi"/>
          <w:b/>
          <w:sz w:val="24"/>
          <w:szCs w:val="24"/>
        </w:rPr>
        <w:t>a)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C33F9E" w:rsidRPr="00882A09">
        <w:rPr>
          <w:rFonts w:asciiTheme="majorHAnsi" w:hAnsiTheme="majorHAnsi" w:cstheme="majorHAnsi"/>
          <w:bCs/>
          <w:sz w:val="24"/>
          <w:szCs w:val="24"/>
        </w:rPr>
        <w:t>Áno je, podľa §151d ods. 4 OZ</w:t>
      </w:r>
      <w:r w:rsidRPr="00882A09">
        <w:rPr>
          <w:rFonts w:asciiTheme="majorHAnsi" w:hAnsiTheme="majorHAnsi" w:cstheme="majorHAnsi"/>
          <w:bCs/>
          <w:sz w:val="24"/>
          <w:szCs w:val="24"/>
        </w:rPr>
        <w:t xml:space="preserve"> „Záložné právo možno zriadiť aj na vec, právo, inú majetkovú hodnotu, byt alebo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882A09">
        <w:rPr>
          <w:rFonts w:asciiTheme="majorHAnsi" w:hAnsiTheme="majorHAnsi" w:cstheme="majorHAnsi"/>
          <w:bCs/>
          <w:sz w:val="24"/>
          <w:szCs w:val="24"/>
        </w:rPr>
        <w:t>nebytový priestor, ktorý záložca nadobudne v budúcnosti, a to aj vtedy, ak vec, právo,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882A09">
        <w:rPr>
          <w:rFonts w:asciiTheme="majorHAnsi" w:hAnsiTheme="majorHAnsi" w:cstheme="majorHAnsi"/>
          <w:bCs/>
          <w:sz w:val="24"/>
          <w:szCs w:val="24"/>
        </w:rPr>
        <w:t>iná majetková hodnota, byt a nebytový priestor vzniknú v budúcnosti alebo ktorých</w:t>
      </w:r>
      <w:r>
        <w:rPr>
          <w:rFonts w:asciiTheme="majorHAnsi" w:hAnsiTheme="majorHAnsi" w:cstheme="majorHAnsi"/>
          <w:bCs/>
          <w:sz w:val="24"/>
          <w:szCs w:val="24"/>
        </w:rPr>
        <w:t xml:space="preserve"> „</w:t>
      </w:r>
      <w:r w:rsidRPr="00882A09">
        <w:rPr>
          <w:rFonts w:asciiTheme="majorHAnsi" w:hAnsiTheme="majorHAnsi" w:cstheme="majorHAnsi"/>
          <w:bCs/>
          <w:sz w:val="24"/>
          <w:szCs w:val="24"/>
        </w:rPr>
        <w:t>vznik závisí od splnenia podmienky.</w:t>
      </w:r>
    </w:p>
    <w:p w:rsidR="006F55CE" w:rsidRDefault="006F55CE" w:rsidP="00882A09">
      <w:pPr>
        <w:jc w:val="both"/>
        <w:rPr>
          <w:rFonts w:asciiTheme="majorHAnsi" w:hAnsiTheme="majorHAnsi" w:cstheme="majorHAnsi"/>
          <w:bCs/>
          <w:sz w:val="24"/>
          <w:szCs w:val="24"/>
        </w:rPr>
      </w:pPr>
      <w:r w:rsidRPr="006F55CE">
        <w:rPr>
          <w:rFonts w:asciiTheme="majorHAnsi" w:hAnsiTheme="majorHAnsi" w:cstheme="majorHAnsi"/>
          <w:b/>
          <w:sz w:val="24"/>
          <w:szCs w:val="24"/>
        </w:rPr>
        <w:t>b)</w:t>
      </w:r>
      <w:r>
        <w:rPr>
          <w:rFonts w:asciiTheme="majorHAnsi" w:hAnsiTheme="majorHAnsi" w:cstheme="majorHAnsi"/>
          <w:bCs/>
          <w:sz w:val="24"/>
          <w:szCs w:val="24"/>
        </w:rPr>
        <w:t xml:space="preserve"> Podľa §151e ods. 5 OZ záložné právo na hnuteľnú vec vzniká jej odovzdaním záložnému veriteľovi.</w:t>
      </w:r>
    </w:p>
    <w:p w:rsidR="006F55CE" w:rsidRPr="006F55CE" w:rsidRDefault="006F55CE" w:rsidP="006F55CE">
      <w:pPr>
        <w:jc w:val="both"/>
        <w:rPr>
          <w:rFonts w:asciiTheme="majorHAnsi" w:hAnsiTheme="majorHAnsi" w:cstheme="majorHAnsi"/>
          <w:bCs/>
          <w:sz w:val="24"/>
          <w:szCs w:val="24"/>
        </w:rPr>
      </w:pPr>
      <w:r w:rsidRPr="006F55CE">
        <w:rPr>
          <w:rFonts w:asciiTheme="majorHAnsi" w:hAnsiTheme="majorHAnsi" w:cstheme="majorHAnsi"/>
          <w:b/>
          <w:sz w:val="24"/>
          <w:szCs w:val="24"/>
        </w:rPr>
        <w:t xml:space="preserve">c) </w:t>
      </w:r>
      <w:r>
        <w:rPr>
          <w:rFonts w:asciiTheme="majorHAnsi" w:hAnsiTheme="majorHAnsi" w:cstheme="majorHAnsi"/>
          <w:bCs/>
          <w:sz w:val="24"/>
          <w:szCs w:val="24"/>
        </w:rPr>
        <w:t xml:space="preserve">Oprávneným subjektom na podanie návrhu na zápis záložného práva je podľa §151g ods. 1 OZ záložca, ak záložné právo vzniklo na základe zmluvy,  </w:t>
      </w:r>
      <w:r w:rsidRPr="006F55CE">
        <w:rPr>
          <w:rFonts w:asciiTheme="majorHAnsi" w:hAnsiTheme="majorHAnsi" w:cstheme="majorHAnsi"/>
          <w:bCs/>
          <w:sz w:val="24"/>
          <w:szCs w:val="24"/>
        </w:rPr>
        <w:t>v ostatných prípadoch záložný veriteľ, ak osobitný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6F55CE">
        <w:rPr>
          <w:rFonts w:asciiTheme="majorHAnsi" w:hAnsiTheme="majorHAnsi" w:cstheme="majorHAnsi"/>
          <w:bCs/>
          <w:sz w:val="24"/>
          <w:szCs w:val="24"/>
        </w:rPr>
        <w:t>zákon neustanovuje inak</w:t>
      </w:r>
      <w:r>
        <w:rPr>
          <w:rFonts w:asciiTheme="majorHAnsi" w:hAnsiTheme="majorHAnsi" w:cstheme="majorHAnsi"/>
          <w:bCs/>
          <w:sz w:val="24"/>
          <w:szCs w:val="24"/>
        </w:rPr>
        <w:t>.</w:t>
      </w:r>
    </w:p>
    <w:p w:rsidR="00E3516B" w:rsidRDefault="00E351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97348" w:rsidRPr="00E97348" w:rsidRDefault="00E97348" w:rsidP="00E97348">
      <w:pPr>
        <w:pStyle w:val="Odsekzoznamu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348">
        <w:rPr>
          <w:rFonts w:ascii="Times New Roman" w:hAnsi="Times New Roman" w:cs="Times New Roman"/>
          <w:b/>
          <w:sz w:val="24"/>
          <w:szCs w:val="24"/>
        </w:rPr>
        <w:t xml:space="preserve">Zoraďte veriteľov pri spokojovaní ich pohľadávok výkonom záložného práva, ak je zálohom hnuteľná vec (pánske hodinky) v hodnote 30 000 eur. </w:t>
      </w:r>
    </w:p>
    <w:p w:rsidR="00E97348" w:rsidRDefault="00E97348" w:rsidP="00E97348">
      <w:pPr>
        <w:pStyle w:val="Odsekzoznamu"/>
        <w:spacing w:after="0" w:line="276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27C7" w:rsidRPr="00E97348" w:rsidRDefault="000B27C7" w:rsidP="00E97348">
      <w:pPr>
        <w:pStyle w:val="Odsekzoznamu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7348">
        <w:rPr>
          <w:rFonts w:ascii="Times New Roman" w:hAnsi="Times New Roman" w:cs="Times New Roman"/>
          <w:bCs/>
          <w:sz w:val="24"/>
          <w:szCs w:val="24"/>
        </w:rPr>
        <w:t>Záložný veriteľ, ktorého zmluvné záložné právo vzniklo dňa 20.1.2009 registráciou v centrálnom registri záložných práv. Výška pohľadávky 5000 eur, splatná dňa 1.10.2009.</w:t>
      </w:r>
    </w:p>
    <w:p w:rsidR="000B27C7" w:rsidRPr="00E97348" w:rsidRDefault="000B27C7" w:rsidP="00E97348">
      <w:pPr>
        <w:pStyle w:val="Odsekzoznamu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7348">
        <w:rPr>
          <w:rFonts w:ascii="Times New Roman" w:hAnsi="Times New Roman" w:cs="Times New Roman"/>
          <w:bCs/>
          <w:sz w:val="24"/>
          <w:szCs w:val="24"/>
        </w:rPr>
        <w:t>Záložný veriteľ, ktorého záložné právo vzniklo na základe zmluvy odovzdaním veci záložnému veriteľov dňa 1.8.2008. Výška pohľadávky 10 000 eur, splatná dňa 1.2.2009.</w:t>
      </w:r>
    </w:p>
    <w:p w:rsidR="000B27C7" w:rsidRPr="00E97348" w:rsidRDefault="000B27C7" w:rsidP="00E97348">
      <w:pPr>
        <w:pStyle w:val="Odsekzoznamu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7348">
        <w:rPr>
          <w:rFonts w:ascii="Times New Roman" w:hAnsi="Times New Roman" w:cs="Times New Roman"/>
          <w:bCs/>
          <w:sz w:val="24"/>
          <w:szCs w:val="24"/>
        </w:rPr>
        <w:t>Záložný veriteľ, ktorého zmluvné záložné právo vzniklo 15.7.2009 registráciou v centrálnom registri záložných práv. Výška pohľadávky 8000 eur, splatná dňa 30.5.2009.</w:t>
      </w:r>
    </w:p>
    <w:p w:rsidR="000B27C7" w:rsidRDefault="000B27C7" w:rsidP="00AA6D1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27C7" w:rsidRPr="000B27C7" w:rsidRDefault="000B27C7" w:rsidP="00AA6D1E">
      <w:pPr>
        <w:pStyle w:val="Odsekzoznamu"/>
        <w:numPr>
          <w:ilvl w:val="0"/>
          <w:numId w:val="8"/>
        </w:numPr>
        <w:spacing w:after="0" w:line="276" w:lineRule="auto"/>
        <w:ind w:hanging="29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7C7">
        <w:rPr>
          <w:rFonts w:ascii="Times New Roman" w:hAnsi="Times New Roman" w:cs="Times New Roman"/>
          <w:bCs/>
          <w:sz w:val="24"/>
          <w:szCs w:val="24"/>
        </w:rPr>
        <w:t>Ktorý z veriteľov môže začať výkon záložného práva k 15.10.2009?</w:t>
      </w:r>
    </w:p>
    <w:p w:rsidR="000B27C7" w:rsidRPr="000B27C7" w:rsidRDefault="000B27C7" w:rsidP="00AA6D1E">
      <w:pPr>
        <w:pStyle w:val="Odsekzoznamu"/>
        <w:numPr>
          <w:ilvl w:val="0"/>
          <w:numId w:val="8"/>
        </w:numPr>
        <w:spacing w:after="0" w:line="276" w:lineRule="auto"/>
        <w:ind w:hanging="29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7C7">
        <w:rPr>
          <w:rFonts w:ascii="Times New Roman" w:hAnsi="Times New Roman" w:cs="Times New Roman"/>
          <w:bCs/>
          <w:sz w:val="24"/>
          <w:szCs w:val="24"/>
        </w:rPr>
        <w:t>Popíšte postup, akým veriteľ (tretí v poradí) môže nadobudnúť postavenie prednostného veriteľa.</w:t>
      </w:r>
    </w:p>
    <w:p w:rsidR="000B27C7" w:rsidRPr="000B27C7" w:rsidRDefault="000B27C7" w:rsidP="00AA6D1E">
      <w:pPr>
        <w:pStyle w:val="Odsekzoznamu"/>
        <w:numPr>
          <w:ilvl w:val="0"/>
          <w:numId w:val="8"/>
        </w:numPr>
        <w:spacing w:after="0" w:line="276" w:lineRule="auto"/>
        <w:ind w:hanging="29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7C7">
        <w:rPr>
          <w:rFonts w:ascii="Times New Roman" w:hAnsi="Times New Roman" w:cs="Times New Roman"/>
          <w:bCs/>
          <w:sz w:val="24"/>
          <w:szCs w:val="24"/>
        </w:rPr>
        <w:t>Môže nastať situácia, že záložné právo budú súčasne vykonávať viacerí veritelia? V krátkych bodoch popíšte postup v takomto prípade.</w:t>
      </w:r>
    </w:p>
    <w:p w:rsidR="000B27C7" w:rsidRDefault="000B27C7" w:rsidP="00AA6D1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27C7" w:rsidRDefault="0060251E" w:rsidP="00AA6D1E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0251E">
        <w:rPr>
          <w:rFonts w:asciiTheme="majorHAnsi" w:hAnsiTheme="majorHAnsi" w:cstheme="majorHAnsi"/>
          <w:b/>
          <w:sz w:val="24"/>
          <w:szCs w:val="24"/>
        </w:rPr>
        <w:t>1.</w:t>
      </w:r>
      <w:r w:rsidRPr="0060251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Podľa §151k ods. 1 OZ ak vzniklo na zálohu viac záložných práv, na ich uspokojenie je rozhodujúce poradie ich registrácie v registri záložných práv, čiže poradie je 1, 3, 2</w:t>
      </w:r>
    </w:p>
    <w:p w:rsidR="009F6226" w:rsidRDefault="009F6226" w:rsidP="00AA6D1E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F6226">
        <w:rPr>
          <w:rFonts w:asciiTheme="majorHAnsi" w:hAnsiTheme="majorHAnsi" w:cstheme="majorHAnsi"/>
          <w:b/>
          <w:bCs/>
          <w:sz w:val="24"/>
          <w:szCs w:val="24"/>
        </w:rPr>
        <w:t>a)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46AEF">
        <w:rPr>
          <w:rFonts w:asciiTheme="majorHAnsi" w:hAnsiTheme="majorHAnsi" w:cstheme="majorHAnsi"/>
          <w:sz w:val="24"/>
          <w:szCs w:val="24"/>
        </w:rPr>
        <w:t xml:space="preserve">(§151l ods. 1 OZ) </w:t>
      </w:r>
      <w:r w:rsidR="00AB0250">
        <w:rPr>
          <w:rFonts w:asciiTheme="majorHAnsi" w:hAnsiTheme="majorHAnsi" w:cstheme="majorHAnsi"/>
          <w:sz w:val="24"/>
          <w:szCs w:val="24"/>
        </w:rPr>
        <w:t>všetci môžu začať s výkonom, ale musia oznámiť začatie výkonu práva (</w:t>
      </w:r>
      <w:r w:rsidR="00446AEF">
        <w:rPr>
          <w:rFonts w:asciiTheme="majorHAnsi" w:hAnsiTheme="majorHAnsi" w:cstheme="majorHAnsi"/>
          <w:sz w:val="24"/>
          <w:szCs w:val="24"/>
        </w:rPr>
        <w:t>predaj podľa §151m ods. 1</w:t>
      </w:r>
      <w:r w:rsidR="00AB0250">
        <w:rPr>
          <w:rFonts w:asciiTheme="majorHAnsi" w:hAnsiTheme="majorHAnsi" w:cstheme="majorHAnsi"/>
          <w:sz w:val="24"/>
          <w:szCs w:val="24"/>
        </w:rPr>
        <w:t>)</w:t>
      </w:r>
    </w:p>
    <w:p w:rsidR="009F6226" w:rsidRDefault="009F6226" w:rsidP="00AA6D1E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9F6226" w:rsidRDefault="009F6226" w:rsidP="00AA6D1E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F6226">
        <w:rPr>
          <w:rFonts w:asciiTheme="majorHAnsi" w:hAnsiTheme="majorHAnsi" w:cstheme="majorHAnsi"/>
          <w:b/>
          <w:bCs/>
          <w:sz w:val="24"/>
          <w:szCs w:val="24"/>
        </w:rPr>
        <w:t xml:space="preserve">b) </w:t>
      </w:r>
      <w:r>
        <w:rPr>
          <w:rFonts w:asciiTheme="majorHAnsi" w:hAnsiTheme="majorHAnsi" w:cstheme="majorHAnsi"/>
          <w:sz w:val="24"/>
          <w:szCs w:val="24"/>
        </w:rPr>
        <w:t xml:space="preserve">Podľa §151k ods. 3 OZ, ak vznikne na zálohu viac záložných práv, môžu sa záložní veritelia dohodnúť o poradí ich záložných práv rozhodujúcom na ich uspokojenie. </w:t>
      </w:r>
      <w:r w:rsidR="00BC68E8">
        <w:rPr>
          <w:rFonts w:asciiTheme="majorHAnsi" w:hAnsiTheme="majorHAnsi" w:cstheme="majorHAnsi"/>
          <w:sz w:val="24"/>
          <w:szCs w:val="24"/>
        </w:rPr>
        <w:t>Alebo, podľa §151ma ods. 10 OZ, môže splniť pohľadávku prednostného veriteľa a nadobudnúť tak jeho postavenie.</w:t>
      </w:r>
      <w:r w:rsidR="00CA2E66">
        <w:rPr>
          <w:rFonts w:asciiTheme="majorHAnsi" w:hAnsiTheme="majorHAnsi" w:cstheme="majorHAnsi"/>
          <w:sz w:val="24"/>
          <w:szCs w:val="24"/>
        </w:rPr>
        <w:t xml:space="preserve">  </w:t>
      </w:r>
    </w:p>
    <w:p w:rsidR="00CF754E" w:rsidRDefault="00CF754E" w:rsidP="00AA6D1E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7A4CF0" w:rsidRPr="007A4CF0" w:rsidRDefault="00CF754E" w:rsidP="007A4CF0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A4CF0">
        <w:rPr>
          <w:rFonts w:asciiTheme="majorHAnsi" w:hAnsiTheme="majorHAnsi" w:cstheme="majorHAnsi"/>
          <w:b/>
          <w:bCs/>
          <w:sz w:val="24"/>
          <w:szCs w:val="24"/>
        </w:rPr>
        <w:t>c)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A4CF0" w:rsidRPr="007A4CF0">
        <w:rPr>
          <w:rFonts w:asciiTheme="majorHAnsi" w:hAnsiTheme="majorHAnsi" w:cstheme="majorHAnsi"/>
          <w:sz w:val="24"/>
          <w:szCs w:val="24"/>
        </w:rPr>
        <w:t xml:space="preserve">Áno </w:t>
      </w:r>
      <w:r w:rsidR="007A4CF0">
        <w:rPr>
          <w:rFonts w:asciiTheme="majorHAnsi" w:hAnsiTheme="majorHAnsi" w:cstheme="majorHAnsi"/>
          <w:sz w:val="24"/>
          <w:szCs w:val="24"/>
        </w:rPr>
        <w:t xml:space="preserve">takáto situácia nastať </w:t>
      </w:r>
      <w:r w:rsidR="007A4CF0" w:rsidRPr="007A4CF0">
        <w:rPr>
          <w:rFonts w:asciiTheme="majorHAnsi" w:hAnsiTheme="majorHAnsi" w:cstheme="majorHAnsi"/>
          <w:sz w:val="24"/>
          <w:szCs w:val="24"/>
        </w:rPr>
        <w:t>môže. Ide</w:t>
      </w:r>
      <w:r w:rsidR="007A4CF0">
        <w:rPr>
          <w:rFonts w:asciiTheme="majorHAnsi" w:hAnsiTheme="majorHAnsi" w:cstheme="majorHAnsi"/>
          <w:sz w:val="24"/>
          <w:szCs w:val="24"/>
        </w:rPr>
        <w:t xml:space="preserve"> o </w:t>
      </w:r>
      <w:r w:rsidR="007A4CF0" w:rsidRPr="007A4CF0">
        <w:rPr>
          <w:rFonts w:asciiTheme="majorHAnsi" w:hAnsiTheme="majorHAnsi" w:cstheme="majorHAnsi"/>
          <w:sz w:val="24"/>
          <w:szCs w:val="24"/>
        </w:rPr>
        <w:t>konkurenci</w:t>
      </w:r>
      <w:r w:rsidR="007A4CF0">
        <w:rPr>
          <w:rFonts w:asciiTheme="majorHAnsi" w:hAnsiTheme="majorHAnsi" w:cstheme="majorHAnsi"/>
          <w:sz w:val="24"/>
          <w:szCs w:val="24"/>
        </w:rPr>
        <w:t>u</w:t>
      </w:r>
      <w:r w:rsidR="007A4CF0" w:rsidRPr="007A4CF0">
        <w:rPr>
          <w:rFonts w:asciiTheme="majorHAnsi" w:hAnsiTheme="majorHAnsi" w:cstheme="majorHAnsi"/>
          <w:sz w:val="24"/>
          <w:szCs w:val="24"/>
        </w:rPr>
        <w:t xml:space="preserve"> záložných práv</w:t>
      </w:r>
      <w:r w:rsidR="007A4CF0">
        <w:rPr>
          <w:rFonts w:asciiTheme="majorHAnsi" w:hAnsiTheme="majorHAnsi" w:cstheme="majorHAnsi"/>
          <w:sz w:val="24"/>
          <w:szCs w:val="24"/>
        </w:rPr>
        <w:t xml:space="preserve"> podľa </w:t>
      </w:r>
      <w:r w:rsidR="007A4CF0" w:rsidRPr="007A4CF0">
        <w:rPr>
          <w:rFonts w:asciiTheme="majorHAnsi" w:hAnsiTheme="majorHAnsi" w:cstheme="majorHAnsi"/>
          <w:sz w:val="24"/>
          <w:szCs w:val="24"/>
        </w:rPr>
        <w:t>§ 151m OZ</w:t>
      </w:r>
      <w:r w:rsidR="007A4CF0">
        <w:rPr>
          <w:rFonts w:asciiTheme="majorHAnsi" w:hAnsiTheme="majorHAnsi" w:cstheme="majorHAnsi"/>
          <w:sz w:val="24"/>
          <w:szCs w:val="24"/>
        </w:rPr>
        <w:t xml:space="preserve">. </w:t>
      </w:r>
      <w:r w:rsidR="007A4CF0" w:rsidRPr="007A4CF0">
        <w:rPr>
          <w:rFonts w:asciiTheme="majorHAnsi" w:hAnsiTheme="majorHAnsi" w:cstheme="majorHAnsi"/>
          <w:sz w:val="24"/>
          <w:szCs w:val="24"/>
        </w:rPr>
        <w:t>Platí zásada priority.</w:t>
      </w:r>
    </w:p>
    <w:p w:rsidR="00CF754E" w:rsidRPr="009F6226" w:rsidRDefault="00CF754E" w:rsidP="00AA6D1E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0B27C7" w:rsidRPr="007A4CF0" w:rsidRDefault="000B27C7" w:rsidP="007A4CF0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0B27C7" w:rsidRPr="007A4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59E8"/>
    <w:multiLevelType w:val="hybridMultilevel"/>
    <w:tmpl w:val="CC9E4F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7">
      <w:start w:val="1"/>
      <w:numFmt w:val="lowerLetter"/>
      <w:lvlText w:val="%2)"/>
      <w:lvlJc w:val="left"/>
      <w:pPr>
        <w:ind w:left="1440" w:hanging="360"/>
      </w:pPr>
    </w:lvl>
    <w:lvl w:ilvl="2" w:tplc="C3B4542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2039"/>
    <w:multiLevelType w:val="hybridMultilevel"/>
    <w:tmpl w:val="42E0EEAE"/>
    <w:lvl w:ilvl="0" w:tplc="041B0017">
      <w:start w:val="1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12002"/>
    <w:multiLevelType w:val="hybridMultilevel"/>
    <w:tmpl w:val="A064A072"/>
    <w:lvl w:ilvl="0" w:tplc="6412751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DAD"/>
    <w:multiLevelType w:val="hybridMultilevel"/>
    <w:tmpl w:val="38EAD81A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5F6154"/>
    <w:multiLevelType w:val="hybridMultilevel"/>
    <w:tmpl w:val="F13E9C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8143D"/>
    <w:multiLevelType w:val="hybridMultilevel"/>
    <w:tmpl w:val="6AD295E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A5AB0"/>
    <w:multiLevelType w:val="hybridMultilevel"/>
    <w:tmpl w:val="DB6A3428"/>
    <w:lvl w:ilvl="0" w:tplc="D298C0EE">
      <w:start w:val="6"/>
      <w:numFmt w:val="decimal"/>
      <w:lvlText w:val="%1."/>
      <w:lvlJc w:val="left"/>
      <w:pPr>
        <w:ind w:left="720" w:hanging="360"/>
      </w:pPr>
    </w:lvl>
    <w:lvl w:ilvl="1" w:tplc="041B0017">
      <w:start w:val="1"/>
      <w:numFmt w:val="lowerLetter"/>
      <w:lvlText w:val="%2)"/>
      <w:lvlJc w:val="left"/>
      <w:pPr>
        <w:ind w:left="1440" w:hanging="360"/>
      </w:pPr>
    </w:lvl>
    <w:lvl w:ilvl="2" w:tplc="C3B4542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E609D"/>
    <w:multiLevelType w:val="hybridMultilevel"/>
    <w:tmpl w:val="4E1C18F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D71274"/>
    <w:multiLevelType w:val="hybridMultilevel"/>
    <w:tmpl w:val="1E62D6E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C2352"/>
    <w:multiLevelType w:val="hybridMultilevel"/>
    <w:tmpl w:val="BF64D134"/>
    <w:lvl w:ilvl="0" w:tplc="041B000F">
      <w:start w:val="1"/>
      <w:numFmt w:val="decimal"/>
      <w:lvlText w:val="%1."/>
      <w:lvlJc w:val="left"/>
      <w:pPr>
        <w:ind w:left="786" w:hanging="360"/>
      </w:p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EAE7E08"/>
    <w:multiLevelType w:val="hybridMultilevel"/>
    <w:tmpl w:val="F4785ACA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0B3E1D"/>
    <w:multiLevelType w:val="hybridMultilevel"/>
    <w:tmpl w:val="E4ECC8E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9000B"/>
    <w:multiLevelType w:val="hybridMultilevel"/>
    <w:tmpl w:val="832A4B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  <w:lvlOverride w:ilvl="0">
      <w:startOverride w:val="6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</w:num>
  <w:num w:numId="12">
    <w:abstractNumId w:val="9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CF"/>
    <w:rsid w:val="000225BE"/>
    <w:rsid w:val="0002282F"/>
    <w:rsid w:val="00025951"/>
    <w:rsid w:val="000B27C7"/>
    <w:rsid w:val="000F6FF3"/>
    <w:rsid w:val="001945D1"/>
    <w:rsid w:val="001C4D80"/>
    <w:rsid w:val="001E2259"/>
    <w:rsid w:val="0021108B"/>
    <w:rsid w:val="0030615E"/>
    <w:rsid w:val="003878FD"/>
    <w:rsid w:val="00446AEF"/>
    <w:rsid w:val="004913ED"/>
    <w:rsid w:val="004B71CF"/>
    <w:rsid w:val="00587976"/>
    <w:rsid w:val="005C534C"/>
    <w:rsid w:val="0060251E"/>
    <w:rsid w:val="006A7921"/>
    <w:rsid w:val="006F55CE"/>
    <w:rsid w:val="00784313"/>
    <w:rsid w:val="007A4CF0"/>
    <w:rsid w:val="00882A09"/>
    <w:rsid w:val="008F607A"/>
    <w:rsid w:val="00913779"/>
    <w:rsid w:val="009F6226"/>
    <w:rsid w:val="00AA6D1E"/>
    <w:rsid w:val="00AB0250"/>
    <w:rsid w:val="00B10E8B"/>
    <w:rsid w:val="00B57D2E"/>
    <w:rsid w:val="00B62A54"/>
    <w:rsid w:val="00BC68E8"/>
    <w:rsid w:val="00C33F9E"/>
    <w:rsid w:val="00C34598"/>
    <w:rsid w:val="00C400B2"/>
    <w:rsid w:val="00CA2E66"/>
    <w:rsid w:val="00CF754E"/>
    <w:rsid w:val="00D46A58"/>
    <w:rsid w:val="00E22650"/>
    <w:rsid w:val="00E3516B"/>
    <w:rsid w:val="00E7052D"/>
    <w:rsid w:val="00E97348"/>
    <w:rsid w:val="00FA63CD"/>
    <w:rsid w:val="00FB0F6F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442F"/>
  <w15:chartTrackingRefBased/>
  <w15:docId w15:val="{40041472-BACF-4A22-8A74-40ED163A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2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60B4DCD0-0E0F-459B-83D4-819618633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Emma Macháčová</cp:lastModifiedBy>
  <cp:revision>6</cp:revision>
  <dcterms:created xsi:type="dcterms:W3CDTF">2020-03-28T20:56:00Z</dcterms:created>
  <dcterms:modified xsi:type="dcterms:W3CDTF">2020-03-30T13:44:00Z</dcterms:modified>
</cp:coreProperties>
</file>