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05FF" w:rsidRPr="008E7ED6" w:rsidRDefault="003305FF" w:rsidP="003305FF">
      <w:pPr>
        <w:jc w:val="both"/>
        <w:rPr>
          <w:rFonts w:ascii="Times New Roman" w:hAnsi="Times New Roman" w:cs="Times New Roman"/>
          <w:b/>
          <w:bCs/>
          <w:sz w:val="24"/>
          <w:szCs w:val="24"/>
        </w:rPr>
      </w:pPr>
      <w:r w:rsidRPr="008E7ED6">
        <w:rPr>
          <w:rFonts w:ascii="Segoe UI" w:hAnsi="Segoe UI" w:cs="Segoe UI"/>
          <w:color w:val="373A3C"/>
          <w:sz w:val="24"/>
          <w:szCs w:val="24"/>
          <w:shd w:val="clear" w:color="auto" w:fill="FFFFFF"/>
        </w:rPr>
        <w:t>martin.hamrik@flaw.uniba.sk </w:t>
      </w:r>
    </w:p>
    <w:p w:rsidR="003305FF" w:rsidRPr="008E7ED6" w:rsidRDefault="003305FF" w:rsidP="003305FF">
      <w:pPr>
        <w:jc w:val="both"/>
        <w:rPr>
          <w:rFonts w:ascii="Times New Roman" w:hAnsi="Times New Roman" w:cs="Times New Roman"/>
          <w:b/>
          <w:bCs/>
          <w:sz w:val="24"/>
          <w:szCs w:val="24"/>
        </w:rPr>
      </w:pPr>
      <w:r w:rsidRPr="008E7ED6">
        <w:rPr>
          <w:rFonts w:ascii="Times New Roman" w:hAnsi="Times New Roman" w:cs="Times New Roman"/>
          <w:b/>
          <w:bCs/>
          <w:sz w:val="24"/>
          <w:szCs w:val="24"/>
        </w:rPr>
        <w:t>Občianske právo hmotné 2 – externá forma štúdia</w:t>
      </w:r>
    </w:p>
    <w:p w:rsidR="003305FF" w:rsidRPr="008E7ED6" w:rsidRDefault="003305FF" w:rsidP="003305FF">
      <w:pPr>
        <w:jc w:val="both"/>
        <w:rPr>
          <w:rFonts w:ascii="Times New Roman" w:hAnsi="Times New Roman" w:cs="Times New Roman"/>
          <w:b/>
          <w:bCs/>
          <w:sz w:val="24"/>
          <w:szCs w:val="24"/>
          <w:u w:val="single"/>
        </w:rPr>
      </w:pPr>
    </w:p>
    <w:p w:rsidR="003305FF" w:rsidRPr="008E7ED6" w:rsidRDefault="003305FF" w:rsidP="003305FF">
      <w:pPr>
        <w:jc w:val="both"/>
        <w:rPr>
          <w:rFonts w:ascii="Times New Roman" w:hAnsi="Times New Roman" w:cs="Times New Roman"/>
          <w:b/>
          <w:bCs/>
          <w:sz w:val="24"/>
          <w:szCs w:val="24"/>
          <w:u w:val="single"/>
        </w:rPr>
      </w:pPr>
      <w:r w:rsidRPr="008E7ED6">
        <w:rPr>
          <w:rFonts w:ascii="Times New Roman" w:hAnsi="Times New Roman" w:cs="Times New Roman"/>
          <w:b/>
          <w:bCs/>
          <w:sz w:val="24"/>
          <w:szCs w:val="24"/>
          <w:u w:val="single"/>
        </w:rPr>
        <w:t>IV. konzultačné sústredenie – Dedičské právo</w:t>
      </w:r>
    </w:p>
    <w:p w:rsidR="003305FF" w:rsidRPr="008E7ED6" w:rsidRDefault="003305FF" w:rsidP="003305FF">
      <w:pPr>
        <w:spacing w:after="0" w:line="276" w:lineRule="auto"/>
        <w:jc w:val="both"/>
        <w:rPr>
          <w:rFonts w:ascii="Times New Roman" w:hAnsi="Times New Roman" w:cs="Times New Roman"/>
          <w:b/>
          <w:sz w:val="24"/>
          <w:szCs w:val="24"/>
          <w:u w:val="single"/>
        </w:rPr>
      </w:pPr>
    </w:p>
    <w:p w:rsidR="003305FF" w:rsidRPr="008E7ED6" w:rsidRDefault="003305FF" w:rsidP="003305FF">
      <w:pPr>
        <w:pStyle w:val="Odsekzoznamu"/>
        <w:numPr>
          <w:ilvl w:val="3"/>
          <w:numId w:val="1"/>
        </w:numPr>
        <w:spacing w:after="200"/>
        <w:ind w:left="426" w:hanging="426"/>
        <w:jc w:val="both"/>
        <w:rPr>
          <w:rFonts w:ascii="Times New Roman" w:hAnsi="Times New Roman" w:cs="Times New Roman"/>
          <w:b/>
          <w:sz w:val="24"/>
          <w:szCs w:val="24"/>
        </w:rPr>
      </w:pPr>
      <w:r w:rsidRPr="008E7ED6">
        <w:rPr>
          <w:rFonts w:ascii="Times New Roman" w:hAnsi="Times New Roman" w:cs="Times New Roman"/>
          <w:b/>
          <w:sz w:val="24"/>
          <w:szCs w:val="24"/>
        </w:rPr>
        <w:t xml:space="preserve">Zomrela poručiteľka. Závet nespísala. Bola rozvedená, bezdetná, žila sama. Z príbuzných mala iba synovca, ktorý mal dvoch synov, 14 ročné dvojičky. Synovec odmietol dedičstvo písomným vyhlásením na súde. Sestra poručiteľky mala aj dcéru, tá už ale taktiež zomrela. Zostal po nej 23ročný syn. Hodnota dedičskej podstaty bola 100.000 eur. Kto bude dediť a v akých podieloch? </w:t>
      </w:r>
    </w:p>
    <w:p w:rsidR="003305FF" w:rsidRPr="008E7ED6" w:rsidRDefault="003305FF" w:rsidP="003305FF">
      <w:pPr>
        <w:pStyle w:val="Odsekzoznamu"/>
        <w:spacing w:after="200"/>
        <w:ind w:left="426"/>
        <w:jc w:val="both"/>
        <w:rPr>
          <w:rFonts w:ascii="Times New Roman" w:hAnsi="Times New Roman" w:cs="Times New Roman"/>
          <w:bCs/>
          <w:sz w:val="24"/>
          <w:szCs w:val="24"/>
        </w:rPr>
      </w:pPr>
    </w:p>
    <w:p w:rsidR="003F34F1" w:rsidRPr="008E7ED6" w:rsidRDefault="00EF724C" w:rsidP="002C1963">
      <w:pPr>
        <w:pStyle w:val="Odsekzoznamu"/>
        <w:spacing w:after="200"/>
        <w:ind w:left="0"/>
        <w:jc w:val="both"/>
        <w:rPr>
          <w:rFonts w:asciiTheme="majorHAnsi" w:hAnsiTheme="majorHAnsi" w:cstheme="majorHAnsi"/>
          <w:bCs/>
          <w:sz w:val="24"/>
          <w:szCs w:val="24"/>
        </w:rPr>
      </w:pPr>
      <w:r w:rsidRPr="008E7ED6">
        <w:rPr>
          <w:rFonts w:asciiTheme="majorHAnsi" w:hAnsiTheme="majorHAnsi" w:cstheme="majorHAnsi"/>
          <w:bCs/>
          <w:sz w:val="24"/>
          <w:szCs w:val="24"/>
        </w:rPr>
        <w:t xml:space="preserve">Poručiteľka nenapísala závet, a zo zákona po nej majú až </w:t>
      </w:r>
      <w:r w:rsidR="003F34F1" w:rsidRPr="008E7ED6">
        <w:rPr>
          <w:rFonts w:asciiTheme="majorHAnsi" w:hAnsiTheme="majorHAnsi" w:cstheme="majorHAnsi"/>
          <w:bCs/>
          <w:sz w:val="24"/>
          <w:szCs w:val="24"/>
        </w:rPr>
        <w:t xml:space="preserve">v 3. skupine </w:t>
      </w:r>
      <w:r w:rsidRPr="008E7ED6">
        <w:rPr>
          <w:rFonts w:asciiTheme="majorHAnsi" w:hAnsiTheme="majorHAnsi" w:cstheme="majorHAnsi"/>
          <w:bCs/>
          <w:sz w:val="24"/>
          <w:szCs w:val="24"/>
        </w:rPr>
        <w:t>(§475 ods. 1 OZ) dediť</w:t>
      </w:r>
      <w:r w:rsidR="003F34F1" w:rsidRPr="008E7ED6">
        <w:rPr>
          <w:rFonts w:asciiTheme="majorHAnsi" w:hAnsiTheme="majorHAnsi" w:cstheme="majorHAnsi"/>
          <w:bCs/>
          <w:sz w:val="24"/>
          <w:szCs w:val="24"/>
        </w:rPr>
        <w:t xml:space="preserve"> súrodenci (alebo rovnakým dielom ich deti</w:t>
      </w:r>
      <w:r w:rsidRPr="008E7ED6">
        <w:rPr>
          <w:rFonts w:asciiTheme="majorHAnsi" w:hAnsiTheme="majorHAnsi" w:cstheme="majorHAnsi"/>
          <w:bCs/>
          <w:sz w:val="24"/>
          <w:szCs w:val="24"/>
        </w:rPr>
        <w:t xml:space="preserve"> §475 ods. 2 OZ</w:t>
      </w:r>
      <w:r w:rsidR="003F34F1" w:rsidRPr="008E7ED6">
        <w:rPr>
          <w:rFonts w:asciiTheme="majorHAnsi" w:hAnsiTheme="majorHAnsi" w:cstheme="majorHAnsi"/>
          <w:bCs/>
          <w:sz w:val="24"/>
          <w:szCs w:val="24"/>
        </w:rPr>
        <w:t xml:space="preserve">) – </w:t>
      </w:r>
      <w:r w:rsidR="002C1963" w:rsidRPr="008E7ED6">
        <w:rPr>
          <w:rFonts w:asciiTheme="majorHAnsi" w:hAnsiTheme="majorHAnsi" w:cstheme="majorHAnsi"/>
          <w:bCs/>
          <w:sz w:val="24"/>
          <w:szCs w:val="24"/>
        </w:rPr>
        <w:t>súrodenci nežijú, tak dedičský podiel by nadobudli synovec s neterou. S</w:t>
      </w:r>
      <w:r w:rsidR="003F34F1" w:rsidRPr="008E7ED6">
        <w:rPr>
          <w:rFonts w:asciiTheme="majorHAnsi" w:hAnsiTheme="majorHAnsi" w:cstheme="majorHAnsi"/>
          <w:bCs/>
          <w:sz w:val="24"/>
          <w:szCs w:val="24"/>
        </w:rPr>
        <w:t>ynovec</w:t>
      </w:r>
      <w:r w:rsidR="002C1963" w:rsidRPr="008E7ED6">
        <w:rPr>
          <w:rFonts w:asciiTheme="majorHAnsi" w:hAnsiTheme="majorHAnsi" w:cstheme="majorHAnsi"/>
          <w:bCs/>
          <w:sz w:val="24"/>
          <w:szCs w:val="24"/>
        </w:rPr>
        <w:t xml:space="preserve"> ale</w:t>
      </w:r>
      <w:r w:rsidR="003F34F1" w:rsidRPr="008E7ED6">
        <w:rPr>
          <w:rFonts w:asciiTheme="majorHAnsi" w:hAnsiTheme="majorHAnsi" w:cstheme="majorHAnsi"/>
          <w:bCs/>
          <w:sz w:val="24"/>
          <w:szCs w:val="24"/>
        </w:rPr>
        <w:t xml:space="preserve"> dedičstvo odmietol a neter zomrela</w:t>
      </w:r>
      <w:r w:rsidR="002C1963" w:rsidRPr="008E7ED6">
        <w:rPr>
          <w:rFonts w:asciiTheme="majorHAnsi" w:hAnsiTheme="majorHAnsi" w:cstheme="majorHAnsi"/>
          <w:bCs/>
          <w:sz w:val="24"/>
          <w:szCs w:val="24"/>
        </w:rPr>
        <w:t>,</w:t>
      </w:r>
      <w:r w:rsidR="003F34F1" w:rsidRPr="008E7ED6">
        <w:rPr>
          <w:rFonts w:asciiTheme="majorHAnsi" w:hAnsiTheme="majorHAnsi" w:cstheme="majorHAnsi"/>
          <w:bCs/>
          <w:sz w:val="24"/>
          <w:szCs w:val="24"/>
        </w:rPr>
        <w:t xml:space="preserve"> </w:t>
      </w:r>
      <w:r w:rsidRPr="008E7ED6">
        <w:rPr>
          <w:rFonts w:asciiTheme="majorHAnsi" w:hAnsiTheme="majorHAnsi" w:cstheme="majorHAnsi"/>
          <w:bCs/>
          <w:sz w:val="24"/>
          <w:szCs w:val="24"/>
        </w:rPr>
        <w:t xml:space="preserve">čiže </w:t>
      </w:r>
      <w:r w:rsidR="002C1963" w:rsidRPr="008E7ED6">
        <w:rPr>
          <w:rFonts w:asciiTheme="majorHAnsi" w:hAnsiTheme="majorHAnsi" w:cstheme="majorHAnsi"/>
          <w:bCs/>
          <w:sz w:val="24"/>
          <w:szCs w:val="24"/>
        </w:rPr>
        <w:t>podľa §462 OZ dedičstvo patrí štátu.</w:t>
      </w:r>
    </w:p>
    <w:p w:rsidR="002C1963" w:rsidRPr="008E7ED6" w:rsidRDefault="002C1963" w:rsidP="002C1963">
      <w:pPr>
        <w:pStyle w:val="Odsekzoznamu"/>
        <w:spacing w:after="200"/>
        <w:ind w:left="426"/>
        <w:jc w:val="both"/>
        <w:rPr>
          <w:rFonts w:ascii="Times New Roman" w:hAnsi="Times New Roman" w:cs="Times New Roman"/>
          <w:b/>
          <w:sz w:val="24"/>
          <w:szCs w:val="24"/>
        </w:rPr>
      </w:pPr>
    </w:p>
    <w:p w:rsidR="00A761B4" w:rsidRPr="008E7ED6" w:rsidRDefault="00A761B4">
      <w:pPr>
        <w:rPr>
          <w:rFonts w:ascii="Times New Roman" w:hAnsi="Times New Roman" w:cs="Times New Roman"/>
          <w:b/>
          <w:sz w:val="24"/>
          <w:szCs w:val="24"/>
        </w:rPr>
      </w:pPr>
      <w:r w:rsidRPr="008E7ED6">
        <w:rPr>
          <w:rFonts w:ascii="Times New Roman" w:hAnsi="Times New Roman" w:cs="Times New Roman"/>
          <w:b/>
          <w:sz w:val="24"/>
          <w:szCs w:val="24"/>
        </w:rPr>
        <w:br w:type="page"/>
      </w:r>
    </w:p>
    <w:p w:rsidR="003305FF" w:rsidRPr="008E7ED6" w:rsidRDefault="008E7ED6" w:rsidP="003305FF">
      <w:pPr>
        <w:pStyle w:val="Odsekzoznamu"/>
        <w:numPr>
          <w:ilvl w:val="3"/>
          <w:numId w:val="1"/>
        </w:numPr>
        <w:spacing w:after="200"/>
        <w:ind w:left="426" w:hanging="426"/>
        <w:jc w:val="both"/>
        <w:rPr>
          <w:rFonts w:ascii="Times New Roman" w:hAnsi="Times New Roman" w:cs="Times New Roman"/>
          <w:b/>
          <w:sz w:val="24"/>
          <w:szCs w:val="24"/>
        </w:rPr>
      </w:pPr>
      <w:r w:rsidRPr="008E7ED6">
        <w:rPr>
          <w:rFonts w:ascii="Times New Roman" w:hAnsi="Times New Roman" w:cs="Times New Roman"/>
          <w:b/>
          <w:sz w:val="24"/>
          <w:szCs w:val="24"/>
        </w:rPr>
        <w:lastRenderedPageBreak/>
        <w:t xml:space="preserve"> </w:t>
      </w:r>
      <w:r w:rsidR="003305FF" w:rsidRPr="008E7ED6">
        <w:rPr>
          <w:rFonts w:ascii="Times New Roman" w:hAnsi="Times New Roman" w:cs="Times New Roman"/>
          <w:b/>
          <w:sz w:val="24"/>
          <w:szCs w:val="24"/>
        </w:rPr>
        <w:t>Vediete stĺpček „Právnik radí“ v časopise Štrikovanie pre každého. Odpovedzte na dotaz čitateľky: „Tesne pred smrťou mi moja mamička darovala rodičovský dom aj s priľahlým pozemkom za to, že som sa o ňu po celé roky jej ťažkej choroby osobne starala. Mám ešte dvoch súrodencov, sestru, ktorá na mňa zanevrela, lebo je presvedčená, že mamička bola pri spisovaní darovacej zmluvy nesvojprávna a ja som ju zmanipulovala. Mám ešte aj brata, s ktorým však nemám žiadny kontakt a neviem, kde býva a či vôbec niekde býva, keďže sa ho naša mamička zriekla po tom, čo brat fyzicky napadol nášho otca a ten podľahol infarktu. Medzičasom kontakt s mamičkou ešte obnovil, ale neviem, či sa o jej smrti vôbec dozvedel. Doposiaľ neprebehlo dedičské konanie, avšak viem, že mamička mala úspory na vkladnej knižke asi v hodnote 180 000 eur. Zaujíma ma, ako budeme dediť a či môže sestra nejakým spôsobom napadnúť platnosť darovacej zmluvy. Rovnako ma zaujíma, ako bude notár postupovať v súvislosti s naším bratom. Za odpoveď vopred ďakujem.“</w:t>
      </w:r>
    </w:p>
    <w:p w:rsidR="00A761B4" w:rsidRPr="008E7ED6" w:rsidRDefault="00A761B4" w:rsidP="00A761B4">
      <w:pPr>
        <w:pStyle w:val="Normlnywebov"/>
        <w:shd w:val="clear" w:color="auto" w:fill="FCFCFA"/>
        <w:spacing w:line="270" w:lineRule="atLeast"/>
        <w:jc w:val="both"/>
        <w:rPr>
          <w:rFonts w:asciiTheme="majorHAnsi" w:hAnsiTheme="majorHAnsi" w:cstheme="majorHAnsi"/>
          <w:bCs/>
        </w:rPr>
      </w:pPr>
      <w:r w:rsidRPr="008E7ED6">
        <w:rPr>
          <w:rFonts w:asciiTheme="majorHAnsi" w:hAnsiTheme="majorHAnsi" w:cstheme="majorHAnsi"/>
          <w:bCs/>
        </w:rPr>
        <w:t xml:space="preserve">Poručiteľka nenapísala závet, tak v prvej skupine po nej budú dediť deti. Čitateľka počas života poručiteľky však dostala dar mimoriadnej hodnoty – postupovalo by sa teda podľa §484 OZ. </w:t>
      </w:r>
    </w:p>
    <w:p w:rsidR="00A761B4" w:rsidRPr="008E7ED6" w:rsidRDefault="00A761B4" w:rsidP="00A761B4">
      <w:pPr>
        <w:pStyle w:val="Normlnywebov"/>
        <w:shd w:val="clear" w:color="auto" w:fill="FCFCFA"/>
        <w:spacing w:line="270" w:lineRule="atLeast"/>
        <w:jc w:val="both"/>
        <w:rPr>
          <w:rFonts w:asciiTheme="majorHAnsi" w:hAnsiTheme="majorHAnsi" w:cstheme="majorHAnsi"/>
          <w:bCs/>
        </w:rPr>
      </w:pPr>
      <w:r w:rsidRPr="008E7ED6">
        <w:rPr>
          <w:rFonts w:asciiTheme="majorHAnsi" w:hAnsiTheme="majorHAnsi" w:cstheme="majorHAnsi"/>
        </w:rPr>
        <w:t xml:space="preserve">Pri započítaní v zmysle § 484 ods. 1 Občianskeho zákonníka sa hodnota toho,  čo niektorý z dedičov obdržal od poručiteľa počas jeho života ako dar nad rámec obvyklého darovania, pripočíta k celkovej hodnote zanechaného </w:t>
      </w:r>
      <w:r w:rsidRPr="008E7ED6">
        <w:rPr>
          <w:rFonts w:asciiTheme="majorHAnsi" w:hAnsiTheme="majorHAnsi" w:cstheme="majorHAnsi"/>
          <w:bCs/>
        </w:rPr>
        <w:t>majetku poručiteľa, zo súčtu týchto hodnôt sa vypočíta výška podielu zo zákona a od takto určeného podielu sa obdarovanému dedičovi odpočíta to, čo je predmetom zápočtu.</w:t>
      </w:r>
    </w:p>
    <w:p w:rsidR="00A761B4" w:rsidRPr="008E7ED6" w:rsidRDefault="00A761B4" w:rsidP="00A761B4">
      <w:pPr>
        <w:pStyle w:val="Normlnywebov"/>
        <w:shd w:val="clear" w:color="auto" w:fill="FCFCFA"/>
        <w:spacing w:line="270" w:lineRule="atLeast"/>
        <w:jc w:val="both"/>
        <w:rPr>
          <w:rFonts w:asciiTheme="majorHAnsi" w:hAnsiTheme="majorHAnsi" w:cstheme="majorHAnsi"/>
          <w:bCs/>
        </w:rPr>
      </w:pPr>
      <w:r w:rsidRPr="008E7ED6">
        <w:rPr>
          <w:rFonts w:asciiTheme="majorHAnsi" w:hAnsiTheme="majorHAnsi" w:cstheme="majorHAnsi"/>
          <w:bCs/>
        </w:rPr>
        <w:t>Už zo samej podstaty matematického výpočtu, ktorým sa realizuje započítanie v zmysle § 484 ods. 1 Občianskeho zákonníka, je zrejmé, že význam tu má nielen správne určenie celkovej ceny poručiteľovho majetku v čase jeho smrti, ale tiež správne určenie hodnoty daru (zápočtu). Hodnota daru v čase jeho nadobudnutia (najmä v prípade nehnuteľností) nemusí byť totožná s hodnotou daru v čase smrti poručiteľa; rozhodujúcou však je všeobecná cena darovanej veci v čase darovania, teda nie v čase smrti poručiteľa alebo prejednania dedičstva.</w:t>
      </w:r>
    </w:p>
    <w:p w:rsidR="00A761B4" w:rsidRPr="008E7ED6" w:rsidRDefault="00A761B4" w:rsidP="002C1963">
      <w:pPr>
        <w:spacing w:after="200"/>
        <w:jc w:val="both"/>
        <w:rPr>
          <w:rFonts w:asciiTheme="majorHAnsi" w:eastAsia="Times New Roman" w:hAnsiTheme="majorHAnsi" w:cstheme="majorHAnsi"/>
          <w:bCs/>
          <w:sz w:val="24"/>
          <w:szCs w:val="24"/>
          <w:lang w:eastAsia="sk-SK"/>
        </w:rPr>
      </w:pPr>
    </w:p>
    <w:p w:rsidR="002C1963" w:rsidRPr="008E7ED6" w:rsidRDefault="00A761B4" w:rsidP="002C1963">
      <w:pPr>
        <w:spacing w:after="200"/>
        <w:jc w:val="both"/>
        <w:rPr>
          <w:rFonts w:asciiTheme="majorHAnsi" w:eastAsia="Times New Roman" w:hAnsiTheme="majorHAnsi" w:cstheme="majorHAnsi"/>
          <w:bCs/>
          <w:sz w:val="24"/>
          <w:szCs w:val="24"/>
          <w:lang w:eastAsia="sk-SK"/>
        </w:rPr>
      </w:pPr>
      <w:r w:rsidRPr="008E7ED6">
        <w:rPr>
          <w:rFonts w:asciiTheme="majorHAnsi" w:eastAsia="Times New Roman" w:hAnsiTheme="majorHAnsi" w:cstheme="majorHAnsi"/>
          <w:bCs/>
          <w:sz w:val="24"/>
          <w:szCs w:val="24"/>
          <w:lang w:eastAsia="sk-SK"/>
        </w:rPr>
        <w:t>V prípade, že išlo o trestný čin, b</w:t>
      </w:r>
      <w:r w:rsidR="002C1963" w:rsidRPr="008E7ED6">
        <w:rPr>
          <w:rFonts w:asciiTheme="majorHAnsi" w:eastAsia="Times New Roman" w:hAnsiTheme="majorHAnsi" w:cstheme="majorHAnsi"/>
          <w:bCs/>
          <w:sz w:val="24"/>
          <w:szCs w:val="24"/>
          <w:lang w:eastAsia="sk-SK"/>
        </w:rPr>
        <w:t>rat nie je dedičsky spôsobilý</w:t>
      </w:r>
      <w:r w:rsidRPr="008E7ED6">
        <w:rPr>
          <w:rFonts w:asciiTheme="majorHAnsi" w:eastAsia="Times New Roman" w:hAnsiTheme="majorHAnsi" w:cstheme="majorHAnsi"/>
          <w:bCs/>
          <w:sz w:val="24"/>
          <w:szCs w:val="24"/>
          <w:lang w:eastAsia="sk-SK"/>
        </w:rPr>
        <w:t>,</w:t>
      </w:r>
      <w:r w:rsidR="002C1963" w:rsidRPr="008E7ED6">
        <w:rPr>
          <w:rFonts w:asciiTheme="majorHAnsi" w:eastAsia="Times New Roman" w:hAnsiTheme="majorHAnsi" w:cstheme="majorHAnsi"/>
          <w:bCs/>
          <w:sz w:val="24"/>
          <w:szCs w:val="24"/>
          <w:lang w:eastAsia="sk-SK"/>
        </w:rPr>
        <w:t xml:space="preserve"> podľa</w:t>
      </w:r>
      <w:r w:rsidRPr="008E7ED6">
        <w:rPr>
          <w:rFonts w:asciiTheme="majorHAnsi" w:eastAsia="Times New Roman" w:hAnsiTheme="majorHAnsi" w:cstheme="majorHAnsi"/>
          <w:bCs/>
          <w:sz w:val="24"/>
          <w:szCs w:val="24"/>
          <w:lang w:eastAsia="sk-SK"/>
        </w:rPr>
        <w:t xml:space="preserve"> §469 OZ. V prípade že je, sa bude postupovať podľa §468, nakoľko jeho pobyt nie je známy.</w:t>
      </w:r>
    </w:p>
    <w:p w:rsidR="003305FF" w:rsidRPr="008E7ED6" w:rsidRDefault="003305FF" w:rsidP="003305FF">
      <w:pPr>
        <w:pStyle w:val="Odsekzoznamu"/>
        <w:jc w:val="both"/>
        <w:rPr>
          <w:rFonts w:asciiTheme="majorHAnsi" w:eastAsia="Times New Roman" w:hAnsiTheme="majorHAnsi" w:cstheme="majorHAnsi"/>
          <w:bCs/>
          <w:sz w:val="24"/>
          <w:szCs w:val="24"/>
          <w:lang w:eastAsia="sk-SK"/>
        </w:rPr>
      </w:pPr>
    </w:p>
    <w:p w:rsidR="003F34F1" w:rsidRPr="008E7ED6" w:rsidRDefault="003F34F1">
      <w:pPr>
        <w:rPr>
          <w:rFonts w:ascii="Times New Roman" w:hAnsi="Times New Roman" w:cs="Times New Roman"/>
          <w:b/>
          <w:sz w:val="24"/>
          <w:szCs w:val="24"/>
        </w:rPr>
      </w:pPr>
      <w:r w:rsidRPr="008E7ED6">
        <w:rPr>
          <w:rFonts w:ascii="Times New Roman" w:hAnsi="Times New Roman" w:cs="Times New Roman"/>
          <w:b/>
          <w:sz w:val="24"/>
          <w:szCs w:val="24"/>
        </w:rPr>
        <w:br w:type="page"/>
      </w:r>
    </w:p>
    <w:p w:rsidR="003305FF" w:rsidRPr="008E7ED6" w:rsidRDefault="003305FF" w:rsidP="003305FF">
      <w:pPr>
        <w:pStyle w:val="Odsekzoznamu"/>
        <w:numPr>
          <w:ilvl w:val="3"/>
          <w:numId w:val="1"/>
        </w:numPr>
        <w:spacing w:after="200"/>
        <w:ind w:left="426" w:hanging="426"/>
        <w:jc w:val="both"/>
        <w:rPr>
          <w:rFonts w:ascii="Times New Roman" w:hAnsi="Times New Roman" w:cs="Times New Roman"/>
          <w:b/>
          <w:sz w:val="24"/>
          <w:szCs w:val="24"/>
        </w:rPr>
      </w:pPr>
      <w:r w:rsidRPr="008E7ED6">
        <w:rPr>
          <w:rFonts w:ascii="Times New Roman" w:hAnsi="Times New Roman" w:cs="Times New Roman"/>
          <w:b/>
          <w:sz w:val="24"/>
          <w:szCs w:val="24"/>
        </w:rPr>
        <w:t>Posúďte takúto poslednú vôľu poručiteľky: „keďže moja jediná dcéra Erika Poláková vedie neusporiadaný život tým, že do veku 30 rokov života sa už trikrát rozviedla, vyhľadáva známosti s mužmi a doposiaľ v žiadnom zamestnaní nevydržala viac ako 6 mesiacov, nariaďujem, aby po mojej smrti zdedila iba tretinu mojej pozostalosti, hoci by mala nárok na celú.“</w:t>
      </w:r>
    </w:p>
    <w:p w:rsidR="003305FF" w:rsidRPr="008E7ED6" w:rsidRDefault="003305FF" w:rsidP="003305FF">
      <w:pPr>
        <w:pStyle w:val="Odsekzoznamu"/>
        <w:jc w:val="both"/>
        <w:rPr>
          <w:rFonts w:ascii="Times New Roman" w:hAnsi="Times New Roman" w:cs="Times New Roman"/>
          <w:b/>
          <w:sz w:val="24"/>
          <w:szCs w:val="24"/>
        </w:rPr>
      </w:pPr>
    </w:p>
    <w:p w:rsidR="008E7ED6" w:rsidRDefault="008E7ED6" w:rsidP="008E7ED6">
      <w:pPr>
        <w:jc w:val="both"/>
        <w:rPr>
          <w:rStyle w:val="Vrazn"/>
          <w:rFonts w:asciiTheme="majorHAnsi" w:hAnsiTheme="majorHAnsi" w:cstheme="majorHAnsi"/>
          <w:b w:val="0"/>
          <w:bCs w:val="0"/>
          <w:i/>
          <w:iCs/>
          <w:color w:val="1D1D1D"/>
          <w:sz w:val="24"/>
          <w:szCs w:val="24"/>
          <w:shd w:val="clear" w:color="auto" w:fill="FFFFFF"/>
        </w:rPr>
      </w:pPr>
      <w:r w:rsidRPr="008E7ED6">
        <w:rPr>
          <w:rFonts w:asciiTheme="majorHAnsi" w:hAnsiTheme="majorHAnsi" w:cstheme="majorHAnsi"/>
          <w:b/>
          <w:bCs/>
          <w:color w:val="1D1D1D"/>
          <w:sz w:val="24"/>
          <w:szCs w:val="24"/>
          <w:shd w:val="clear" w:color="auto" w:fill="FFFFFF"/>
        </w:rPr>
        <w:t> </w:t>
      </w:r>
      <w:r w:rsidRPr="008E7ED6">
        <w:rPr>
          <w:rStyle w:val="Vrazn"/>
          <w:rFonts w:asciiTheme="majorHAnsi" w:hAnsiTheme="majorHAnsi" w:cstheme="majorHAnsi"/>
          <w:b w:val="0"/>
          <w:bCs w:val="0"/>
          <w:color w:val="1D1D1D"/>
          <w:sz w:val="24"/>
          <w:szCs w:val="24"/>
          <w:shd w:val="clear" w:color="auto" w:fill="FFFFFF"/>
        </w:rPr>
        <w:t>§ 479</w:t>
      </w:r>
      <w:r w:rsidRPr="008E7ED6">
        <w:rPr>
          <w:rFonts w:asciiTheme="majorHAnsi" w:hAnsiTheme="majorHAnsi" w:cstheme="majorHAnsi"/>
          <w:b/>
          <w:bCs/>
          <w:color w:val="1D1D1D"/>
          <w:sz w:val="24"/>
          <w:szCs w:val="24"/>
          <w:shd w:val="clear" w:color="auto" w:fill="FFFFFF"/>
        </w:rPr>
        <w:t> </w:t>
      </w:r>
      <w:r w:rsidRPr="008E7ED6">
        <w:rPr>
          <w:rFonts w:asciiTheme="majorHAnsi" w:hAnsiTheme="majorHAnsi" w:cstheme="majorHAnsi"/>
          <w:color w:val="1D1D1D"/>
          <w:sz w:val="24"/>
          <w:szCs w:val="24"/>
          <w:shd w:val="clear" w:color="auto" w:fill="FFFFFF"/>
        </w:rPr>
        <w:t>OZ</w:t>
      </w:r>
      <w:r w:rsidRPr="008E7ED6">
        <w:rPr>
          <w:rFonts w:asciiTheme="majorHAnsi" w:hAnsiTheme="majorHAnsi" w:cstheme="majorHAnsi"/>
          <w:b/>
          <w:bCs/>
          <w:color w:val="1D1D1D"/>
          <w:sz w:val="24"/>
          <w:szCs w:val="24"/>
          <w:shd w:val="clear" w:color="auto" w:fill="FFFFFF"/>
        </w:rPr>
        <w:t>: </w:t>
      </w:r>
      <w:r w:rsidRPr="008E7ED6">
        <w:rPr>
          <w:rStyle w:val="Vrazn"/>
          <w:rFonts w:asciiTheme="majorHAnsi" w:hAnsiTheme="majorHAnsi" w:cstheme="majorHAnsi"/>
          <w:b w:val="0"/>
          <w:bCs w:val="0"/>
          <w:i/>
          <w:iCs/>
          <w:color w:val="1D1D1D"/>
          <w:sz w:val="24"/>
          <w:szCs w:val="24"/>
          <w:shd w:val="clear" w:color="auto" w:fill="FFFFFF"/>
        </w:rPr>
        <w:t>„Maloletým potomkom sa musí dostať aspoň toľko, koľko robí ich dedičský podiel zo zákona, a plnoletým potomkom aspoň toľko, koľko robí jedna polovica ich dedičského podielu zo zákona. Pokiaľ tomu závet odporuje, je v tejto časti neplatný, ak nedošlo k vydedeniu uvedených potomkov.“</w:t>
      </w:r>
    </w:p>
    <w:p w:rsidR="008E7ED6" w:rsidRDefault="008E7ED6" w:rsidP="008E7ED6">
      <w:pPr>
        <w:jc w:val="both"/>
        <w:rPr>
          <w:rStyle w:val="Vrazn"/>
          <w:rFonts w:asciiTheme="majorHAnsi" w:hAnsiTheme="majorHAnsi" w:cstheme="majorHAnsi"/>
          <w:b w:val="0"/>
          <w:bCs w:val="0"/>
          <w:color w:val="1D1D1D"/>
          <w:sz w:val="24"/>
          <w:szCs w:val="24"/>
          <w:shd w:val="clear" w:color="auto" w:fill="FFFFFF"/>
        </w:rPr>
      </w:pPr>
      <w:r>
        <w:rPr>
          <w:rStyle w:val="Vrazn"/>
          <w:rFonts w:asciiTheme="majorHAnsi" w:hAnsiTheme="majorHAnsi" w:cstheme="majorHAnsi"/>
          <w:b w:val="0"/>
          <w:bCs w:val="0"/>
          <w:color w:val="1D1D1D"/>
          <w:sz w:val="24"/>
          <w:szCs w:val="24"/>
          <w:shd w:val="clear" w:color="auto" w:fill="FFFFFF"/>
        </w:rPr>
        <w:t>Materiálnou náležitosťou vydedenia je platný dôvod, čo by v tomto prípade mohol byť podľa §469a ods. 1 písmeno d) OZ, trvalé vedenie neusporiadaného života.</w:t>
      </w:r>
    </w:p>
    <w:p w:rsidR="00761B7A" w:rsidRDefault="008E7ED6" w:rsidP="008E7ED6">
      <w:pPr>
        <w:jc w:val="both"/>
        <w:rPr>
          <w:rFonts w:asciiTheme="majorHAnsi" w:hAnsiTheme="majorHAnsi" w:cstheme="majorHAnsi"/>
          <w:color w:val="1D1D1D"/>
          <w:sz w:val="24"/>
          <w:szCs w:val="24"/>
          <w:shd w:val="clear" w:color="auto" w:fill="FFFFFF"/>
        </w:rPr>
      </w:pPr>
      <w:r w:rsidRPr="008E7ED6">
        <w:rPr>
          <w:rStyle w:val="Vrazn"/>
          <w:rFonts w:asciiTheme="majorHAnsi" w:hAnsiTheme="majorHAnsi" w:cstheme="majorHAnsi"/>
          <w:b w:val="0"/>
          <w:bCs w:val="0"/>
          <w:color w:val="1D1D1D"/>
          <w:sz w:val="24"/>
          <w:szCs w:val="24"/>
          <w:shd w:val="clear" w:color="auto" w:fill="FFFFFF"/>
        </w:rPr>
        <w:t>Formálnou náležitosťou vydedenia</w:t>
      </w:r>
      <w:r w:rsidR="00761B7A">
        <w:rPr>
          <w:rStyle w:val="Vrazn"/>
          <w:rFonts w:asciiTheme="majorHAnsi" w:hAnsiTheme="majorHAnsi" w:cstheme="majorHAnsi"/>
          <w:b w:val="0"/>
          <w:bCs w:val="0"/>
          <w:color w:val="1D1D1D"/>
          <w:sz w:val="24"/>
          <w:szCs w:val="24"/>
          <w:shd w:val="clear" w:color="auto" w:fill="FFFFFF"/>
        </w:rPr>
        <w:t xml:space="preserve"> (aj čiastočného)</w:t>
      </w:r>
      <w:r w:rsidRPr="008E7ED6">
        <w:rPr>
          <w:rStyle w:val="Vrazn"/>
          <w:rFonts w:asciiTheme="majorHAnsi" w:hAnsiTheme="majorHAnsi" w:cstheme="majorHAnsi"/>
          <w:b w:val="0"/>
          <w:bCs w:val="0"/>
          <w:color w:val="1D1D1D"/>
          <w:sz w:val="24"/>
          <w:szCs w:val="24"/>
          <w:shd w:val="clear" w:color="auto" w:fill="FFFFFF"/>
        </w:rPr>
        <w:t xml:space="preserve"> je</w:t>
      </w:r>
      <w:r w:rsidR="00761B7A">
        <w:rPr>
          <w:rStyle w:val="Vrazn"/>
          <w:rFonts w:asciiTheme="majorHAnsi" w:hAnsiTheme="majorHAnsi" w:cstheme="majorHAnsi"/>
          <w:b w:val="0"/>
          <w:bCs w:val="0"/>
          <w:color w:val="1D1D1D"/>
          <w:sz w:val="24"/>
          <w:szCs w:val="24"/>
          <w:shd w:val="clear" w:color="auto" w:fill="FFFFFF"/>
        </w:rPr>
        <w:t xml:space="preserve"> ale</w:t>
      </w:r>
      <w:r w:rsidRPr="008E7ED6">
        <w:rPr>
          <w:rStyle w:val="Vrazn"/>
          <w:rFonts w:asciiTheme="majorHAnsi" w:hAnsiTheme="majorHAnsi" w:cstheme="majorHAnsi"/>
          <w:b w:val="0"/>
          <w:bCs w:val="0"/>
          <w:color w:val="1D1D1D"/>
          <w:sz w:val="24"/>
          <w:szCs w:val="24"/>
          <w:shd w:val="clear" w:color="auto" w:fill="FFFFFF"/>
        </w:rPr>
        <w:t xml:space="preserve"> vyhotovenie listiny o vydedení.</w:t>
      </w:r>
      <w:r w:rsidRPr="008E7ED6">
        <w:rPr>
          <w:rFonts w:asciiTheme="majorHAnsi" w:hAnsiTheme="majorHAnsi" w:cstheme="majorHAnsi"/>
          <w:b/>
          <w:bCs/>
          <w:color w:val="1D1D1D"/>
          <w:sz w:val="24"/>
          <w:szCs w:val="24"/>
          <w:shd w:val="clear" w:color="auto" w:fill="FFFFFF"/>
        </w:rPr>
        <w:t> </w:t>
      </w:r>
      <w:r w:rsidRPr="008E7ED6">
        <w:rPr>
          <w:rFonts w:asciiTheme="majorHAnsi" w:hAnsiTheme="majorHAnsi" w:cstheme="majorHAnsi"/>
          <w:color w:val="1D1D1D"/>
          <w:sz w:val="24"/>
          <w:szCs w:val="24"/>
          <w:shd w:val="clear" w:color="auto" w:fill="FFFFFF"/>
        </w:rPr>
        <w:t>Tá musí okrem náležitosti, ktoré zákon vyžaduje na spísanie závetu (§ 476-480 OZ), obsahovať aj </w:t>
      </w:r>
      <w:r w:rsidRPr="008E7ED6">
        <w:rPr>
          <w:rStyle w:val="Vrazn"/>
          <w:rFonts w:asciiTheme="majorHAnsi" w:hAnsiTheme="majorHAnsi" w:cstheme="majorHAnsi"/>
          <w:b w:val="0"/>
          <w:bCs w:val="0"/>
          <w:color w:val="1D1D1D"/>
          <w:sz w:val="24"/>
          <w:szCs w:val="24"/>
          <w:shd w:val="clear" w:color="auto" w:fill="FFFFFF"/>
        </w:rPr>
        <w:t>dôvod vydedenia</w:t>
      </w:r>
      <w:r w:rsidRPr="008E7ED6">
        <w:rPr>
          <w:rFonts w:asciiTheme="majorHAnsi" w:hAnsiTheme="majorHAnsi" w:cstheme="majorHAnsi"/>
          <w:b/>
          <w:bCs/>
          <w:color w:val="1D1D1D"/>
          <w:sz w:val="24"/>
          <w:szCs w:val="24"/>
          <w:shd w:val="clear" w:color="auto" w:fill="FFFFFF"/>
        </w:rPr>
        <w:t xml:space="preserve">. </w:t>
      </w:r>
    </w:p>
    <w:p w:rsidR="003F34F1" w:rsidRPr="008E7ED6" w:rsidRDefault="00761B7A" w:rsidP="008E7ED6">
      <w:pPr>
        <w:jc w:val="both"/>
        <w:rPr>
          <w:rFonts w:asciiTheme="majorHAnsi" w:hAnsiTheme="majorHAnsi" w:cstheme="majorHAnsi"/>
          <w:b/>
          <w:bCs/>
          <w:sz w:val="24"/>
          <w:szCs w:val="24"/>
        </w:rPr>
      </w:pPr>
      <w:r>
        <w:rPr>
          <w:rFonts w:asciiTheme="majorHAnsi" w:hAnsiTheme="majorHAnsi" w:cstheme="majorHAnsi"/>
          <w:color w:val="1D1D1D"/>
          <w:sz w:val="24"/>
          <w:szCs w:val="24"/>
          <w:shd w:val="clear" w:color="auto" w:fill="FFFFFF"/>
        </w:rPr>
        <w:t xml:space="preserve">Ak teda táto listina bola napísaná a dcéra by skutočne trvalo viedla neusporiadaný život, čiastočné vydedenie by bolo v súlade s právom. </w:t>
      </w:r>
      <w:r w:rsidR="003F34F1" w:rsidRPr="008E7ED6">
        <w:rPr>
          <w:rFonts w:asciiTheme="majorHAnsi" w:hAnsiTheme="majorHAnsi" w:cstheme="majorHAnsi"/>
          <w:b/>
          <w:bCs/>
          <w:sz w:val="24"/>
          <w:szCs w:val="24"/>
        </w:rPr>
        <w:br w:type="page"/>
      </w:r>
    </w:p>
    <w:p w:rsidR="003305FF" w:rsidRDefault="003305FF" w:rsidP="003305FF">
      <w:pPr>
        <w:pStyle w:val="Odsekzoznamu"/>
        <w:numPr>
          <w:ilvl w:val="3"/>
          <w:numId w:val="1"/>
        </w:numPr>
        <w:spacing w:after="200"/>
        <w:ind w:left="426" w:hanging="426"/>
        <w:jc w:val="both"/>
        <w:rPr>
          <w:rFonts w:ascii="Times New Roman" w:hAnsi="Times New Roman" w:cs="Times New Roman"/>
          <w:b/>
          <w:sz w:val="24"/>
          <w:szCs w:val="24"/>
        </w:rPr>
      </w:pPr>
      <w:r w:rsidRPr="008E7ED6">
        <w:rPr>
          <w:rFonts w:ascii="Times New Roman" w:hAnsi="Times New Roman" w:cs="Times New Roman"/>
          <w:b/>
          <w:sz w:val="24"/>
          <w:szCs w:val="24"/>
        </w:rPr>
        <w:t>Zomrel muž, ktorý bol ženatý a mal dve deti, plnoletého syna a neplnoletú dcéru. S manželkou vlastnili nehnuteľnosť – byt v kat. území Petržalka podľa znaleckého posudku v hodnote 120 000 eur, žiaden iný majetok predmetom dedenia nebol. Muž však zanechal závet, v ktorom sa za vlastníka celého svojho majetku určil Ligu proti rakovine. Určite okruh dedičov a ich podiely.</w:t>
      </w:r>
    </w:p>
    <w:p w:rsidR="00214C86" w:rsidRDefault="00214C86" w:rsidP="00214C86">
      <w:pPr>
        <w:spacing w:after="200"/>
        <w:jc w:val="both"/>
        <w:rPr>
          <w:rFonts w:asciiTheme="majorHAnsi" w:hAnsiTheme="majorHAnsi" w:cstheme="majorHAnsi"/>
          <w:bCs/>
          <w:sz w:val="24"/>
          <w:szCs w:val="24"/>
        </w:rPr>
      </w:pPr>
    </w:p>
    <w:p w:rsidR="00B30D37" w:rsidRPr="00D04FCC" w:rsidRDefault="00B30D37" w:rsidP="00D04FCC">
      <w:pPr>
        <w:pStyle w:val="Odsekzoznamu"/>
        <w:spacing w:after="200"/>
        <w:ind w:left="0"/>
        <w:jc w:val="both"/>
        <w:rPr>
          <w:rFonts w:asciiTheme="majorHAnsi" w:hAnsiTheme="majorHAnsi" w:cstheme="majorHAnsi"/>
          <w:bCs/>
          <w:sz w:val="24"/>
          <w:szCs w:val="24"/>
        </w:rPr>
      </w:pPr>
      <w:r>
        <w:rPr>
          <w:rFonts w:asciiTheme="majorHAnsi" w:hAnsiTheme="majorHAnsi" w:cstheme="majorHAnsi"/>
          <w:bCs/>
          <w:sz w:val="24"/>
          <w:szCs w:val="24"/>
        </w:rPr>
        <w:t>Ako prvé prebehne vyporiadanie BSM podľa</w:t>
      </w:r>
      <w:r w:rsidRPr="00B30D37">
        <w:rPr>
          <w:rFonts w:asciiTheme="majorHAnsi" w:hAnsiTheme="majorHAnsi" w:cstheme="majorHAnsi"/>
          <w:bCs/>
          <w:sz w:val="24"/>
          <w:szCs w:val="24"/>
        </w:rPr>
        <w:t xml:space="preserve"> § 150 OZ</w:t>
      </w:r>
      <w:r>
        <w:rPr>
          <w:rFonts w:asciiTheme="majorHAnsi" w:hAnsiTheme="majorHAnsi" w:cstheme="majorHAnsi"/>
          <w:bCs/>
          <w:sz w:val="24"/>
          <w:szCs w:val="24"/>
        </w:rPr>
        <w:t xml:space="preserve">, a manželka má dostať polovicu majetku v hodnote </w:t>
      </w:r>
      <w:r w:rsidRPr="00B30D37">
        <w:rPr>
          <w:rFonts w:asciiTheme="majorHAnsi" w:hAnsiTheme="majorHAnsi" w:cstheme="majorHAnsi"/>
          <w:bCs/>
          <w:sz w:val="24"/>
          <w:szCs w:val="24"/>
        </w:rPr>
        <w:t xml:space="preserve">60 000 eur. </w:t>
      </w:r>
      <w:r w:rsidR="00D04FCC" w:rsidRPr="00D04FCC">
        <w:rPr>
          <w:rFonts w:asciiTheme="majorHAnsi" w:hAnsiTheme="majorHAnsi" w:cstheme="majorHAnsi"/>
          <w:bCs/>
          <w:sz w:val="24"/>
          <w:szCs w:val="24"/>
        </w:rPr>
        <w:t>Potom podľa</w:t>
      </w:r>
      <w:r w:rsidRPr="00D04FCC">
        <w:rPr>
          <w:rFonts w:asciiTheme="majorHAnsi" w:hAnsiTheme="majorHAnsi" w:cstheme="majorHAnsi"/>
          <w:bCs/>
          <w:sz w:val="24"/>
          <w:szCs w:val="24"/>
        </w:rPr>
        <w:t xml:space="preserve"> § 479 OZ</w:t>
      </w:r>
      <w:r w:rsidR="00D04FCC" w:rsidRPr="00D04FCC">
        <w:rPr>
          <w:rFonts w:asciiTheme="majorHAnsi" w:hAnsiTheme="majorHAnsi" w:cstheme="majorHAnsi"/>
          <w:bCs/>
          <w:sz w:val="24"/>
          <w:szCs w:val="24"/>
        </w:rPr>
        <w:t xml:space="preserve"> ktorý hovorí </w:t>
      </w:r>
      <w:r w:rsidRPr="00D04FCC">
        <w:rPr>
          <w:rFonts w:asciiTheme="majorHAnsi" w:hAnsiTheme="majorHAnsi" w:cstheme="majorHAnsi"/>
          <w:bCs/>
          <w:sz w:val="24"/>
          <w:szCs w:val="24"/>
        </w:rPr>
        <w:t>„maloletým potomkom sa musí dostať aspoň toľko, koľko robí ich dedičský podiel zo zákona, a plnoletým potomkom aspoň toľko, koľko robí jedna polovica ich dedičského podielu zo zákona</w:t>
      </w:r>
      <w:r w:rsidR="00D04FCC" w:rsidRPr="00D04FCC">
        <w:rPr>
          <w:rFonts w:asciiTheme="majorHAnsi" w:hAnsiTheme="majorHAnsi" w:cstheme="majorHAnsi"/>
          <w:bCs/>
          <w:sz w:val="24"/>
          <w:szCs w:val="24"/>
        </w:rPr>
        <w:t>...“ podiel plnoletého syna bude polovica jeho zákonného podielu – teda 10 000 eur, a podiel maloletej dcéry bude celý jej zákonný podiel – teda 20 000 eur. Zvyšok pripadne Lige proti rakovine.</w:t>
      </w:r>
    </w:p>
    <w:p w:rsidR="00F76D35" w:rsidRPr="00214C86" w:rsidRDefault="00F76D35" w:rsidP="00214C86">
      <w:pPr>
        <w:spacing w:after="200"/>
        <w:jc w:val="both"/>
        <w:rPr>
          <w:rFonts w:asciiTheme="majorHAnsi" w:hAnsiTheme="majorHAnsi" w:cstheme="majorHAnsi"/>
          <w:bCs/>
          <w:sz w:val="24"/>
          <w:szCs w:val="24"/>
        </w:rPr>
      </w:pPr>
    </w:p>
    <w:p w:rsidR="003305FF" w:rsidRPr="008E7ED6" w:rsidRDefault="003305FF" w:rsidP="003305FF">
      <w:pPr>
        <w:pStyle w:val="Odsekzoznamu"/>
        <w:jc w:val="both"/>
        <w:rPr>
          <w:rFonts w:ascii="Times New Roman" w:hAnsi="Times New Roman" w:cs="Times New Roman"/>
          <w:b/>
          <w:sz w:val="24"/>
          <w:szCs w:val="24"/>
        </w:rPr>
      </w:pPr>
    </w:p>
    <w:p w:rsidR="003F34F1" w:rsidRPr="008E7ED6" w:rsidRDefault="003F34F1">
      <w:pPr>
        <w:rPr>
          <w:rFonts w:ascii="Times New Roman" w:hAnsi="Times New Roman" w:cs="Times New Roman"/>
          <w:b/>
          <w:sz w:val="24"/>
          <w:szCs w:val="24"/>
        </w:rPr>
      </w:pPr>
      <w:r w:rsidRPr="008E7ED6">
        <w:rPr>
          <w:rFonts w:ascii="Times New Roman" w:hAnsi="Times New Roman" w:cs="Times New Roman"/>
          <w:b/>
          <w:sz w:val="24"/>
          <w:szCs w:val="24"/>
        </w:rPr>
        <w:br w:type="page"/>
      </w:r>
    </w:p>
    <w:p w:rsidR="003305FF" w:rsidRPr="008E7ED6" w:rsidRDefault="003305FF" w:rsidP="003305FF">
      <w:pPr>
        <w:pStyle w:val="Odsekzoznamu"/>
        <w:numPr>
          <w:ilvl w:val="3"/>
          <w:numId w:val="1"/>
        </w:numPr>
        <w:spacing w:after="200"/>
        <w:ind w:left="426" w:hanging="426"/>
        <w:jc w:val="both"/>
        <w:rPr>
          <w:rFonts w:ascii="Times New Roman" w:hAnsi="Times New Roman" w:cs="Times New Roman"/>
          <w:b/>
          <w:sz w:val="24"/>
          <w:szCs w:val="24"/>
        </w:rPr>
      </w:pPr>
      <w:r w:rsidRPr="008E7ED6">
        <w:rPr>
          <w:rFonts w:ascii="Times New Roman" w:hAnsi="Times New Roman" w:cs="Times New Roman"/>
          <w:b/>
          <w:sz w:val="24"/>
          <w:szCs w:val="24"/>
        </w:rPr>
        <w:t xml:space="preserve">Zomrel muž. Bol ženatý, deti nemal. Po jeho smrti sa šetrením zistilo, že zanechal závet spísaný v roku 2007 pojednávajúci o celom mužovom majetku, a to nehnuteľnostiach v hodnote 315 000 eur a úsporách v hodnote 105 000 eur, žiaden iný majetok nemal. </w:t>
      </w:r>
    </w:p>
    <w:p w:rsidR="003305FF" w:rsidRPr="008E7ED6" w:rsidRDefault="003305FF" w:rsidP="003305FF">
      <w:pPr>
        <w:pStyle w:val="Odsekzoznamu"/>
        <w:jc w:val="both"/>
        <w:rPr>
          <w:rFonts w:ascii="Times New Roman" w:hAnsi="Times New Roman" w:cs="Times New Roman"/>
          <w:b/>
          <w:sz w:val="24"/>
          <w:szCs w:val="24"/>
        </w:rPr>
      </w:pPr>
    </w:p>
    <w:p w:rsidR="003305FF" w:rsidRDefault="003305FF" w:rsidP="003305FF">
      <w:pPr>
        <w:pStyle w:val="Odsekzoznamu"/>
        <w:numPr>
          <w:ilvl w:val="0"/>
          <w:numId w:val="2"/>
        </w:numPr>
        <w:spacing w:after="200"/>
        <w:ind w:left="851"/>
        <w:jc w:val="both"/>
        <w:rPr>
          <w:rFonts w:ascii="Times New Roman" w:hAnsi="Times New Roman" w:cs="Times New Roman"/>
          <w:bCs/>
          <w:sz w:val="24"/>
          <w:szCs w:val="24"/>
        </w:rPr>
      </w:pPr>
      <w:r w:rsidRPr="008E7ED6">
        <w:rPr>
          <w:rFonts w:ascii="Times New Roman" w:hAnsi="Times New Roman" w:cs="Times New Roman"/>
          <w:bCs/>
          <w:sz w:val="24"/>
          <w:szCs w:val="24"/>
        </w:rPr>
        <w:t xml:space="preserve">Závet bol nasledujúceho znenia: </w:t>
      </w:r>
      <w:r w:rsidRPr="008E7ED6">
        <w:rPr>
          <w:rFonts w:ascii="Times New Roman" w:hAnsi="Times New Roman" w:cs="Times New Roman"/>
          <w:bCs/>
          <w:i/>
          <w:iCs/>
          <w:sz w:val="24"/>
          <w:szCs w:val="24"/>
        </w:rPr>
        <w:t xml:space="preserve">„Všetky nehnuteľnosti, ktorých som vlastníkom, prikazujem predať a výťažok rozdeliť rovným dielom občianskemu združeniu Zachráňme korytnačky a Jánovi Prašnému, bytom .... v Bratislave. Sestre Anne odkazujem sumu 103 500 eur na vkladnej knižke a 1 500 eur na údržbu hrobu našej matky na Martinskom cintoríne.“ </w:t>
      </w:r>
      <w:r w:rsidRPr="008E7ED6">
        <w:rPr>
          <w:rFonts w:ascii="Times New Roman" w:hAnsi="Times New Roman" w:cs="Times New Roman"/>
          <w:bCs/>
          <w:sz w:val="24"/>
          <w:szCs w:val="24"/>
        </w:rPr>
        <w:t>Ide o platný záve</w:t>
      </w:r>
      <w:r w:rsidR="00634BB6">
        <w:rPr>
          <w:rFonts w:ascii="Times New Roman" w:hAnsi="Times New Roman" w:cs="Times New Roman"/>
          <w:bCs/>
          <w:sz w:val="24"/>
          <w:szCs w:val="24"/>
        </w:rPr>
        <w:t>t</w:t>
      </w:r>
      <w:r w:rsidRPr="008E7ED6">
        <w:rPr>
          <w:rFonts w:ascii="Times New Roman" w:hAnsi="Times New Roman" w:cs="Times New Roman"/>
          <w:bCs/>
          <w:sz w:val="24"/>
          <w:szCs w:val="24"/>
        </w:rPr>
        <w:t>? Ako sa bude dediť?</w:t>
      </w:r>
    </w:p>
    <w:p w:rsidR="00634BB6" w:rsidRPr="00634BB6" w:rsidRDefault="00634BB6" w:rsidP="00634BB6">
      <w:pPr>
        <w:pStyle w:val="Normlnywebov"/>
        <w:spacing w:line="270" w:lineRule="atLeast"/>
        <w:jc w:val="both"/>
        <w:rPr>
          <w:rFonts w:asciiTheme="majorHAnsi" w:hAnsiTheme="majorHAnsi" w:cstheme="majorHAnsi"/>
          <w:color w:val="000000"/>
        </w:rPr>
      </w:pPr>
      <w:r>
        <w:rPr>
          <w:rFonts w:asciiTheme="majorHAnsi" w:hAnsiTheme="majorHAnsi" w:cstheme="majorHAnsi"/>
          <w:color w:val="000000"/>
        </w:rPr>
        <w:t>Nie nejde - z</w:t>
      </w:r>
      <w:r w:rsidRPr="00634BB6">
        <w:rPr>
          <w:rFonts w:asciiTheme="majorHAnsi" w:hAnsiTheme="majorHAnsi" w:cstheme="majorHAnsi"/>
          <w:color w:val="000000"/>
        </w:rPr>
        <w:t>ákon ustanovuje pre spísanie závetu </w:t>
      </w:r>
      <w:r w:rsidRPr="00634BB6">
        <w:rPr>
          <w:rStyle w:val="Vrazn"/>
          <w:rFonts w:asciiTheme="majorHAnsi" w:hAnsiTheme="majorHAnsi" w:cstheme="majorHAnsi"/>
          <w:b w:val="0"/>
          <w:bCs w:val="0"/>
          <w:color w:val="000000"/>
        </w:rPr>
        <w:t>prísne formálne požiadavky (náležitosti), ktorých nesplnenie je sankcionované neplatnosťou závetu.</w:t>
      </w:r>
      <w:r w:rsidRPr="00634BB6">
        <w:rPr>
          <w:rStyle w:val="Vrazn"/>
          <w:rFonts w:asciiTheme="majorHAnsi" w:hAnsiTheme="majorHAnsi" w:cstheme="majorHAnsi"/>
          <w:color w:val="000000"/>
        </w:rPr>
        <w:t> </w:t>
      </w:r>
      <w:r w:rsidRPr="00634BB6">
        <w:rPr>
          <w:rFonts w:asciiTheme="majorHAnsi" w:hAnsiTheme="majorHAnsi" w:cstheme="majorHAnsi"/>
          <w:color w:val="000000"/>
        </w:rPr>
        <w:t>Závet musí byť vždy vyhotovený písomne. Písomná forma sa vyžaduje.</w:t>
      </w:r>
    </w:p>
    <w:p w:rsidR="00634BB6" w:rsidRPr="00634BB6" w:rsidRDefault="00634BB6" w:rsidP="00634BB6">
      <w:pPr>
        <w:pStyle w:val="Normlnywebov"/>
        <w:spacing w:line="270" w:lineRule="atLeast"/>
        <w:jc w:val="both"/>
        <w:rPr>
          <w:rFonts w:asciiTheme="majorHAnsi" w:hAnsiTheme="majorHAnsi" w:cstheme="majorHAnsi"/>
          <w:color w:val="000000"/>
        </w:rPr>
      </w:pPr>
      <w:r w:rsidRPr="00634BB6">
        <w:rPr>
          <w:rStyle w:val="Zvraznenie"/>
          <w:rFonts w:asciiTheme="majorHAnsi" w:eastAsiaTheme="majorEastAsia" w:hAnsiTheme="majorHAnsi" w:cstheme="majorHAnsi"/>
          <w:i w:val="0"/>
          <w:iCs w:val="0"/>
          <w:color w:val="000000"/>
        </w:rPr>
        <w:t>§ 476 ods. 1 OZ:</w:t>
      </w:r>
      <w:r w:rsidRPr="00634BB6">
        <w:rPr>
          <w:rFonts w:asciiTheme="majorHAnsi" w:hAnsiTheme="majorHAnsi" w:cstheme="majorHAnsi"/>
          <w:color w:val="000000"/>
        </w:rPr>
        <w:t xml:space="preserve"> </w:t>
      </w:r>
      <w:r w:rsidRPr="00634BB6">
        <w:rPr>
          <w:rStyle w:val="Zvraznenie"/>
          <w:rFonts w:asciiTheme="majorHAnsi" w:eastAsiaTheme="majorEastAsia" w:hAnsiTheme="majorHAnsi" w:cstheme="majorHAnsi"/>
          <w:i w:val="0"/>
          <w:iCs w:val="0"/>
          <w:color w:val="000000"/>
        </w:rPr>
        <w:t>Poručiteľ môže závet buď napísať vlastnou rukou, alebo ho zriadiť v inej písomnej forme za účasti svedkov alebo vo forme notárskej zápisnice.</w:t>
      </w:r>
    </w:p>
    <w:p w:rsidR="00634BB6" w:rsidRPr="00634BB6" w:rsidRDefault="00634BB6" w:rsidP="00634BB6">
      <w:pPr>
        <w:pStyle w:val="Normlnywebov"/>
        <w:spacing w:line="270" w:lineRule="atLeast"/>
        <w:jc w:val="both"/>
        <w:rPr>
          <w:rFonts w:asciiTheme="majorHAnsi" w:hAnsiTheme="majorHAnsi" w:cstheme="majorHAnsi"/>
          <w:color w:val="000000"/>
        </w:rPr>
      </w:pPr>
      <w:r w:rsidRPr="00634BB6">
        <w:rPr>
          <w:rStyle w:val="Zvraznenie"/>
          <w:rFonts w:asciiTheme="majorHAnsi" w:eastAsiaTheme="majorEastAsia" w:hAnsiTheme="majorHAnsi" w:cstheme="majorHAnsi"/>
          <w:i w:val="0"/>
          <w:iCs w:val="0"/>
          <w:color w:val="000000"/>
        </w:rPr>
        <w:t>V závete sa musí uviesť deň, mesiac a rok, kedy bol podpísaný. Ak závet neobsahuje presný dátum podpísania, je neplatný. Dátum nesmie byť nepresný a musí byť skutočný.</w:t>
      </w:r>
    </w:p>
    <w:p w:rsidR="00634BB6" w:rsidRPr="00634BB6" w:rsidRDefault="00634BB6" w:rsidP="00634BB6">
      <w:pPr>
        <w:pStyle w:val="Normlnywebov"/>
        <w:spacing w:line="270" w:lineRule="atLeast"/>
        <w:jc w:val="both"/>
        <w:rPr>
          <w:rFonts w:asciiTheme="majorHAnsi" w:hAnsiTheme="majorHAnsi" w:cstheme="majorHAnsi"/>
          <w:color w:val="000000"/>
        </w:rPr>
      </w:pPr>
      <w:r w:rsidRPr="00634BB6">
        <w:rPr>
          <w:rStyle w:val="Zvraznenie"/>
          <w:rFonts w:asciiTheme="majorHAnsi" w:eastAsiaTheme="majorEastAsia" w:hAnsiTheme="majorHAnsi" w:cstheme="majorHAnsi"/>
          <w:i w:val="0"/>
          <w:iCs w:val="0"/>
          <w:color w:val="000000"/>
        </w:rPr>
        <w:t>§ 476 ods. 2 OZ:</w:t>
      </w:r>
      <w:r w:rsidRPr="00634BB6">
        <w:rPr>
          <w:rFonts w:asciiTheme="majorHAnsi" w:hAnsiTheme="majorHAnsi" w:cstheme="majorHAnsi"/>
          <w:color w:val="000000"/>
        </w:rPr>
        <w:t xml:space="preserve"> </w:t>
      </w:r>
      <w:r w:rsidRPr="00634BB6">
        <w:rPr>
          <w:rStyle w:val="Zvraznenie"/>
          <w:rFonts w:asciiTheme="majorHAnsi" w:eastAsiaTheme="majorEastAsia" w:hAnsiTheme="majorHAnsi" w:cstheme="majorHAnsi"/>
          <w:i w:val="0"/>
          <w:iCs w:val="0"/>
          <w:color w:val="000000"/>
        </w:rPr>
        <w:t>V každom závete musí byť uvedený deň, mesiac a rok, kedy bol podpísaný, inak je neplatný.</w:t>
      </w:r>
    </w:p>
    <w:p w:rsidR="00634BB6" w:rsidRPr="00634BB6" w:rsidRDefault="00634BB6" w:rsidP="00634BB6">
      <w:pPr>
        <w:spacing w:after="200"/>
        <w:jc w:val="both"/>
        <w:rPr>
          <w:rFonts w:asciiTheme="majorHAnsi" w:hAnsiTheme="majorHAnsi" w:cstheme="majorHAnsi"/>
          <w:bCs/>
          <w:sz w:val="24"/>
          <w:szCs w:val="24"/>
        </w:rPr>
      </w:pPr>
      <w:r w:rsidRPr="00634BB6">
        <w:rPr>
          <w:rFonts w:asciiTheme="majorHAnsi" w:hAnsiTheme="majorHAnsi" w:cstheme="majorHAnsi"/>
          <w:bCs/>
          <w:sz w:val="24"/>
          <w:szCs w:val="24"/>
        </w:rPr>
        <w:t>Daný závet tieto formálne náležitosti nespĺňa, a preto je neplatný – dediť sa preto bude zo zákona.</w:t>
      </w:r>
    </w:p>
    <w:p w:rsidR="003305FF" w:rsidRDefault="003305FF" w:rsidP="003305FF">
      <w:pPr>
        <w:pStyle w:val="Odsekzoznamu"/>
        <w:numPr>
          <w:ilvl w:val="0"/>
          <w:numId w:val="2"/>
        </w:numPr>
        <w:spacing w:after="200"/>
        <w:ind w:left="851"/>
        <w:jc w:val="both"/>
        <w:rPr>
          <w:rFonts w:ascii="Times New Roman" w:hAnsi="Times New Roman" w:cs="Times New Roman"/>
          <w:bCs/>
          <w:sz w:val="24"/>
          <w:szCs w:val="24"/>
        </w:rPr>
      </w:pPr>
      <w:r w:rsidRPr="008E7ED6">
        <w:rPr>
          <w:rFonts w:ascii="Times New Roman" w:hAnsi="Times New Roman" w:cs="Times New Roman"/>
          <w:bCs/>
          <w:sz w:val="24"/>
          <w:szCs w:val="24"/>
        </w:rPr>
        <w:t xml:space="preserve">Následne sa objavil veriteľ, ktorý preukázal dedičom, že poručiteľ pred svojou smrťou písomne uznal svoj záväzok voči veriteľovi vo výške 100 000 eur. Ako sa budú dedičia podieľať na úhrade dlhu? </w:t>
      </w:r>
    </w:p>
    <w:p w:rsidR="00634BB6" w:rsidRPr="00634BB6" w:rsidRDefault="00634BB6" w:rsidP="00634BB6">
      <w:pPr>
        <w:pStyle w:val="Normlnywebov"/>
        <w:spacing w:line="270" w:lineRule="atLeast"/>
        <w:jc w:val="both"/>
        <w:rPr>
          <w:rFonts w:asciiTheme="majorHAnsi" w:eastAsiaTheme="majorEastAsia" w:hAnsiTheme="majorHAnsi" w:cstheme="majorHAnsi"/>
          <w:color w:val="000000"/>
        </w:rPr>
      </w:pPr>
      <w:r w:rsidRPr="00634BB6">
        <w:rPr>
          <w:rStyle w:val="Zvraznenie"/>
          <w:rFonts w:asciiTheme="majorHAnsi" w:eastAsiaTheme="majorEastAsia" w:hAnsiTheme="majorHAnsi" w:cstheme="majorHAnsi"/>
          <w:i w:val="0"/>
          <w:iCs w:val="0"/>
          <w:color w:val="000000"/>
        </w:rPr>
        <w:t xml:space="preserve">Podľa §470 ods. 2 OZ, ak je viac dedičov, zodpovedajú za náklady poručiteľovho pohrebu a za dlhy podľa pomeru toho, čo z dedičstva nadobudli, k celému dedičstvu. </w:t>
      </w:r>
    </w:p>
    <w:p w:rsidR="003305FF" w:rsidRDefault="003305FF" w:rsidP="003305FF">
      <w:pPr>
        <w:pStyle w:val="Odsekzoznamu"/>
        <w:numPr>
          <w:ilvl w:val="0"/>
          <w:numId w:val="2"/>
        </w:numPr>
        <w:spacing w:after="200"/>
        <w:ind w:left="851"/>
        <w:jc w:val="both"/>
        <w:rPr>
          <w:rFonts w:ascii="Times New Roman" w:hAnsi="Times New Roman" w:cs="Times New Roman"/>
          <w:bCs/>
          <w:sz w:val="24"/>
          <w:szCs w:val="24"/>
        </w:rPr>
      </w:pPr>
      <w:r w:rsidRPr="008E7ED6">
        <w:rPr>
          <w:rFonts w:ascii="Times New Roman" w:hAnsi="Times New Roman" w:cs="Times New Roman"/>
          <w:bCs/>
          <w:sz w:val="24"/>
          <w:szCs w:val="24"/>
        </w:rPr>
        <w:t xml:space="preserve">Bezprostredne po úhrade záväzku zo strany dedičov sa však ohlásil muž, ktorý preukázal, že je synom zomrelého. Ako bude dediť? </w:t>
      </w:r>
    </w:p>
    <w:p w:rsidR="00634BB6" w:rsidRPr="00A84051" w:rsidRDefault="00A84051" w:rsidP="00A84051">
      <w:pPr>
        <w:pStyle w:val="Normlnywebov"/>
        <w:spacing w:line="270" w:lineRule="atLeast"/>
        <w:jc w:val="both"/>
        <w:rPr>
          <w:rStyle w:val="Zvraznenie"/>
          <w:rFonts w:asciiTheme="majorHAnsi" w:eastAsiaTheme="majorEastAsia" w:hAnsiTheme="majorHAnsi" w:cstheme="majorHAnsi"/>
          <w:i w:val="0"/>
          <w:iCs w:val="0"/>
          <w:color w:val="000000"/>
        </w:rPr>
      </w:pPr>
      <w:r w:rsidRPr="00A84051">
        <w:rPr>
          <w:rStyle w:val="Zvraznenie"/>
          <w:rFonts w:asciiTheme="majorHAnsi" w:eastAsiaTheme="majorEastAsia" w:hAnsiTheme="majorHAnsi" w:cstheme="majorHAnsi"/>
          <w:i w:val="0"/>
          <w:iCs w:val="0"/>
          <w:color w:val="000000"/>
        </w:rPr>
        <w:t>Podľa §468 OZ na neznámeho dediča alebo na dediča, ktorého pobyt nie je známy, ktorý bol o svojom dedičskom práve upovedomený vyhláškou súdu a ktorý v určenej lehote nedal o sebe vedieť, sa pri prejednaní dedičstva neprihliada.</w:t>
      </w:r>
      <w:r>
        <w:rPr>
          <w:rStyle w:val="Zvraznenie"/>
          <w:rFonts w:asciiTheme="majorHAnsi" w:eastAsiaTheme="majorEastAsia" w:hAnsiTheme="majorHAnsi" w:cstheme="majorHAnsi"/>
          <w:i w:val="0"/>
          <w:iCs w:val="0"/>
          <w:color w:val="000000"/>
        </w:rPr>
        <w:t xml:space="preserve"> Nie je však jasné, po akej dobe sa ohlásil. Odhliadnuc od toho, ide o neopomenuteľného dediča (§470 OZ), nakoľko je to syn poručiteľa, a patrí mu minimálne polovica jeho zákonného podielu (ak je plnoletý) alebo celý podiel (ak je neplnoletý). Dediť má v prvej skupine (§473 ods. 1 OZ). Ostatní dediči ale majú právo na náhradu vynaložených nákladov (§485 ods. 2 OZ).</w:t>
      </w:r>
    </w:p>
    <w:p w:rsidR="00A84051" w:rsidRDefault="00A84051">
      <w:pPr>
        <w:rPr>
          <w:rFonts w:ascii="Times New Roman" w:hAnsi="Times New Roman" w:cs="Times New Roman"/>
          <w:bCs/>
          <w:sz w:val="24"/>
          <w:szCs w:val="24"/>
        </w:rPr>
      </w:pPr>
      <w:r>
        <w:rPr>
          <w:rFonts w:ascii="Times New Roman" w:hAnsi="Times New Roman" w:cs="Times New Roman"/>
          <w:bCs/>
          <w:sz w:val="24"/>
          <w:szCs w:val="24"/>
        </w:rPr>
        <w:br w:type="page"/>
      </w:r>
    </w:p>
    <w:p w:rsidR="003305FF" w:rsidRDefault="003305FF" w:rsidP="003305FF">
      <w:pPr>
        <w:pStyle w:val="Odsekzoznamu"/>
        <w:numPr>
          <w:ilvl w:val="0"/>
          <w:numId w:val="2"/>
        </w:numPr>
        <w:spacing w:after="200"/>
        <w:ind w:left="851"/>
        <w:jc w:val="both"/>
        <w:rPr>
          <w:rFonts w:ascii="Times New Roman" w:hAnsi="Times New Roman" w:cs="Times New Roman"/>
          <w:bCs/>
          <w:sz w:val="24"/>
          <w:szCs w:val="24"/>
        </w:rPr>
      </w:pPr>
      <w:r w:rsidRPr="008E7ED6">
        <w:rPr>
          <w:rFonts w:ascii="Times New Roman" w:hAnsi="Times New Roman" w:cs="Times New Roman"/>
          <w:bCs/>
          <w:sz w:val="24"/>
          <w:szCs w:val="24"/>
        </w:rPr>
        <w:t>Pri vypratávaní jednej z mužových nehnuteľností sa v pivnici našiel založený závet z roku 2009, v ktorom muž odkázal sestre Anne sumu 105 000 eur na vkladnej knižke. O ostatnom majetku závet nepojednával. Kto a v akom podiele bude dediť?</w:t>
      </w:r>
    </w:p>
    <w:p w:rsidR="00496BB0" w:rsidRPr="000C4066" w:rsidRDefault="000C4066" w:rsidP="00496BB0">
      <w:pPr>
        <w:spacing w:after="200"/>
        <w:jc w:val="both"/>
        <w:rPr>
          <w:rFonts w:asciiTheme="majorHAnsi" w:hAnsiTheme="majorHAnsi" w:cstheme="majorHAnsi"/>
          <w:bCs/>
          <w:sz w:val="24"/>
          <w:szCs w:val="24"/>
        </w:rPr>
      </w:pPr>
      <w:r w:rsidRPr="000C4066">
        <w:rPr>
          <w:rFonts w:asciiTheme="majorHAnsi" w:hAnsiTheme="majorHAnsi" w:cstheme="majorHAnsi"/>
          <w:bCs/>
          <w:sz w:val="24"/>
          <w:szCs w:val="24"/>
        </w:rPr>
        <w:t>Pokiaľ je tento závet platný, Anna dostane 105 000 eur, ostatný majetok budú dediči dediť podľa zákona.</w:t>
      </w:r>
    </w:p>
    <w:p w:rsidR="00A84051" w:rsidRPr="008E7ED6" w:rsidRDefault="00A84051" w:rsidP="00A84051">
      <w:pPr>
        <w:pStyle w:val="Odsekzoznamu"/>
        <w:spacing w:after="200"/>
        <w:ind w:left="851"/>
        <w:jc w:val="both"/>
        <w:rPr>
          <w:rFonts w:ascii="Times New Roman" w:hAnsi="Times New Roman" w:cs="Times New Roman"/>
          <w:bCs/>
          <w:sz w:val="24"/>
          <w:szCs w:val="24"/>
        </w:rPr>
      </w:pPr>
    </w:p>
    <w:p w:rsidR="003305FF" w:rsidRPr="008E7ED6" w:rsidRDefault="003305FF" w:rsidP="003305FF">
      <w:pPr>
        <w:pStyle w:val="Odsekzoznamu"/>
        <w:numPr>
          <w:ilvl w:val="0"/>
          <w:numId w:val="2"/>
        </w:numPr>
        <w:spacing w:after="200"/>
        <w:ind w:left="851"/>
        <w:jc w:val="both"/>
        <w:rPr>
          <w:rFonts w:ascii="Times New Roman" w:hAnsi="Times New Roman" w:cs="Times New Roman"/>
          <w:bCs/>
          <w:sz w:val="24"/>
          <w:szCs w:val="24"/>
        </w:rPr>
      </w:pPr>
      <w:r w:rsidRPr="008E7ED6">
        <w:rPr>
          <w:rFonts w:ascii="Times New Roman" w:hAnsi="Times New Roman" w:cs="Times New Roman"/>
          <w:bCs/>
          <w:sz w:val="24"/>
          <w:szCs w:val="24"/>
        </w:rPr>
        <w:t>Po nadobudnutí právoplatnosti uznesenia, ktorým sa dedičské konanie skončilo, sestra Anna našla listinu o vydedení, ktorá bola vlastnoručne spísaná, nebola síce datovaná, avšak bola podpísaná pred notárom, pričom z doložky o osvedčení podpisu notárom sa dalo zistiť, kedy bola listina o vydedené podpísaná. V listine o vydedení poručiteľ svojho syna vydedil z dôvodu, že o neho trvalo neprejavoval opravdivý záujem, ktorý ako potomok mal prejavovať. Listina o vydedení neobsahovala údaje o tom, že poručiteľ vzťahuje dôsledky vydedenia aj na svojich vnukov. Ako sa bude dediť?</w:t>
      </w:r>
    </w:p>
    <w:p w:rsidR="000C4066" w:rsidRDefault="000C4066" w:rsidP="003305FF">
      <w:pPr>
        <w:pStyle w:val="Odsekzoznamu"/>
        <w:spacing w:after="200"/>
        <w:ind w:left="426"/>
        <w:jc w:val="both"/>
        <w:rPr>
          <w:rFonts w:ascii="Times New Roman" w:hAnsi="Times New Roman" w:cs="Times New Roman"/>
          <w:b/>
          <w:sz w:val="24"/>
          <w:szCs w:val="24"/>
        </w:rPr>
      </w:pPr>
    </w:p>
    <w:p w:rsidR="000C4066" w:rsidRDefault="000C4066" w:rsidP="003305FF">
      <w:pPr>
        <w:pStyle w:val="Odsekzoznamu"/>
        <w:spacing w:after="200"/>
        <w:ind w:left="426"/>
        <w:jc w:val="both"/>
        <w:rPr>
          <w:rFonts w:ascii="Times New Roman" w:hAnsi="Times New Roman" w:cs="Times New Roman"/>
          <w:b/>
          <w:sz w:val="24"/>
          <w:szCs w:val="24"/>
        </w:rPr>
      </w:pPr>
    </w:p>
    <w:p w:rsidR="000C4066" w:rsidRPr="000C4066" w:rsidRDefault="000C4066" w:rsidP="000C4066">
      <w:pPr>
        <w:spacing w:after="200"/>
        <w:jc w:val="both"/>
        <w:rPr>
          <w:rFonts w:asciiTheme="majorHAnsi" w:hAnsiTheme="majorHAnsi" w:cstheme="majorHAnsi"/>
          <w:bCs/>
          <w:sz w:val="24"/>
          <w:szCs w:val="24"/>
        </w:rPr>
      </w:pPr>
      <w:r w:rsidRPr="000C4066">
        <w:rPr>
          <w:rFonts w:asciiTheme="majorHAnsi" w:hAnsiTheme="majorHAnsi" w:cstheme="majorHAnsi"/>
          <w:bCs/>
          <w:sz w:val="24"/>
          <w:szCs w:val="24"/>
        </w:rPr>
        <w:t>Tento list o vydedení nespĺňa všetky formálne a materiálne náležitosti, preto je neplatný</w:t>
      </w:r>
      <w:r>
        <w:rPr>
          <w:rFonts w:asciiTheme="majorHAnsi" w:hAnsiTheme="majorHAnsi" w:cstheme="majorHAnsi"/>
          <w:bCs/>
          <w:sz w:val="24"/>
          <w:szCs w:val="24"/>
        </w:rPr>
        <w:t xml:space="preserve"> a nemá následky, ktoré by menili podiely dedičov.</w:t>
      </w:r>
      <w:bookmarkStart w:id="0" w:name="_GoBack"/>
      <w:bookmarkEnd w:id="0"/>
    </w:p>
    <w:p w:rsidR="003305FF" w:rsidRPr="008E7ED6" w:rsidRDefault="003305FF" w:rsidP="003305FF">
      <w:pPr>
        <w:spacing w:after="0" w:line="276" w:lineRule="auto"/>
        <w:jc w:val="both"/>
        <w:rPr>
          <w:rFonts w:ascii="Times New Roman" w:hAnsi="Times New Roman" w:cs="Times New Roman"/>
          <w:b/>
          <w:sz w:val="24"/>
          <w:szCs w:val="24"/>
          <w:u w:val="single"/>
        </w:rPr>
      </w:pPr>
    </w:p>
    <w:p w:rsidR="003305FF" w:rsidRPr="008E7ED6" w:rsidRDefault="003305FF" w:rsidP="003305FF">
      <w:pPr>
        <w:spacing w:after="0" w:line="276" w:lineRule="auto"/>
        <w:jc w:val="both"/>
        <w:rPr>
          <w:rFonts w:ascii="Times New Roman" w:hAnsi="Times New Roman" w:cs="Times New Roman"/>
          <w:b/>
          <w:sz w:val="24"/>
          <w:szCs w:val="24"/>
          <w:u w:val="single"/>
        </w:rPr>
      </w:pPr>
    </w:p>
    <w:p w:rsidR="003305FF" w:rsidRPr="008E7ED6" w:rsidRDefault="003305FF" w:rsidP="003305FF">
      <w:pPr>
        <w:spacing w:after="0" w:line="276" w:lineRule="auto"/>
        <w:jc w:val="both"/>
        <w:rPr>
          <w:rFonts w:ascii="Times New Roman" w:hAnsi="Times New Roman" w:cs="Times New Roman"/>
          <w:b/>
          <w:sz w:val="24"/>
          <w:szCs w:val="24"/>
          <w:u w:val="single"/>
        </w:rPr>
      </w:pPr>
    </w:p>
    <w:p w:rsidR="003305FF" w:rsidRPr="008E7ED6" w:rsidRDefault="003305FF" w:rsidP="003305FF">
      <w:pPr>
        <w:spacing w:after="0" w:line="276" w:lineRule="auto"/>
        <w:jc w:val="both"/>
        <w:rPr>
          <w:rFonts w:ascii="Times New Roman" w:hAnsi="Times New Roman" w:cs="Times New Roman"/>
          <w:b/>
          <w:sz w:val="24"/>
          <w:szCs w:val="24"/>
          <w:u w:val="single"/>
        </w:rPr>
      </w:pPr>
    </w:p>
    <w:p w:rsidR="000B0F98" w:rsidRPr="008E7ED6" w:rsidRDefault="000B0F98">
      <w:pPr>
        <w:rPr>
          <w:sz w:val="24"/>
          <w:szCs w:val="24"/>
        </w:rPr>
      </w:pPr>
    </w:p>
    <w:sectPr w:rsidR="000B0F98" w:rsidRPr="008E7E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59E8"/>
    <w:multiLevelType w:val="hybridMultilevel"/>
    <w:tmpl w:val="CC9E4F16"/>
    <w:lvl w:ilvl="0" w:tplc="041B000F">
      <w:start w:val="1"/>
      <w:numFmt w:val="decimal"/>
      <w:lvlText w:val="%1."/>
      <w:lvlJc w:val="left"/>
      <w:pPr>
        <w:ind w:left="720" w:hanging="360"/>
      </w:pPr>
    </w:lvl>
    <w:lvl w:ilvl="1" w:tplc="041B0017">
      <w:start w:val="1"/>
      <w:numFmt w:val="lowerLetter"/>
      <w:lvlText w:val="%2)"/>
      <w:lvlJc w:val="left"/>
      <w:pPr>
        <w:ind w:left="1440" w:hanging="360"/>
      </w:pPr>
    </w:lvl>
    <w:lvl w:ilvl="2" w:tplc="C3B45420">
      <w:start w:val="1"/>
      <w:numFmt w:val="bullet"/>
      <w:lvlText w:val=""/>
      <w:lvlJc w:val="left"/>
      <w:pPr>
        <w:ind w:left="2160" w:hanging="180"/>
      </w:pPr>
      <w:rPr>
        <w:rFonts w:ascii="Symbol" w:hAnsi="Symbol" w:hint="default"/>
      </w:r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15:restartNumberingAfterBreak="0">
    <w:nsid w:val="40CE609D"/>
    <w:multiLevelType w:val="hybridMultilevel"/>
    <w:tmpl w:val="4E1C18F4"/>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FF"/>
    <w:rsid w:val="000B0F98"/>
    <w:rsid w:val="000C4066"/>
    <w:rsid w:val="00214C86"/>
    <w:rsid w:val="002C1963"/>
    <w:rsid w:val="003305FF"/>
    <w:rsid w:val="003F34F1"/>
    <w:rsid w:val="00496BB0"/>
    <w:rsid w:val="005E74F9"/>
    <w:rsid w:val="00634BB6"/>
    <w:rsid w:val="00761B7A"/>
    <w:rsid w:val="008E7ED6"/>
    <w:rsid w:val="00A761B4"/>
    <w:rsid w:val="00A84051"/>
    <w:rsid w:val="00B30D37"/>
    <w:rsid w:val="00B57025"/>
    <w:rsid w:val="00C7001E"/>
    <w:rsid w:val="00D04FCC"/>
    <w:rsid w:val="00EF724C"/>
    <w:rsid w:val="00F76D3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3C7B"/>
  <w15:chartTrackingRefBased/>
  <w15:docId w15:val="{C3C395BC-6FB0-4682-AD3E-6AB49D06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305FF"/>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Odsekzoznamu">
    <w:name w:val="List Paragraph"/>
    <w:basedOn w:val="Normlny"/>
    <w:uiPriority w:val="34"/>
    <w:qFormat/>
    <w:rsid w:val="003305FF"/>
    <w:pPr>
      <w:ind w:left="720"/>
      <w:contextualSpacing/>
    </w:pPr>
  </w:style>
  <w:style w:type="paragraph" w:styleId="Normlnywebov">
    <w:name w:val="Normal (Web)"/>
    <w:basedOn w:val="Normlny"/>
    <w:uiPriority w:val="99"/>
    <w:unhideWhenUsed/>
    <w:rsid w:val="00A761B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A761B4"/>
    <w:rPr>
      <w:b/>
      <w:bCs/>
    </w:rPr>
  </w:style>
  <w:style w:type="character" w:styleId="Zvraznenie">
    <w:name w:val="Emphasis"/>
    <w:basedOn w:val="Predvolenpsmoodseku"/>
    <w:uiPriority w:val="20"/>
    <w:qFormat/>
    <w:rsid w:val="00634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654090">
      <w:bodyDiv w:val="1"/>
      <w:marLeft w:val="0"/>
      <w:marRight w:val="0"/>
      <w:marTop w:val="0"/>
      <w:marBottom w:val="0"/>
      <w:divBdr>
        <w:top w:val="none" w:sz="0" w:space="0" w:color="auto"/>
        <w:left w:val="none" w:sz="0" w:space="0" w:color="auto"/>
        <w:bottom w:val="none" w:sz="0" w:space="0" w:color="auto"/>
        <w:right w:val="none" w:sz="0" w:space="0" w:color="auto"/>
      </w:divBdr>
    </w:div>
    <w:div w:id="172336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69A6684A-A03A-4DB7-A9C1-CFDB3FAD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1299</Words>
  <Characters>7405</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3</cp:revision>
  <dcterms:created xsi:type="dcterms:W3CDTF">2020-03-28T20:55:00Z</dcterms:created>
  <dcterms:modified xsi:type="dcterms:W3CDTF">2020-03-30T18:35:00Z</dcterms:modified>
</cp:coreProperties>
</file>