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D4335A" w:rsidP="003F786B">
      <w:pPr>
        <w:jc w:val="center"/>
        <w:rPr>
          <w:b/>
          <w:bCs/>
        </w:rPr>
      </w:pPr>
      <w:r>
        <w:rPr>
          <w:b/>
          <w:bCs/>
        </w:rPr>
        <w:t>OBČIANSKE PRÁVO HMOTNÉ</w:t>
      </w:r>
    </w:p>
    <w:p w:rsidR="003F786B" w:rsidRPr="00A76307" w:rsidRDefault="003F786B" w:rsidP="003F786B">
      <w:pPr>
        <w:jc w:val="center"/>
      </w:pPr>
    </w:p>
    <w:p w:rsidR="003F786B" w:rsidRPr="00A76307" w:rsidRDefault="003110D5" w:rsidP="003F786B">
      <w:pPr>
        <w:jc w:val="center"/>
      </w:pPr>
      <w:r w:rsidRPr="00A76307">
        <w:t>11.10</w:t>
      </w:r>
      <w:r w:rsidR="003F786B" w:rsidRPr="00A76307">
        <w:t>.2019</w:t>
      </w:r>
    </w:p>
    <w:p w:rsidR="003F786B" w:rsidRPr="00A76307" w:rsidRDefault="003F786B" w:rsidP="003F786B">
      <w:pPr>
        <w:jc w:val="center"/>
      </w:pPr>
      <w:r w:rsidRPr="00A76307">
        <w:t>(hod. 01)</w:t>
      </w:r>
    </w:p>
    <w:p w:rsidR="003F786B" w:rsidRPr="00A76307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A76307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08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B2" w:rsidRPr="00A76307" w:rsidRDefault="003371B2">
          <w:pPr>
            <w:pStyle w:val="Hlavikaobsahu"/>
            <w:rPr>
              <w:b/>
              <w:bCs/>
              <w:color w:val="auto"/>
            </w:rPr>
          </w:pPr>
          <w:r w:rsidRPr="00A76307">
            <w:rPr>
              <w:b/>
              <w:bCs/>
              <w:color w:val="auto"/>
            </w:rPr>
            <w:t>Obsah</w:t>
          </w:r>
        </w:p>
        <w:p w:rsidR="003371B2" w:rsidRPr="00A76307" w:rsidRDefault="003371B2" w:rsidP="003371B2">
          <w:pPr>
            <w:rPr>
              <w:lang w:eastAsia="sk-SK"/>
            </w:rPr>
          </w:pPr>
        </w:p>
        <w:p w:rsidR="00971B2B" w:rsidRDefault="003371B2" w:rsidP="00971B2B">
          <w:pPr>
            <w:pStyle w:val="Obsah1"/>
            <w:rPr>
              <w:rFonts w:eastAsiaTheme="minorEastAsia"/>
              <w:lang w:eastAsia="sk-SK"/>
            </w:rPr>
          </w:pPr>
          <w:r w:rsidRPr="0015559C">
            <w:fldChar w:fldCharType="begin"/>
          </w:r>
          <w:r w:rsidRPr="0015559C">
            <w:instrText xml:space="preserve"> TOC \o "1-3" \h \z \u </w:instrText>
          </w:r>
          <w:r w:rsidRPr="0015559C">
            <w:fldChar w:fldCharType="separate"/>
          </w:r>
          <w:hyperlink w:anchor="_Toc22772892" w:history="1">
            <w:r w:rsidR="00971B2B" w:rsidRPr="0007456B">
              <w:rPr>
                <w:rStyle w:val="Hypertextovprepojenie"/>
              </w:rPr>
              <w:t>Občianske právo</w:t>
            </w:r>
            <w:r w:rsidR="00971B2B">
              <w:rPr>
                <w:webHidden/>
              </w:rPr>
              <w:tab/>
            </w:r>
            <w:r w:rsidR="00971B2B">
              <w:rPr>
                <w:webHidden/>
              </w:rPr>
              <w:fldChar w:fldCharType="begin"/>
            </w:r>
            <w:r w:rsidR="00971B2B">
              <w:rPr>
                <w:webHidden/>
              </w:rPr>
              <w:instrText xml:space="preserve"> PAGEREF _Toc22772892 \h </w:instrText>
            </w:r>
            <w:r w:rsidR="00971B2B">
              <w:rPr>
                <w:webHidden/>
              </w:rPr>
            </w:r>
            <w:r w:rsidR="00971B2B">
              <w:rPr>
                <w:webHidden/>
              </w:rPr>
              <w:fldChar w:fldCharType="separate"/>
            </w:r>
            <w:r w:rsidR="00971B2B">
              <w:rPr>
                <w:webHidden/>
              </w:rPr>
              <w:t>2</w:t>
            </w:r>
            <w:r w:rsidR="00971B2B">
              <w:rPr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3" w:history="1">
            <w:r w:rsidRPr="00971B2B">
              <w:rPr>
                <w:rStyle w:val="Hypertextovprepojenie"/>
                <w:b w:val="0"/>
                <w:bCs w:val="0"/>
              </w:rPr>
              <w:t>Občiansky zákonník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_Toc22772893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2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4" w:history="1">
            <w:r w:rsidRPr="00971B2B">
              <w:rPr>
                <w:rStyle w:val="Hypertextovprepojenie"/>
                <w:b w:val="0"/>
                <w:bCs w:val="0"/>
              </w:rPr>
              <w:t>Občiansky zákon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_Toc22772894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2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Style w:val="Hypertextovprepojenie"/>
              <w:b w:val="0"/>
              <w:bCs w:val="0"/>
            </w:rPr>
          </w:pPr>
          <w:hyperlink w:anchor="_Toc22772895" w:history="1">
            <w:r w:rsidRPr="00971B2B">
              <w:rPr>
                <w:rStyle w:val="Hypertextovprepojenie"/>
                <w:b w:val="0"/>
                <w:bCs w:val="0"/>
              </w:rPr>
              <w:t>Pracovné právo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_Toc22772895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3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 w:rsidP="00971B2B"/>
        <w:p w:rsidR="00971B2B" w:rsidRDefault="00971B2B" w:rsidP="00971B2B">
          <w:pPr>
            <w:pStyle w:val="Obsah1"/>
            <w:rPr>
              <w:rFonts w:eastAsiaTheme="minorEastAsia"/>
              <w:lang w:eastAsia="sk-SK"/>
            </w:rPr>
          </w:pPr>
          <w:hyperlink w:anchor="_Toc22772896" w:history="1">
            <w:r w:rsidRPr="0007456B">
              <w:rPr>
                <w:rStyle w:val="Hypertextovprepojenie"/>
              </w:rPr>
              <w:t>Zásady súkromného práva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_Toc22772896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7" w:history="1">
            <w:r w:rsidRPr="00971B2B">
              <w:rPr>
                <w:rStyle w:val="Hypertextovprepojenie"/>
                <w:b w:val="0"/>
                <w:bCs w:val="0"/>
              </w:rPr>
              <w:t>1. Zásada rovnosti účastníkov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_Toc22772897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3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8" w:history="1">
            <w:r w:rsidRPr="00971B2B">
              <w:rPr>
                <w:rStyle w:val="Hypertextovprepojenie"/>
                <w:b w:val="0"/>
                <w:bCs w:val="0"/>
              </w:rPr>
              <w:t>2. Zásada autonómie vôle a zmluvnej slobody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_Toc22772898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3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9" w:history="1">
            <w:r w:rsidRPr="00971B2B">
              <w:rPr>
                <w:rStyle w:val="Hypertextovprepojenie"/>
                <w:b w:val="0"/>
                <w:bCs w:val="0"/>
              </w:rPr>
              <w:t>3. Každý môže konať to, čo nemá zákonom zakázané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_Toc22772899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3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900" w:history="1">
            <w:r w:rsidRPr="00971B2B">
              <w:rPr>
                <w:rStyle w:val="Hypertextovprepojenie"/>
                <w:b w:val="0"/>
                <w:bCs w:val="0"/>
              </w:rPr>
              <w:t>4. Zásada ekvity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_Toc22772900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3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901" w:history="1">
            <w:r w:rsidRPr="00971B2B">
              <w:rPr>
                <w:rStyle w:val="Hypertextovprepojenie"/>
                <w:b w:val="0"/>
                <w:bCs w:val="0"/>
              </w:rPr>
              <w:t>5. Zásada zákazu zneužitia subjektívnych práv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_Toc22772901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3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Style w:val="Hypertextovprepojenie"/>
              <w:b w:val="0"/>
              <w:bCs w:val="0"/>
            </w:rPr>
          </w:pPr>
          <w:hyperlink w:anchor="_Toc22772902" w:history="1">
            <w:r w:rsidRPr="00971B2B">
              <w:rPr>
                <w:rStyle w:val="Hypertextovprepojenie"/>
                <w:b w:val="0"/>
                <w:bCs w:val="0"/>
              </w:rPr>
              <w:t>6. Zásada prevencie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_Toc22772902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3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 w:rsidP="00971B2B"/>
        <w:p w:rsidR="00971B2B" w:rsidRPr="00971B2B" w:rsidRDefault="00971B2B" w:rsidP="00971B2B">
          <w:pPr>
            <w:pStyle w:val="Obsah1"/>
            <w:rPr>
              <w:rFonts w:eastAsiaTheme="minorEastAsia"/>
              <w:lang w:eastAsia="sk-SK"/>
            </w:rPr>
          </w:pPr>
          <w:hyperlink w:anchor="_Toc22772903" w:history="1">
            <w:r w:rsidRPr="00971B2B">
              <w:rPr>
                <w:rStyle w:val="Hypertextovprepojenie"/>
              </w:rPr>
              <w:t>Občianskoprávne vzťahy</w:t>
            </w:r>
            <w:r w:rsidRPr="00971B2B">
              <w:rPr>
                <w:webHidden/>
              </w:rPr>
              <w:tab/>
            </w:r>
            <w:r w:rsidRPr="00971B2B">
              <w:rPr>
                <w:webHidden/>
              </w:rPr>
              <w:fldChar w:fldCharType="begin"/>
            </w:r>
            <w:r w:rsidRPr="00971B2B">
              <w:rPr>
                <w:webHidden/>
              </w:rPr>
              <w:instrText xml:space="preserve"> PAGEREF _Toc22772903 \h </w:instrText>
            </w:r>
            <w:r w:rsidRPr="00971B2B">
              <w:rPr>
                <w:webHidden/>
              </w:rPr>
            </w:r>
            <w:r w:rsidRPr="00971B2B">
              <w:rPr>
                <w:webHidden/>
              </w:rPr>
              <w:fldChar w:fldCharType="separate"/>
            </w:r>
            <w:r w:rsidRPr="00971B2B">
              <w:rPr>
                <w:webHidden/>
              </w:rPr>
              <w:t>4</w:t>
            </w:r>
            <w:r w:rsidRPr="00971B2B">
              <w:rPr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904" w:history="1">
            <w:r w:rsidRPr="00971B2B">
              <w:rPr>
                <w:rStyle w:val="Hypertextovprepojenie"/>
                <w:b w:val="0"/>
                <w:bCs w:val="0"/>
              </w:rPr>
              <w:t>Subjekty občianskoprávnych vzťahov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_Toc22772904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4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>
          <w:pPr>
            <w:pStyle w:val="Obsah2"/>
            <w:rPr>
              <w:rStyle w:val="Hypertextovprepojenie"/>
              <w:b w:val="0"/>
              <w:bCs w:val="0"/>
            </w:rPr>
          </w:pPr>
          <w:hyperlink w:anchor="_Toc22772905" w:history="1">
            <w:r w:rsidRPr="00971B2B">
              <w:rPr>
                <w:rStyle w:val="Hypertextovprepojenie"/>
                <w:b w:val="0"/>
                <w:bCs w:val="0"/>
              </w:rPr>
              <w:t>Predmety občianskoprávnych vzťahov</w:t>
            </w:r>
            <w:r w:rsidRPr="00971B2B">
              <w:rPr>
                <w:b w:val="0"/>
                <w:bCs w:val="0"/>
                <w:webHidden/>
              </w:rPr>
              <w:tab/>
            </w:r>
            <w:r w:rsidRPr="00971B2B">
              <w:rPr>
                <w:b w:val="0"/>
                <w:bCs w:val="0"/>
                <w:webHidden/>
              </w:rPr>
              <w:fldChar w:fldCharType="begin"/>
            </w:r>
            <w:r w:rsidRPr="00971B2B">
              <w:rPr>
                <w:b w:val="0"/>
                <w:bCs w:val="0"/>
                <w:webHidden/>
              </w:rPr>
              <w:instrText xml:space="preserve"> PAGEREF _Toc22772905 \h </w:instrText>
            </w:r>
            <w:r w:rsidRPr="00971B2B">
              <w:rPr>
                <w:b w:val="0"/>
                <w:bCs w:val="0"/>
                <w:webHidden/>
              </w:rPr>
            </w:r>
            <w:r w:rsidRPr="00971B2B">
              <w:rPr>
                <w:b w:val="0"/>
                <w:bCs w:val="0"/>
                <w:webHidden/>
              </w:rPr>
              <w:fldChar w:fldCharType="separate"/>
            </w:r>
            <w:r w:rsidRPr="00971B2B">
              <w:rPr>
                <w:b w:val="0"/>
                <w:bCs w:val="0"/>
                <w:webHidden/>
              </w:rPr>
              <w:t>4</w:t>
            </w:r>
            <w:r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 w:rsidP="00971B2B"/>
        <w:p w:rsidR="00971B2B" w:rsidRPr="00971B2B" w:rsidRDefault="00971B2B" w:rsidP="00971B2B">
          <w:pPr>
            <w:pStyle w:val="Obsah1"/>
            <w:rPr>
              <w:rFonts w:eastAsiaTheme="minorEastAsia"/>
              <w:lang w:eastAsia="sk-SK"/>
            </w:rPr>
          </w:pPr>
          <w:hyperlink w:anchor="_Toc22772906" w:history="1">
            <w:r w:rsidRPr="00971B2B">
              <w:rPr>
                <w:rStyle w:val="Hypertextovprepojenie"/>
              </w:rPr>
              <w:t>Subjektívne právo</w:t>
            </w:r>
            <w:r w:rsidRPr="00971B2B">
              <w:rPr>
                <w:webHidden/>
              </w:rPr>
              <w:tab/>
            </w:r>
            <w:r w:rsidRPr="00971B2B">
              <w:rPr>
                <w:webHidden/>
              </w:rPr>
              <w:fldChar w:fldCharType="begin"/>
            </w:r>
            <w:r w:rsidRPr="00971B2B">
              <w:rPr>
                <w:webHidden/>
              </w:rPr>
              <w:instrText xml:space="preserve"> PAGEREF _Toc22772906 \h </w:instrText>
            </w:r>
            <w:r w:rsidRPr="00971B2B">
              <w:rPr>
                <w:webHidden/>
              </w:rPr>
            </w:r>
            <w:r w:rsidRPr="00971B2B">
              <w:rPr>
                <w:webHidden/>
              </w:rPr>
              <w:fldChar w:fldCharType="separate"/>
            </w:r>
            <w:r w:rsidRPr="00971B2B">
              <w:rPr>
                <w:webHidden/>
              </w:rPr>
              <w:t>4</w:t>
            </w:r>
            <w:r w:rsidRPr="00971B2B">
              <w:rPr>
                <w:webHidden/>
              </w:rPr>
              <w:fldChar w:fldCharType="end"/>
            </w:r>
          </w:hyperlink>
        </w:p>
        <w:p w:rsidR="003371B2" w:rsidRPr="00A76307" w:rsidRDefault="003371B2">
          <w:r w:rsidRPr="0015559C">
            <w:fldChar w:fldCharType="end"/>
          </w:r>
        </w:p>
      </w:sdtContent>
    </w:sdt>
    <w:p w:rsidR="003F786B" w:rsidRPr="00A76307" w:rsidRDefault="003F786B" w:rsidP="00971B2B">
      <w:pPr>
        <w:pStyle w:val="Obsah1"/>
        <w:rPr>
          <w:rFonts w:eastAsiaTheme="minorEastAsia"/>
          <w:lang w:eastAsia="sk-SK"/>
        </w:rPr>
      </w:pPr>
      <w:r w:rsidRPr="00A76307">
        <w:br w:type="page"/>
      </w:r>
      <w:bookmarkStart w:id="0" w:name="_GoBack"/>
      <w:bookmarkEnd w:id="0"/>
    </w:p>
    <w:p w:rsidR="00F52CCC" w:rsidRDefault="00F52CCC" w:rsidP="006C0FFB">
      <w:pPr>
        <w:pStyle w:val="Nadpis1"/>
        <w:jc w:val="both"/>
        <w:rPr>
          <w:b/>
          <w:bCs/>
          <w:color w:val="000000" w:themeColor="text1"/>
        </w:rPr>
      </w:pPr>
      <w:bookmarkStart w:id="1" w:name="_Toc22772892"/>
      <w:r w:rsidRPr="00F52CCC">
        <w:rPr>
          <w:b/>
          <w:bCs/>
          <w:color w:val="000000" w:themeColor="text1"/>
        </w:rPr>
        <w:t>Občianske právo</w:t>
      </w:r>
      <w:bookmarkEnd w:id="1"/>
    </w:p>
    <w:p w:rsidR="00F52CCC" w:rsidRPr="00F52CCC" w:rsidRDefault="00F52CCC" w:rsidP="006C0FFB">
      <w:pPr>
        <w:spacing w:after="0"/>
        <w:jc w:val="both"/>
      </w:pPr>
    </w:p>
    <w:p w:rsidR="00A76307" w:rsidRDefault="00D4335A" w:rsidP="006C0FFB">
      <w:pPr>
        <w:jc w:val="both"/>
      </w:pPr>
      <w:r>
        <w:t>Občianske právo je súhrn právnych noriem, upravujúci vzťah medzi FO, PO a štátom (majetkové, osobnostné, osobno-majetkové). Delí sa na :</w:t>
      </w:r>
    </w:p>
    <w:p w:rsidR="00D4335A" w:rsidRDefault="00D4335A" w:rsidP="006C0FFB">
      <w:pPr>
        <w:pStyle w:val="Odsekzoznamu"/>
        <w:numPr>
          <w:ilvl w:val="0"/>
          <w:numId w:val="26"/>
        </w:numPr>
        <w:jc w:val="both"/>
      </w:pPr>
      <w:r>
        <w:t>všeobecné súkromné právo (vzťah FO, PO a štátu)</w:t>
      </w:r>
    </w:p>
    <w:p w:rsidR="00D4335A" w:rsidRDefault="00D4335A" w:rsidP="006C0FFB">
      <w:pPr>
        <w:pStyle w:val="Odsekzoznamu"/>
        <w:numPr>
          <w:ilvl w:val="0"/>
          <w:numId w:val="26"/>
        </w:numPr>
        <w:jc w:val="both"/>
      </w:pPr>
      <w:r>
        <w:t>osobitné súkromné právo (rodinné, pracovné, dedičské)</w:t>
      </w:r>
    </w:p>
    <w:p w:rsidR="00F52CCC" w:rsidRDefault="00F52CCC" w:rsidP="006C0FFB">
      <w:pPr>
        <w:pStyle w:val="Odsekzoznamu"/>
        <w:jc w:val="both"/>
      </w:pPr>
    </w:p>
    <w:p w:rsidR="00A81F47" w:rsidRDefault="00A81F47" w:rsidP="006C0FFB">
      <w:pPr>
        <w:pStyle w:val="Odsekzoznamu"/>
        <w:numPr>
          <w:ilvl w:val="0"/>
          <w:numId w:val="27"/>
        </w:numPr>
        <w:jc w:val="both"/>
      </w:pPr>
      <w:r>
        <w:t>osobno-majetkové právo (duševné vlastníctvo, patenty)</w:t>
      </w:r>
    </w:p>
    <w:p w:rsidR="00A81F47" w:rsidRDefault="00A81F47" w:rsidP="006C0FFB">
      <w:pPr>
        <w:pStyle w:val="Odsekzoznamu"/>
        <w:numPr>
          <w:ilvl w:val="0"/>
          <w:numId w:val="27"/>
        </w:numPr>
        <w:jc w:val="both"/>
      </w:pPr>
      <w:r>
        <w:t xml:space="preserve">súkromné právo – je založené </w:t>
      </w:r>
      <w:r w:rsidR="00F52CCC">
        <w:t>na rovnocennosti postavenia účastníkov, nemôže si jedna strana vynútiť povinnosť</w:t>
      </w:r>
    </w:p>
    <w:p w:rsidR="00F52CCC" w:rsidRDefault="00F52CCC" w:rsidP="006C0FFB">
      <w:pPr>
        <w:pStyle w:val="Odsekzoznamu"/>
        <w:numPr>
          <w:ilvl w:val="0"/>
          <w:numId w:val="27"/>
        </w:numPr>
        <w:jc w:val="both"/>
      </w:pPr>
      <w:r>
        <w:t>verejné právo – subjekty sú v nerovnocennom postavení (nadriadený/podriadený), sú tu donucovacie prostriedky (ústavné, správne právo)</w:t>
      </w:r>
    </w:p>
    <w:p w:rsidR="006C0FFB" w:rsidRDefault="006C0FFB" w:rsidP="006C0FFB">
      <w:pPr>
        <w:jc w:val="both"/>
      </w:pPr>
    </w:p>
    <w:p w:rsidR="00F52CCC" w:rsidRDefault="00F52CCC" w:rsidP="006C0FFB">
      <w:pPr>
        <w:pStyle w:val="Nadpis2"/>
        <w:jc w:val="both"/>
        <w:rPr>
          <w:b/>
          <w:bCs/>
          <w:color w:val="000000" w:themeColor="text1"/>
        </w:rPr>
      </w:pPr>
      <w:bookmarkStart w:id="2" w:name="_Toc22772893"/>
      <w:r w:rsidRPr="006C0FFB">
        <w:rPr>
          <w:b/>
          <w:bCs/>
          <w:color w:val="000000" w:themeColor="text1"/>
        </w:rPr>
        <w:t>Občiansky zákonník</w:t>
      </w:r>
      <w:bookmarkEnd w:id="2"/>
    </w:p>
    <w:p w:rsidR="006C0FFB" w:rsidRDefault="006C0FFB" w:rsidP="006C0FFB">
      <w:pPr>
        <w:jc w:val="both"/>
      </w:pPr>
      <w:r>
        <w:t>Má 9 častí :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všeobecné ustanovenia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úprava vecných práv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–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–</w:t>
      </w:r>
      <w:r>
        <w:tab/>
        <w:t>zrušené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–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zodpovednosť za škodu a za bezdôvodné obohacovanie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dedenie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záväzkové právo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záverečné, prechodné a zrušovacie ustanovenia</w:t>
      </w:r>
    </w:p>
    <w:p w:rsidR="007C3974" w:rsidRDefault="007C3974" w:rsidP="007C3974">
      <w:pPr>
        <w:jc w:val="both"/>
      </w:pPr>
    </w:p>
    <w:p w:rsidR="006C0FFB" w:rsidRPr="002E2964" w:rsidRDefault="007C3974" w:rsidP="002E2964">
      <w:pPr>
        <w:pStyle w:val="Nadpis2"/>
        <w:jc w:val="both"/>
        <w:rPr>
          <w:b/>
          <w:bCs/>
          <w:color w:val="000000" w:themeColor="text1"/>
        </w:rPr>
      </w:pPr>
      <w:bookmarkStart w:id="3" w:name="_Toc22772894"/>
      <w:r w:rsidRPr="002E2964">
        <w:rPr>
          <w:b/>
          <w:bCs/>
          <w:color w:val="000000" w:themeColor="text1"/>
        </w:rPr>
        <w:t>Občiansky zákon</w:t>
      </w:r>
      <w:bookmarkEnd w:id="3"/>
    </w:p>
    <w:p w:rsidR="007C3974" w:rsidRDefault="007C3974" w:rsidP="006C0FFB">
      <w:pPr>
        <w:jc w:val="both"/>
      </w:pPr>
      <w:r>
        <w:t>Je to právna norma, zákonom stanovená norma o správaní s možnosťou vynútenia.</w:t>
      </w:r>
    </w:p>
    <w:p w:rsidR="007C3974" w:rsidRDefault="007C3974" w:rsidP="006C0FFB">
      <w:pPr>
        <w:jc w:val="both"/>
      </w:pPr>
      <w:r>
        <w:t>Právne normy :</w:t>
      </w:r>
    </w:p>
    <w:p w:rsidR="007C3974" w:rsidRDefault="007C3974" w:rsidP="007C3974">
      <w:pPr>
        <w:pStyle w:val="Odsekzoznamu"/>
        <w:numPr>
          <w:ilvl w:val="0"/>
          <w:numId w:val="26"/>
        </w:numPr>
        <w:jc w:val="both"/>
      </w:pPr>
      <w:r>
        <w:t>kogentná (záväzná</w:t>
      </w:r>
      <w:r w:rsidR="002E2964">
        <w:t xml:space="preserve"> – dĺžka skúšobnej doby..</w:t>
      </w:r>
      <w:r>
        <w:t>)</w:t>
      </w:r>
    </w:p>
    <w:p w:rsidR="007C3974" w:rsidRDefault="007C3974" w:rsidP="007C3974">
      <w:pPr>
        <w:pStyle w:val="Odsekzoznamu"/>
        <w:numPr>
          <w:ilvl w:val="0"/>
          <w:numId w:val="26"/>
        </w:numPr>
        <w:jc w:val="both"/>
      </w:pPr>
      <w:r>
        <w:t>dispozitívna (s možnosťou odklonenia sa – rozdelenie pracovnej doby..)</w:t>
      </w:r>
    </w:p>
    <w:p w:rsidR="002E2964" w:rsidRDefault="002E2964" w:rsidP="002E2964">
      <w:pPr>
        <w:pStyle w:val="Odsekzoznamu"/>
        <w:jc w:val="both"/>
      </w:pP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oprávňujúca (dedičstvo, možnosť odmietnuť)</w:t>
      </w: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porúčajúca (zakazujúca)</w:t>
      </w:r>
    </w:p>
    <w:p w:rsidR="002E2964" w:rsidRDefault="002E2964" w:rsidP="002E2964">
      <w:pPr>
        <w:pStyle w:val="Odsekzoznamu"/>
        <w:jc w:val="both"/>
      </w:pP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zákonné právne normy (vyššej právnej sily)</w:t>
      </w: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podzákonné (nižšej právnej sily)</w:t>
      </w:r>
    </w:p>
    <w:p w:rsidR="002E2964" w:rsidRDefault="002E2964" w:rsidP="002E2964">
      <w:pPr>
        <w:pStyle w:val="Odsekzoznamu"/>
        <w:jc w:val="both"/>
      </w:pP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primárna (zákon)</w:t>
      </w: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sekundárna (vyhlásenie)</w:t>
      </w:r>
    </w:p>
    <w:p w:rsidR="007C3974" w:rsidRDefault="007C397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</w:rPr>
        <w:br w:type="page"/>
      </w:r>
    </w:p>
    <w:p w:rsidR="006C0FFB" w:rsidRDefault="006C0FFB" w:rsidP="00821F1C">
      <w:pPr>
        <w:pStyle w:val="Nadpis2"/>
        <w:jc w:val="both"/>
        <w:rPr>
          <w:b/>
          <w:bCs/>
          <w:color w:val="000000" w:themeColor="text1"/>
        </w:rPr>
      </w:pPr>
      <w:bookmarkStart w:id="4" w:name="_Toc22772895"/>
      <w:r w:rsidRPr="006C0FFB">
        <w:rPr>
          <w:b/>
          <w:bCs/>
          <w:color w:val="000000" w:themeColor="text1"/>
        </w:rPr>
        <w:t>Pracovné právo</w:t>
      </w:r>
      <w:bookmarkEnd w:id="4"/>
    </w:p>
    <w:p w:rsidR="006C0FFB" w:rsidRDefault="006C0FFB" w:rsidP="00821F1C">
      <w:pPr>
        <w:jc w:val="both"/>
      </w:pPr>
      <w:r>
        <w:t xml:space="preserve">Upravuje vzťah </w:t>
      </w:r>
      <w:r w:rsidR="00A55ABD">
        <w:t>zamestnávateľ</w:t>
      </w:r>
      <w:r>
        <w:t>/zamestnanec =&gt; ochrana „slabšej zmluvnej strany“, ktorá by teoreticky v súkromnom práve nemala byť. To isté v spotrebiteľskom práve – spotrebiteľ/dodávateľ.</w:t>
      </w:r>
    </w:p>
    <w:p w:rsidR="00A55ABD" w:rsidRDefault="00A55ABD" w:rsidP="00821F1C">
      <w:pPr>
        <w:spacing w:after="0"/>
        <w:jc w:val="both"/>
      </w:pPr>
      <w:r>
        <w:t>„Zásada subsidiarity“</w:t>
      </w:r>
    </w:p>
    <w:p w:rsidR="00A55ABD" w:rsidRDefault="00A55ABD" w:rsidP="00821F1C">
      <w:pPr>
        <w:pStyle w:val="Odsekzoznamu"/>
        <w:numPr>
          <w:ilvl w:val="0"/>
          <w:numId w:val="26"/>
        </w:numPr>
        <w:spacing w:after="0"/>
        <w:jc w:val="both"/>
      </w:pPr>
      <w:r>
        <w:t>princíp, ktorý označuje podporu, poskytnutie pomoci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>kompenzujúci zásah väčších sociálnych systémov (štátu) na prospech menších sociálnych útvarov (rodín, menšín, jednotlivcov)</w:t>
      </w:r>
    </w:p>
    <w:p w:rsidR="007C3974" w:rsidRDefault="007C3974" w:rsidP="00821F1C">
      <w:pPr>
        <w:spacing w:after="0"/>
        <w:jc w:val="both"/>
      </w:pPr>
    </w:p>
    <w:p w:rsidR="007C3974" w:rsidRDefault="007C3974" w:rsidP="00821F1C">
      <w:pPr>
        <w:spacing w:after="0"/>
        <w:jc w:val="both"/>
      </w:pPr>
      <w:r>
        <w:t>„Mimo sporové konanie“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>neexistuje spor (napr. dedičstvo)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>neexistuje strana žalobcu a žalovaného</w:t>
      </w:r>
    </w:p>
    <w:p w:rsidR="007C3974" w:rsidRDefault="007C3974" w:rsidP="00821F1C">
      <w:pPr>
        <w:spacing w:after="0"/>
        <w:jc w:val="both"/>
      </w:pPr>
    </w:p>
    <w:p w:rsidR="007C3974" w:rsidRDefault="007C3974" w:rsidP="00821F1C">
      <w:pPr>
        <w:spacing w:after="0"/>
        <w:jc w:val="both"/>
      </w:pPr>
      <w:r>
        <w:t>„Sporové konanie“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 xml:space="preserve">existuje strana žalobcu a žalovaného </w:t>
      </w:r>
    </w:p>
    <w:p w:rsidR="007C3974" w:rsidRPr="006C0FFB" w:rsidRDefault="007C3974" w:rsidP="00821F1C">
      <w:pPr>
        <w:spacing w:after="0"/>
        <w:jc w:val="both"/>
      </w:pPr>
    </w:p>
    <w:p w:rsidR="002E2964" w:rsidRPr="002E2964" w:rsidRDefault="002E2964" w:rsidP="00821F1C">
      <w:pPr>
        <w:pStyle w:val="Nadpis1"/>
        <w:jc w:val="both"/>
        <w:rPr>
          <w:b/>
          <w:bCs/>
          <w:color w:val="000000" w:themeColor="text1"/>
        </w:rPr>
      </w:pPr>
      <w:bookmarkStart w:id="5" w:name="_Toc22772896"/>
      <w:r w:rsidRPr="002E2964">
        <w:rPr>
          <w:b/>
          <w:bCs/>
          <w:color w:val="000000" w:themeColor="text1"/>
        </w:rPr>
        <w:t>Zásady súkromného práva</w:t>
      </w:r>
      <w:bookmarkEnd w:id="5"/>
    </w:p>
    <w:p w:rsidR="002E2964" w:rsidRDefault="002E2964" w:rsidP="00821F1C">
      <w:pPr>
        <w:jc w:val="both"/>
      </w:pPr>
      <w:r>
        <w:t>Zásada je pravidlo väčšieho rozsahu, obsahuje princípy.</w:t>
      </w:r>
    </w:p>
    <w:p w:rsidR="002E2964" w:rsidRDefault="002E2964" w:rsidP="00821F1C">
      <w:pPr>
        <w:pStyle w:val="Nadpis2"/>
        <w:jc w:val="both"/>
        <w:rPr>
          <w:b/>
          <w:bCs/>
          <w:color w:val="000000" w:themeColor="text1"/>
        </w:rPr>
      </w:pPr>
      <w:bookmarkStart w:id="6" w:name="_Toc22772897"/>
      <w:r w:rsidRPr="002E2964">
        <w:rPr>
          <w:b/>
          <w:bCs/>
          <w:color w:val="000000" w:themeColor="text1"/>
        </w:rPr>
        <w:t>1. Zásada rovnosti účastníkov</w:t>
      </w:r>
      <w:bookmarkEnd w:id="6"/>
    </w:p>
    <w:p w:rsidR="002E2964" w:rsidRDefault="002E2964" w:rsidP="00821F1C">
      <w:pPr>
        <w:pStyle w:val="Odsekzoznamu"/>
        <w:numPr>
          <w:ilvl w:val="0"/>
          <w:numId w:val="30"/>
        </w:numPr>
        <w:jc w:val="both"/>
      </w:pPr>
      <w:r>
        <w:t>žiaden z účastníkov nemá výhodnejšie postavenie</w:t>
      </w:r>
    </w:p>
    <w:p w:rsidR="002E2964" w:rsidRDefault="005706A1" w:rsidP="00821F1C">
      <w:pPr>
        <w:pStyle w:val="Odsekzoznamu"/>
        <w:numPr>
          <w:ilvl w:val="0"/>
          <w:numId w:val="30"/>
        </w:numPr>
        <w:jc w:val="both"/>
      </w:pPr>
      <w:r>
        <w:t>žiaden z</w:t>
      </w:r>
      <w:r>
        <w:t> </w:t>
      </w:r>
      <w:r>
        <w:t>účastníkov</w:t>
      </w:r>
      <w:r>
        <w:t xml:space="preserve"> nemôže nanútiť povinnosti</w:t>
      </w:r>
    </w:p>
    <w:p w:rsidR="005706A1" w:rsidRDefault="005706A1" w:rsidP="00821F1C">
      <w:pPr>
        <w:pStyle w:val="Odsekzoznamu"/>
        <w:numPr>
          <w:ilvl w:val="0"/>
          <w:numId w:val="30"/>
        </w:numPr>
        <w:jc w:val="both"/>
      </w:pPr>
      <w:r>
        <w:t>žiaden z</w:t>
      </w:r>
      <w:r>
        <w:t> </w:t>
      </w:r>
      <w:r>
        <w:t>účastníkov</w:t>
      </w:r>
      <w:r>
        <w:t xml:space="preserve"> si nemôže vynútiť plnenie</w:t>
      </w:r>
    </w:p>
    <w:p w:rsidR="005706A1" w:rsidRDefault="005706A1" w:rsidP="00821F1C">
      <w:pPr>
        <w:pStyle w:val="Odsekzoznamu"/>
        <w:numPr>
          <w:ilvl w:val="0"/>
          <w:numId w:val="30"/>
        </w:numPr>
        <w:jc w:val="both"/>
      </w:pPr>
      <w:r>
        <w:t>existujú výnimky (pracovné, správne právo..)</w:t>
      </w:r>
    </w:p>
    <w:p w:rsidR="005706A1" w:rsidRDefault="005706A1" w:rsidP="00821F1C">
      <w:pPr>
        <w:pStyle w:val="Nadpis2"/>
        <w:jc w:val="both"/>
        <w:rPr>
          <w:b/>
          <w:bCs/>
          <w:color w:val="000000" w:themeColor="text1"/>
        </w:rPr>
      </w:pPr>
      <w:bookmarkStart w:id="7" w:name="_Toc22772898"/>
      <w:r w:rsidRPr="005706A1">
        <w:rPr>
          <w:b/>
          <w:bCs/>
          <w:color w:val="000000" w:themeColor="text1"/>
        </w:rPr>
        <w:t>2. Zásada autonómie vôle a zmluvnej slobody</w:t>
      </w:r>
      <w:bookmarkEnd w:id="7"/>
    </w:p>
    <w:p w:rsidR="005706A1" w:rsidRDefault="005706A1" w:rsidP="00821F1C">
      <w:pPr>
        <w:pStyle w:val="Odsekzoznamu"/>
        <w:numPr>
          <w:ilvl w:val="0"/>
          <w:numId w:val="31"/>
        </w:numPr>
        <w:jc w:val="both"/>
      </w:pPr>
      <w:r>
        <w:t>vlastnícka sloboda</w:t>
      </w:r>
    </w:p>
    <w:p w:rsidR="005706A1" w:rsidRDefault="005706A1" w:rsidP="00821F1C">
      <w:pPr>
        <w:pStyle w:val="Odsekzoznamu"/>
        <w:numPr>
          <w:ilvl w:val="0"/>
          <w:numId w:val="31"/>
        </w:numPr>
        <w:jc w:val="both"/>
      </w:pPr>
      <w:r>
        <w:t>zmluvná sloboda</w:t>
      </w:r>
    </w:p>
    <w:p w:rsidR="005706A1" w:rsidRPr="005B2991" w:rsidRDefault="005706A1" w:rsidP="00821F1C">
      <w:pPr>
        <w:pStyle w:val="Nadpis2"/>
        <w:spacing w:after="240"/>
        <w:jc w:val="both"/>
        <w:rPr>
          <w:b/>
          <w:bCs/>
        </w:rPr>
      </w:pPr>
      <w:bookmarkStart w:id="8" w:name="_Toc22772899"/>
      <w:r w:rsidRPr="005B2991">
        <w:rPr>
          <w:b/>
          <w:bCs/>
          <w:color w:val="000000" w:themeColor="text1"/>
        </w:rPr>
        <w:t xml:space="preserve">3. </w:t>
      </w:r>
      <w:r w:rsidR="005B2991" w:rsidRPr="005B2991">
        <w:rPr>
          <w:b/>
          <w:bCs/>
          <w:color w:val="000000" w:themeColor="text1"/>
        </w:rPr>
        <w:t>Každý môže konať to, čo nemá zákonom zakázané</w:t>
      </w:r>
      <w:bookmarkEnd w:id="8"/>
    </w:p>
    <w:p w:rsidR="005B2991" w:rsidRDefault="005B2991" w:rsidP="00821F1C">
      <w:pPr>
        <w:pStyle w:val="Nadpis2"/>
        <w:jc w:val="both"/>
        <w:rPr>
          <w:b/>
          <w:bCs/>
          <w:color w:val="000000" w:themeColor="text1"/>
        </w:rPr>
      </w:pPr>
      <w:bookmarkStart w:id="9" w:name="_Toc22772900"/>
      <w:r w:rsidRPr="005B2991">
        <w:rPr>
          <w:b/>
          <w:bCs/>
          <w:color w:val="000000" w:themeColor="text1"/>
        </w:rPr>
        <w:t xml:space="preserve">4. Zásada </w:t>
      </w:r>
      <w:proofErr w:type="spellStart"/>
      <w:r w:rsidRPr="005B2991">
        <w:rPr>
          <w:b/>
          <w:bCs/>
          <w:color w:val="000000" w:themeColor="text1"/>
        </w:rPr>
        <w:t>ekvity</w:t>
      </w:r>
      <w:bookmarkEnd w:id="9"/>
      <w:proofErr w:type="spellEnd"/>
    </w:p>
    <w:p w:rsidR="005B2991" w:rsidRDefault="005B2991" w:rsidP="00821F1C">
      <w:pPr>
        <w:pStyle w:val="Odsekzoznamu"/>
        <w:numPr>
          <w:ilvl w:val="0"/>
          <w:numId w:val="32"/>
        </w:numPr>
        <w:jc w:val="both"/>
      </w:pPr>
      <w:r>
        <w:t>zmierňovanie tvrdosti práva, prispôsobovanie reálnym podmienkam</w:t>
      </w:r>
    </w:p>
    <w:p w:rsidR="005B2991" w:rsidRDefault="005B2991" w:rsidP="00821F1C">
      <w:pPr>
        <w:pStyle w:val="Odsekzoznamu"/>
        <w:numPr>
          <w:ilvl w:val="0"/>
          <w:numId w:val="32"/>
        </w:numPr>
        <w:jc w:val="both"/>
      </w:pPr>
      <w:r>
        <w:t>„právo je umenie dobra a spravodlivosti“</w:t>
      </w:r>
    </w:p>
    <w:p w:rsidR="005B2991" w:rsidRDefault="005B2991" w:rsidP="00821F1C">
      <w:pPr>
        <w:pStyle w:val="Odsekzoznamu"/>
        <w:numPr>
          <w:ilvl w:val="0"/>
          <w:numId w:val="32"/>
        </w:numPr>
        <w:jc w:val="both"/>
      </w:pPr>
      <w:r>
        <w:t>dobré mravy, poctivý obchodný styk</w:t>
      </w:r>
    </w:p>
    <w:p w:rsidR="00DA3542" w:rsidRPr="00956251" w:rsidRDefault="00DA3542" w:rsidP="00821F1C">
      <w:pPr>
        <w:pStyle w:val="Nadpis2"/>
        <w:spacing w:after="240"/>
        <w:jc w:val="both"/>
        <w:rPr>
          <w:b/>
          <w:bCs/>
          <w:color w:val="000000" w:themeColor="text1"/>
        </w:rPr>
      </w:pPr>
      <w:bookmarkStart w:id="10" w:name="_Toc22772901"/>
      <w:r w:rsidRPr="00956251">
        <w:rPr>
          <w:b/>
          <w:bCs/>
          <w:color w:val="000000" w:themeColor="text1"/>
        </w:rPr>
        <w:t>5. Zásada zákazu zneužitia subjektívnych práv</w:t>
      </w:r>
      <w:bookmarkEnd w:id="10"/>
    </w:p>
    <w:p w:rsidR="00DA3542" w:rsidRPr="00956251" w:rsidRDefault="00DA3542" w:rsidP="00821F1C">
      <w:pPr>
        <w:pStyle w:val="Nadpis2"/>
        <w:jc w:val="both"/>
        <w:rPr>
          <w:b/>
          <w:bCs/>
          <w:color w:val="000000" w:themeColor="text1"/>
        </w:rPr>
      </w:pPr>
      <w:bookmarkStart w:id="11" w:name="_Toc22772902"/>
      <w:r w:rsidRPr="00956251">
        <w:rPr>
          <w:b/>
          <w:bCs/>
          <w:color w:val="000000" w:themeColor="text1"/>
        </w:rPr>
        <w:t>6. Zásada prevencie</w:t>
      </w:r>
      <w:bookmarkEnd w:id="11"/>
    </w:p>
    <w:p w:rsidR="00DA3542" w:rsidRDefault="00DA3542" w:rsidP="00821F1C">
      <w:pPr>
        <w:pStyle w:val="Odsekzoznamu"/>
        <w:numPr>
          <w:ilvl w:val="0"/>
          <w:numId w:val="33"/>
        </w:numPr>
        <w:jc w:val="both"/>
      </w:pPr>
      <w:r>
        <w:t>právne normy pôsobiace preventívne a</w:t>
      </w:r>
      <w:r w:rsidR="00956251">
        <w:t> </w:t>
      </w:r>
      <w:r>
        <w:t>účastníkov</w:t>
      </w:r>
      <w:r w:rsidR="00956251">
        <w:t>, aby si plnili povinnosti</w:t>
      </w:r>
    </w:p>
    <w:p w:rsidR="00956251" w:rsidRDefault="00956251" w:rsidP="00821F1C">
      <w:pPr>
        <w:pStyle w:val="Odsekzoznamu"/>
        <w:numPr>
          <w:ilvl w:val="0"/>
          <w:numId w:val="33"/>
        </w:numPr>
        <w:jc w:val="both"/>
      </w:pPr>
      <w:r>
        <w:t>aby nedochádzalo k ohrozovaniu a porušovaniu práv z občianskoprávnych vzťahov</w:t>
      </w:r>
    </w:p>
    <w:p w:rsidR="00956251" w:rsidRDefault="00956251" w:rsidP="00821F1C">
      <w:pPr>
        <w:jc w:val="both"/>
      </w:pPr>
      <w:r>
        <w:t>„Právo svojpomoci“ – keď bezprostredne hrozí neoprávnený zásah, a nespôsobí sa tak väčšia škoda</w:t>
      </w:r>
    </w:p>
    <w:p w:rsidR="00956251" w:rsidRDefault="00956251" w:rsidP="00821F1C">
      <w:pPr>
        <w:jc w:val="both"/>
      </w:pPr>
      <w:r>
        <w:br w:type="page"/>
      </w:r>
    </w:p>
    <w:p w:rsidR="00956251" w:rsidRDefault="00956251" w:rsidP="00821F1C">
      <w:pPr>
        <w:pStyle w:val="Nadpis1"/>
        <w:jc w:val="both"/>
        <w:rPr>
          <w:b/>
          <w:bCs/>
          <w:color w:val="000000" w:themeColor="text1"/>
        </w:rPr>
      </w:pPr>
      <w:bookmarkStart w:id="12" w:name="_Toc22772903"/>
      <w:r w:rsidRPr="00956251">
        <w:rPr>
          <w:b/>
          <w:bCs/>
          <w:color w:val="000000" w:themeColor="text1"/>
        </w:rPr>
        <w:t>Občianskoprávne vzťahy</w:t>
      </w:r>
      <w:bookmarkEnd w:id="12"/>
    </w:p>
    <w:p w:rsidR="00C44BDE" w:rsidRDefault="00C44BDE" w:rsidP="00821F1C">
      <w:pPr>
        <w:jc w:val="both"/>
      </w:pPr>
    </w:p>
    <w:p w:rsidR="00C44BDE" w:rsidRDefault="00C44BDE" w:rsidP="00821F1C">
      <w:pPr>
        <w:jc w:val="both"/>
      </w:pPr>
      <w:r>
        <w:t>Vznikajú medzi konkrétn</w:t>
      </w:r>
      <w:r w:rsidR="005C77CD">
        <w:t>ymi rovnocennými právnymi subjektami z právnych úkonov a iných skutočností, s ktorými zákon vznik týchto vzťahov spája.</w:t>
      </w:r>
    </w:p>
    <w:p w:rsidR="005C77CD" w:rsidRDefault="005C77CD" w:rsidP="00821F1C">
      <w:pPr>
        <w:jc w:val="both"/>
      </w:pPr>
      <w:r>
        <w:t>„Právny dôvod“ (kauza) je zákon, právna skutočnosť</w:t>
      </w:r>
      <w:r w:rsidR="009A00AF">
        <w:t xml:space="preserve"> – občianskoprávny vzťah je vzťah kauzálny nepôsobí právny následok, na následok treba právny dôvod (právnu skutočnosť).</w:t>
      </w:r>
    </w:p>
    <w:p w:rsidR="009A00AF" w:rsidRDefault="00C248B7" w:rsidP="00821F1C">
      <w:pPr>
        <w:jc w:val="both"/>
      </w:pPr>
      <w:r>
        <w:t>Je to reálna skutočnosť, ktorá nie je zákon. Poznáme :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>objektívne právne skutočnosti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 xml:space="preserve">subjektívne právne skutočnosti 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>absolútne (nadobudnuté práva, ktoré predtým nikto nemal)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>relatívne (</w:t>
      </w:r>
      <w:proofErr w:type="spellStart"/>
      <w:r>
        <w:t>sukcesor</w:t>
      </w:r>
      <w:proofErr w:type="spellEnd"/>
      <w:r>
        <w:t>/</w:t>
      </w:r>
      <w:proofErr w:type="spellStart"/>
      <w:r>
        <w:t>auktor</w:t>
      </w:r>
      <w:proofErr w:type="spellEnd"/>
      <w:r>
        <w:t>)</w:t>
      </w:r>
    </w:p>
    <w:p w:rsidR="009C4B6A" w:rsidRPr="009C4B6A" w:rsidRDefault="009C4B6A" w:rsidP="00821F1C">
      <w:pPr>
        <w:pStyle w:val="Nadpis2"/>
        <w:jc w:val="both"/>
        <w:rPr>
          <w:b/>
          <w:bCs/>
          <w:color w:val="000000" w:themeColor="text1"/>
        </w:rPr>
      </w:pPr>
      <w:bookmarkStart w:id="13" w:name="_Toc22772904"/>
      <w:r w:rsidRPr="009C4B6A">
        <w:rPr>
          <w:b/>
          <w:bCs/>
          <w:color w:val="000000" w:themeColor="text1"/>
        </w:rPr>
        <w:t>Subjekty občianskoprávnych vzťahov</w:t>
      </w:r>
      <w:bookmarkEnd w:id="13"/>
    </w:p>
    <w:p w:rsidR="009C4B6A" w:rsidRDefault="009C4B6A" w:rsidP="00821F1C">
      <w:pPr>
        <w:pStyle w:val="Odsekzoznamu"/>
        <w:numPr>
          <w:ilvl w:val="0"/>
          <w:numId w:val="35"/>
        </w:numPr>
        <w:spacing w:before="240"/>
        <w:jc w:val="both"/>
      </w:pPr>
      <w:r>
        <w:t>právnická osoba – obchodné spoločnosti, družstvá, komory, združenia, nadácie, obce, VÚC...</w:t>
      </w:r>
    </w:p>
    <w:p w:rsidR="009C4B6A" w:rsidRDefault="009C4B6A" w:rsidP="00821F1C">
      <w:pPr>
        <w:pStyle w:val="Odsekzoznamu"/>
        <w:numPr>
          <w:ilvl w:val="0"/>
          <w:numId w:val="35"/>
        </w:numPr>
        <w:spacing w:before="240"/>
        <w:jc w:val="both"/>
      </w:pPr>
      <w:r>
        <w:t>fyzická osoba – spôsobilosť na práva a povinnosti vzniká narodením, spôsobilosť na právne úkony plnoletosťou, deliktuálna spôsobilosť od 14 r.</w:t>
      </w:r>
    </w:p>
    <w:p w:rsidR="009C4B6A" w:rsidRDefault="009C4B6A" w:rsidP="00821F1C">
      <w:pPr>
        <w:pStyle w:val="Nadpis2"/>
        <w:jc w:val="both"/>
        <w:rPr>
          <w:b/>
          <w:bCs/>
          <w:color w:val="000000" w:themeColor="text1"/>
        </w:rPr>
      </w:pPr>
      <w:bookmarkStart w:id="14" w:name="_Toc22772905"/>
      <w:r w:rsidRPr="002653E7">
        <w:rPr>
          <w:b/>
          <w:bCs/>
          <w:color w:val="000000" w:themeColor="text1"/>
        </w:rPr>
        <w:t>Predmety občianskoprávnych vzťahov</w:t>
      </w:r>
      <w:bookmarkEnd w:id="14"/>
    </w:p>
    <w:p w:rsidR="002653E7" w:rsidRDefault="002653E7" w:rsidP="00821F1C">
      <w:pPr>
        <w:pStyle w:val="Odsekzoznamu"/>
        <w:numPr>
          <w:ilvl w:val="0"/>
          <w:numId w:val="36"/>
        </w:numPr>
        <w:jc w:val="both"/>
      </w:pPr>
      <w:r>
        <w:t xml:space="preserve">veci </w:t>
      </w:r>
    </w:p>
    <w:p w:rsidR="002653E7" w:rsidRDefault="002653E7" w:rsidP="00821F1C">
      <w:pPr>
        <w:pStyle w:val="Odsekzoznamu"/>
        <w:numPr>
          <w:ilvl w:val="1"/>
          <w:numId w:val="36"/>
        </w:numPr>
        <w:jc w:val="both"/>
      </w:pPr>
      <w:r>
        <w:t> hnuteľné a nehnuteľné</w:t>
      </w:r>
    </w:p>
    <w:p w:rsidR="002653E7" w:rsidRDefault="002653E7" w:rsidP="00821F1C">
      <w:pPr>
        <w:pStyle w:val="Odsekzoznamu"/>
        <w:numPr>
          <w:ilvl w:val="1"/>
          <w:numId w:val="36"/>
        </w:numPr>
        <w:jc w:val="both"/>
      </w:pPr>
      <w:r>
        <w:t> nie sú vyňaté z bežnej občianskej dispozície (zbrane, ľ. orgány...)</w:t>
      </w:r>
    </w:p>
    <w:p w:rsidR="002653E7" w:rsidRDefault="00821F1C" w:rsidP="00821F1C">
      <w:pPr>
        <w:pStyle w:val="Odsekzoznamu"/>
        <w:numPr>
          <w:ilvl w:val="1"/>
          <w:numId w:val="36"/>
        </w:numPr>
        <w:jc w:val="both"/>
      </w:pPr>
      <w:r>
        <w:t> hmotná, vyjadriteľná, ovládateľná vec, čo slúži účelu a potrebe</w:t>
      </w:r>
    </w:p>
    <w:p w:rsidR="00821F1C" w:rsidRDefault="00821F1C" w:rsidP="00821F1C">
      <w:pPr>
        <w:pStyle w:val="Odsekzoznamu"/>
        <w:numPr>
          <w:ilvl w:val="1"/>
          <w:numId w:val="36"/>
        </w:numPr>
        <w:jc w:val="both"/>
      </w:pPr>
      <w:r>
        <w:t> darovacia zmluva</w:t>
      </w:r>
    </w:p>
    <w:p w:rsidR="00821F1C" w:rsidRDefault="00821F1C" w:rsidP="00821F1C">
      <w:pPr>
        <w:pStyle w:val="Odsekzoznamu"/>
        <w:numPr>
          <w:ilvl w:val="0"/>
          <w:numId w:val="36"/>
        </w:numPr>
        <w:jc w:val="both"/>
      </w:pPr>
      <w:r>
        <w:t>zviera</w:t>
      </w:r>
    </w:p>
    <w:p w:rsidR="00821F1C" w:rsidRPr="002653E7" w:rsidRDefault="00821F1C" w:rsidP="00821F1C">
      <w:pPr>
        <w:pStyle w:val="Odsekzoznamu"/>
        <w:numPr>
          <w:ilvl w:val="1"/>
          <w:numId w:val="36"/>
        </w:numPr>
        <w:jc w:val="both"/>
      </w:pPr>
      <w:r>
        <w:t> tiež vec, ale má správanie, vznikajú povinnosti</w:t>
      </w:r>
    </w:p>
    <w:p w:rsidR="009C4B6A" w:rsidRPr="009C4B6A" w:rsidRDefault="009C4B6A" w:rsidP="00821F1C">
      <w:pPr>
        <w:pStyle w:val="Nadpis1"/>
        <w:jc w:val="both"/>
        <w:rPr>
          <w:b/>
          <w:bCs/>
          <w:color w:val="000000" w:themeColor="text1"/>
        </w:rPr>
      </w:pPr>
      <w:bookmarkStart w:id="15" w:name="_Toc22772906"/>
      <w:r w:rsidRPr="009C4B6A">
        <w:rPr>
          <w:b/>
          <w:bCs/>
          <w:color w:val="000000" w:themeColor="text1"/>
        </w:rPr>
        <w:t>Subjektívne právo</w:t>
      </w:r>
      <w:bookmarkEnd w:id="15"/>
    </w:p>
    <w:p w:rsidR="00821F1C" w:rsidRDefault="00C248B7" w:rsidP="00821F1C">
      <w:pPr>
        <w:jc w:val="both"/>
      </w:pPr>
      <w:r>
        <w:t xml:space="preserve">Subjektívne právo je povinnosť priznaná právnym poriadkom subjektom subjektívneho práva, správať sa istým spôsobom a domáhať sa ochrany </w:t>
      </w:r>
      <w:r w:rsidR="009C4B6A">
        <w:t>tohto správania súdom/obcou..</w:t>
      </w:r>
    </w:p>
    <w:p w:rsidR="00821F1C" w:rsidRDefault="00821F1C">
      <w:r>
        <w:br w:type="page"/>
      </w:r>
    </w:p>
    <w:p w:rsidR="00C248B7" w:rsidRDefault="00821F1C" w:rsidP="00821F1C">
      <w:pPr>
        <w:jc w:val="both"/>
      </w:pPr>
      <w:r>
        <w:t>„neopomenuteľný dedič“</w:t>
      </w:r>
    </w:p>
    <w:p w:rsidR="00821F1C" w:rsidRDefault="00821F1C" w:rsidP="00821F1C">
      <w:pPr>
        <w:jc w:val="both"/>
      </w:pPr>
      <w:r>
        <w:t>„relatívna neplatnosť“, „absolútna neplatnosť“</w:t>
      </w:r>
    </w:p>
    <w:p w:rsidR="00821F1C" w:rsidRDefault="00821F1C" w:rsidP="00821F1C">
      <w:pPr>
        <w:jc w:val="both"/>
      </w:pPr>
      <w:r>
        <w:t>„dar neobvyklej hodnoty“</w:t>
      </w:r>
    </w:p>
    <w:p w:rsidR="00821F1C" w:rsidRDefault="00821F1C" w:rsidP="00821F1C">
      <w:pPr>
        <w:jc w:val="both"/>
      </w:pPr>
      <w:r>
        <w:t>„</w:t>
      </w:r>
      <w:proofErr w:type="spellStart"/>
      <w:r>
        <w:t>derivátny</w:t>
      </w:r>
      <w:proofErr w:type="spellEnd"/>
      <w:r>
        <w:t xml:space="preserve"> nadobúdateľ“</w:t>
      </w:r>
    </w:p>
    <w:p w:rsidR="00821F1C" w:rsidRDefault="00821F1C" w:rsidP="00821F1C">
      <w:pPr>
        <w:jc w:val="both"/>
      </w:pPr>
      <w:r>
        <w:t>„zrejmý zásah do pokojného vzťahu“</w:t>
      </w:r>
    </w:p>
    <w:p w:rsidR="00821F1C" w:rsidRDefault="00821F1C" w:rsidP="00821F1C">
      <w:pPr>
        <w:jc w:val="both"/>
      </w:pPr>
      <w:r>
        <w:t>„prevod a prechod práva“</w:t>
      </w:r>
    </w:p>
    <w:p w:rsidR="00821F1C" w:rsidRDefault="00821F1C" w:rsidP="00821F1C">
      <w:pPr>
        <w:jc w:val="both"/>
      </w:pPr>
      <w:r>
        <w:t xml:space="preserve">„univerzálny a singulárny </w:t>
      </w:r>
      <w:proofErr w:type="spellStart"/>
      <w:r>
        <w:t>sukcesor</w:t>
      </w:r>
      <w:proofErr w:type="spellEnd"/>
      <w:r>
        <w:t>“</w:t>
      </w:r>
    </w:p>
    <w:p w:rsidR="00821F1C" w:rsidRDefault="00821F1C" w:rsidP="00821F1C">
      <w:pPr>
        <w:jc w:val="both"/>
      </w:pPr>
    </w:p>
    <w:p w:rsidR="009C4B6A" w:rsidRPr="00C44BDE" w:rsidRDefault="009C4B6A" w:rsidP="009C4B6A">
      <w:r>
        <w:t xml:space="preserve"> </w:t>
      </w:r>
    </w:p>
    <w:sectPr w:rsidR="009C4B6A" w:rsidRPr="00C44BDE" w:rsidSect="003F786B">
      <w:footerReference w:type="default" r:id="rId11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0AB" w:rsidRDefault="005F50AB" w:rsidP="003F786B">
      <w:pPr>
        <w:spacing w:after="0" w:line="240" w:lineRule="auto"/>
      </w:pPr>
      <w:r>
        <w:separator/>
      </w:r>
    </w:p>
  </w:endnote>
  <w:endnote w:type="continuationSeparator" w:id="0">
    <w:p w:rsidR="005F50AB" w:rsidRDefault="005F50AB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Default="003371B2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371B2" w:rsidRDefault="003371B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371B2" w:rsidRDefault="003371B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0AB" w:rsidRDefault="005F50AB" w:rsidP="003F786B">
      <w:pPr>
        <w:spacing w:after="0" w:line="240" w:lineRule="auto"/>
      </w:pPr>
      <w:r>
        <w:separator/>
      </w:r>
    </w:p>
  </w:footnote>
  <w:footnote w:type="continuationSeparator" w:id="0">
    <w:p w:rsidR="005F50AB" w:rsidRDefault="005F50AB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Pr="003F786B" w:rsidRDefault="003371B2" w:rsidP="003F786B">
    <w:pPr>
      <w:pStyle w:val="Hlavika"/>
      <w:jc w:val="center"/>
    </w:pPr>
    <w:r w:rsidRPr="003F786B">
      <w:t>Právnická fakulta</w:t>
    </w:r>
  </w:p>
  <w:p w:rsidR="003371B2" w:rsidRPr="003F786B" w:rsidRDefault="003371B2" w:rsidP="003F786B">
    <w:pPr>
      <w:pStyle w:val="Hlavika"/>
      <w:jc w:val="center"/>
    </w:pPr>
    <w:r w:rsidRPr="003F786B">
      <w:t>Univerzita Komenského v Bratislave</w:t>
    </w:r>
  </w:p>
  <w:p w:rsidR="003371B2" w:rsidRPr="003F786B" w:rsidRDefault="003371B2" w:rsidP="003F786B">
    <w:pPr>
      <w:pStyle w:val="Hlavika"/>
      <w:jc w:val="center"/>
    </w:pPr>
    <w:r w:rsidRPr="003F786B">
      <w:t>Šafárikovo námestie č. 6</w:t>
    </w:r>
  </w:p>
  <w:p w:rsidR="003371B2" w:rsidRPr="003F786B" w:rsidRDefault="003371B2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001"/>
    <w:multiLevelType w:val="hybridMultilevel"/>
    <w:tmpl w:val="4BCA0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53C3"/>
    <w:multiLevelType w:val="hybridMultilevel"/>
    <w:tmpl w:val="96F258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C4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35A6"/>
    <w:multiLevelType w:val="hybridMultilevel"/>
    <w:tmpl w:val="72F8E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6C19"/>
    <w:multiLevelType w:val="hybridMultilevel"/>
    <w:tmpl w:val="890AD4F8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3FED"/>
    <w:multiLevelType w:val="hybridMultilevel"/>
    <w:tmpl w:val="5FBACCA0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D7DA6"/>
    <w:multiLevelType w:val="hybridMultilevel"/>
    <w:tmpl w:val="17E4F83E"/>
    <w:lvl w:ilvl="0" w:tplc="9B7210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3EC8"/>
    <w:multiLevelType w:val="hybridMultilevel"/>
    <w:tmpl w:val="8FC63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6D19"/>
    <w:multiLevelType w:val="hybridMultilevel"/>
    <w:tmpl w:val="75A22E8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91530"/>
    <w:multiLevelType w:val="hybridMultilevel"/>
    <w:tmpl w:val="ED4E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76CE4"/>
    <w:multiLevelType w:val="hybridMultilevel"/>
    <w:tmpl w:val="2170293C"/>
    <w:lvl w:ilvl="0" w:tplc="1FF0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54DDF"/>
    <w:multiLevelType w:val="hybridMultilevel"/>
    <w:tmpl w:val="E878F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149DD"/>
    <w:multiLevelType w:val="hybridMultilevel"/>
    <w:tmpl w:val="DF6E1E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B097B"/>
    <w:multiLevelType w:val="hybridMultilevel"/>
    <w:tmpl w:val="E97833C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96DAB"/>
    <w:multiLevelType w:val="hybridMultilevel"/>
    <w:tmpl w:val="F17A8A12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9663E"/>
    <w:multiLevelType w:val="hybridMultilevel"/>
    <w:tmpl w:val="4202AD46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9410B"/>
    <w:multiLevelType w:val="hybridMultilevel"/>
    <w:tmpl w:val="D4265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F6870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4107762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62A6B"/>
    <w:multiLevelType w:val="hybridMultilevel"/>
    <w:tmpl w:val="0D4ED2B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61CBC"/>
    <w:multiLevelType w:val="hybridMultilevel"/>
    <w:tmpl w:val="ADBCA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AC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514C5"/>
    <w:multiLevelType w:val="hybridMultilevel"/>
    <w:tmpl w:val="71C88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60E30"/>
    <w:multiLevelType w:val="hybridMultilevel"/>
    <w:tmpl w:val="FF32C7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3"/>
  </w:num>
  <w:num w:numId="4">
    <w:abstractNumId w:val="24"/>
  </w:num>
  <w:num w:numId="5">
    <w:abstractNumId w:val="33"/>
  </w:num>
  <w:num w:numId="6">
    <w:abstractNumId w:val="7"/>
  </w:num>
  <w:num w:numId="7">
    <w:abstractNumId w:val="28"/>
  </w:num>
  <w:num w:numId="8">
    <w:abstractNumId w:val="22"/>
  </w:num>
  <w:num w:numId="9">
    <w:abstractNumId w:val="18"/>
  </w:num>
  <w:num w:numId="10">
    <w:abstractNumId w:val="31"/>
  </w:num>
  <w:num w:numId="11">
    <w:abstractNumId w:val="3"/>
  </w:num>
  <w:num w:numId="12">
    <w:abstractNumId w:val="34"/>
  </w:num>
  <w:num w:numId="13">
    <w:abstractNumId w:val="26"/>
  </w:num>
  <w:num w:numId="14">
    <w:abstractNumId w:val="0"/>
  </w:num>
  <w:num w:numId="15">
    <w:abstractNumId w:val="35"/>
  </w:num>
  <w:num w:numId="16">
    <w:abstractNumId w:val="14"/>
  </w:num>
  <w:num w:numId="17">
    <w:abstractNumId w:val="2"/>
  </w:num>
  <w:num w:numId="18">
    <w:abstractNumId w:val="29"/>
  </w:num>
  <w:num w:numId="19">
    <w:abstractNumId w:val="23"/>
  </w:num>
  <w:num w:numId="20">
    <w:abstractNumId w:val="12"/>
  </w:num>
  <w:num w:numId="21">
    <w:abstractNumId w:val="25"/>
  </w:num>
  <w:num w:numId="22">
    <w:abstractNumId w:val="27"/>
  </w:num>
  <w:num w:numId="23">
    <w:abstractNumId w:val="21"/>
  </w:num>
  <w:num w:numId="24">
    <w:abstractNumId w:val="1"/>
  </w:num>
  <w:num w:numId="25">
    <w:abstractNumId w:val="8"/>
  </w:num>
  <w:num w:numId="26">
    <w:abstractNumId w:val="15"/>
  </w:num>
  <w:num w:numId="27">
    <w:abstractNumId w:val="11"/>
  </w:num>
  <w:num w:numId="28">
    <w:abstractNumId w:val="16"/>
  </w:num>
  <w:num w:numId="29">
    <w:abstractNumId w:val="4"/>
  </w:num>
  <w:num w:numId="30">
    <w:abstractNumId w:val="20"/>
  </w:num>
  <w:num w:numId="31">
    <w:abstractNumId w:val="6"/>
  </w:num>
  <w:num w:numId="32">
    <w:abstractNumId w:val="19"/>
  </w:num>
  <w:num w:numId="33">
    <w:abstractNumId w:val="5"/>
  </w:num>
  <w:num w:numId="34">
    <w:abstractNumId w:val="17"/>
  </w:num>
  <w:num w:numId="35">
    <w:abstractNumId w:val="3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35FCD"/>
    <w:rsid w:val="00046ADC"/>
    <w:rsid w:val="00080EAE"/>
    <w:rsid w:val="000D4C73"/>
    <w:rsid w:val="000E51E8"/>
    <w:rsid w:val="00116C42"/>
    <w:rsid w:val="00127F86"/>
    <w:rsid w:val="0015559C"/>
    <w:rsid w:val="001A222E"/>
    <w:rsid w:val="001B64B7"/>
    <w:rsid w:val="001C7B9C"/>
    <w:rsid w:val="001D7DC6"/>
    <w:rsid w:val="002428A3"/>
    <w:rsid w:val="002653E7"/>
    <w:rsid w:val="00265A9F"/>
    <w:rsid w:val="00280C47"/>
    <w:rsid w:val="002E090F"/>
    <w:rsid w:val="002E2964"/>
    <w:rsid w:val="002F5D44"/>
    <w:rsid w:val="003110D5"/>
    <w:rsid w:val="00315E42"/>
    <w:rsid w:val="003238BD"/>
    <w:rsid w:val="003371B2"/>
    <w:rsid w:val="00382ED6"/>
    <w:rsid w:val="003C1639"/>
    <w:rsid w:val="003F786B"/>
    <w:rsid w:val="0041276C"/>
    <w:rsid w:val="0041672E"/>
    <w:rsid w:val="004546C9"/>
    <w:rsid w:val="004E1CA0"/>
    <w:rsid w:val="00500243"/>
    <w:rsid w:val="0050716F"/>
    <w:rsid w:val="005706A1"/>
    <w:rsid w:val="005B2991"/>
    <w:rsid w:val="005C60DA"/>
    <w:rsid w:val="005C7790"/>
    <w:rsid w:val="005C77CD"/>
    <w:rsid w:val="005D43A7"/>
    <w:rsid w:val="005F10C7"/>
    <w:rsid w:val="005F50AB"/>
    <w:rsid w:val="00647D54"/>
    <w:rsid w:val="0066038E"/>
    <w:rsid w:val="00665454"/>
    <w:rsid w:val="00670DE9"/>
    <w:rsid w:val="006901A5"/>
    <w:rsid w:val="00696630"/>
    <w:rsid w:val="006A53D2"/>
    <w:rsid w:val="006A6D00"/>
    <w:rsid w:val="006C0FFB"/>
    <w:rsid w:val="007C3974"/>
    <w:rsid w:val="00821F1C"/>
    <w:rsid w:val="00835380"/>
    <w:rsid w:val="00840D3C"/>
    <w:rsid w:val="00863646"/>
    <w:rsid w:val="00875397"/>
    <w:rsid w:val="00885C77"/>
    <w:rsid w:val="008B24F6"/>
    <w:rsid w:val="008C2082"/>
    <w:rsid w:val="008C4925"/>
    <w:rsid w:val="0093318B"/>
    <w:rsid w:val="009336A0"/>
    <w:rsid w:val="009345B8"/>
    <w:rsid w:val="00956251"/>
    <w:rsid w:val="0096741E"/>
    <w:rsid w:val="00971B2B"/>
    <w:rsid w:val="00992917"/>
    <w:rsid w:val="009A00AF"/>
    <w:rsid w:val="009B1BA7"/>
    <w:rsid w:val="009B366B"/>
    <w:rsid w:val="009C4B6A"/>
    <w:rsid w:val="009D59A1"/>
    <w:rsid w:val="00A536BB"/>
    <w:rsid w:val="00A55ABD"/>
    <w:rsid w:val="00A76307"/>
    <w:rsid w:val="00A81F47"/>
    <w:rsid w:val="00AC42C1"/>
    <w:rsid w:val="00B212CC"/>
    <w:rsid w:val="00B27A53"/>
    <w:rsid w:val="00C074CF"/>
    <w:rsid w:val="00C13BF0"/>
    <w:rsid w:val="00C248B7"/>
    <w:rsid w:val="00C44BDE"/>
    <w:rsid w:val="00C91F43"/>
    <w:rsid w:val="00CA193B"/>
    <w:rsid w:val="00CA652B"/>
    <w:rsid w:val="00CE338D"/>
    <w:rsid w:val="00CE40CB"/>
    <w:rsid w:val="00D4335A"/>
    <w:rsid w:val="00D47AA6"/>
    <w:rsid w:val="00DA3542"/>
    <w:rsid w:val="00DD6E2B"/>
    <w:rsid w:val="00DD7E74"/>
    <w:rsid w:val="00DE1DB8"/>
    <w:rsid w:val="00DF391C"/>
    <w:rsid w:val="00EB47F3"/>
    <w:rsid w:val="00EC6CB3"/>
    <w:rsid w:val="00ED451F"/>
    <w:rsid w:val="00ED68FF"/>
    <w:rsid w:val="00F34F2B"/>
    <w:rsid w:val="00F42F00"/>
    <w:rsid w:val="00F432FB"/>
    <w:rsid w:val="00F47912"/>
    <w:rsid w:val="00F52CCC"/>
    <w:rsid w:val="00F55E1E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397EA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71B2B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  <w:ind w:left="44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D5D28-C1F2-4FEA-9C66-43BD5F95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/>
      <vt:lpstr>Občianske právo</vt:lpstr>
      <vt:lpstr>    Občiansky zákonník</vt:lpstr>
      <vt:lpstr>    Občiansky zákon</vt:lpstr>
      <vt:lpstr>    Pracovné právo</vt:lpstr>
      <vt:lpstr>Zásady súkromného práva</vt:lpstr>
      <vt:lpstr>    1. Zásada rovnosti účastníkov</vt:lpstr>
      <vt:lpstr>    2. Zásada autonómie vôle a zmluvnej slobody</vt:lpstr>
      <vt:lpstr>    3. Každý môže konať to, čo nemá zákonom zakázané</vt:lpstr>
      <vt:lpstr>    4. Zásada ekvity</vt:lpstr>
      <vt:lpstr>    5. Zásada zákazu zneužitia subjektívnych práv</vt:lpstr>
      <vt:lpstr>    6. Zásada prevencie</vt:lpstr>
      <vt:lpstr>Občianskoprávne vzťahy</vt:lpstr>
      <vt:lpstr>    Subjekty občianskoprávnych vzťahov</vt:lpstr>
      <vt:lpstr>    Predmety občianskoprávnych vzťahov</vt:lpstr>
      <vt:lpstr>Subjektívne právo</vt:lpstr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11</cp:revision>
  <dcterms:created xsi:type="dcterms:W3CDTF">2019-10-11T12:54:00Z</dcterms:created>
  <dcterms:modified xsi:type="dcterms:W3CDTF">2019-10-23T23:28:00Z</dcterms:modified>
</cp:coreProperties>
</file>