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7B" w:rsidRDefault="00002824">
      <w:pPr>
        <w:rPr>
          <w:b/>
          <w:sz w:val="32"/>
          <w:szCs w:val="32"/>
          <w:u w:val="single"/>
        </w:rPr>
      </w:pPr>
      <w:r w:rsidRPr="00002824">
        <w:rPr>
          <w:b/>
          <w:sz w:val="32"/>
          <w:szCs w:val="32"/>
          <w:u w:val="single"/>
        </w:rPr>
        <w:t>Medzinárodné právo verejné 2</w:t>
      </w:r>
    </w:p>
    <w:p w:rsidR="00AB323B" w:rsidRDefault="002355C4">
      <w:r>
        <w:t xml:space="preserve">Prípad na budúcu hodinu: diplomatický azyl, vyhlásenie nezávislosti Kosova (detailnejšie)(nesúhlasné stanovisko doktora </w:t>
      </w:r>
      <w:proofErr w:type="spellStart"/>
      <w:r>
        <w:t>Tomku</w:t>
      </w:r>
      <w:proofErr w:type="spellEnd"/>
      <w:r>
        <w:t>)</w:t>
      </w:r>
    </w:p>
    <w:p w:rsidR="00214227" w:rsidRDefault="00214227"/>
    <w:p w:rsidR="00214227" w:rsidRDefault="00214227">
      <w:pPr>
        <w:rPr>
          <w:b/>
          <w:sz w:val="32"/>
          <w:szCs w:val="32"/>
          <w:u w:val="single"/>
        </w:rPr>
      </w:pPr>
      <w:r w:rsidRPr="00214227">
        <w:rPr>
          <w:b/>
          <w:sz w:val="32"/>
          <w:szCs w:val="32"/>
          <w:u w:val="single"/>
        </w:rPr>
        <w:t>Prednáška 21.2.</w:t>
      </w:r>
    </w:p>
    <w:p w:rsidR="00214227" w:rsidRDefault="00214227"/>
    <w:p w:rsidR="00543384" w:rsidRDefault="00543384">
      <w:r w:rsidRPr="00543384">
        <w:rPr>
          <w:b/>
          <w:u w:val="single"/>
        </w:rPr>
        <w:t>Štát ako tradičný subjekt MP</w:t>
      </w:r>
    </w:p>
    <w:p w:rsidR="00543384" w:rsidRDefault="00543384">
      <w:r>
        <w:t>-úprava – základné a pomocné pramene</w:t>
      </w:r>
    </w:p>
    <w:p w:rsidR="00543384" w:rsidRDefault="00543384">
      <w:r>
        <w:tab/>
        <w:t>-MZ, M obyčaje, právne zásady/judikatúra, náuka</w:t>
      </w:r>
    </w:p>
    <w:p w:rsidR="00543384" w:rsidRDefault="00543384">
      <w:r>
        <w:t>-politická mapa sveta</w:t>
      </w:r>
    </w:p>
    <w:p w:rsidR="00543384" w:rsidRDefault="00543384">
      <w:r>
        <w:t>-suverénne štáty – v OSN ich je 193</w:t>
      </w:r>
    </w:p>
    <w:p w:rsidR="00543384" w:rsidRDefault="00543384">
      <w:r>
        <w:tab/>
        <w:t xml:space="preserve">-čiastočne uznané štáty – Kosovo, Taiwan, Západná Sahara, </w:t>
      </w:r>
      <w:proofErr w:type="spellStart"/>
      <w:r>
        <w:t>Severocyperská</w:t>
      </w:r>
      <w:proofErr w:type="spellEnd"/>
      <w:r>
        <w:t xml:space="preserve"> republika, Abcházsko, Južné Osetsko</w:t>
      </w:r>
    </w:p>
    <w:p w:rsidR="00543384" w:rsidRDefault="00543384">
      <w:r>
        <w:tab/>
        <w:t>-Svätá Stolica – pozorovateľský štatút pri OSN</w:t>
      </w:r>
    </w:p>
    <w:p w:rsidR="00543384" w:rsidRDefault="00543384">
      <w:r>
        <w:t>-závislé územia – Medzinárodný protektorát, kapitulačný režim a </w:t>
      </w:r>
      <w:proofErr w:type="spellStart"/>
      <w:r>
        <w:t>settlementy</w:t>
      </w:r>
      <w:proofErr w:type="spellEnd"/>
      <w:r>
        <w:t xml:space="preserve">, </w:t>
      </w:r>
      <w:proofErr w:type="spellStart"/>
      <w:r>
        <w:t>vazalita</w:t>
      </w:r>
      <w:proofErr w:type="spellEnd"/>
      <w:r>
        <w:t>, mandáty, poručenské územia, nesamosprávne územia</w:t>
      </w:r>
    </w:p>
    <w:p w:rsidR="00FE4261" w:rsidRDefault="00FE4261"/>
    <w:p w:rsidR="00FE4261" w:rsidRDefault="00FE4261">
      <w:r>
        <w:t>-vznik a uznanie štátu</w:t>
      </w:r>
    </w:p>
    <w:p w:rsidR="00FE4261" w:rsidRDefault="00FE4261">
      <w:r>
        <w:tab/>
        <w:t>-vznik štátu – na základe medzinárodnoprávnej skutočnosti (</w:t>
      </w:r>
      <w:proofErr w:type="spellStart"/>
      <w:r>
        <w:t>ipso</w:t>
      </w:r>
      <w:proofErr w:type="spellEnd"/>
      <w:r>
        <w:t xml:space="preserve"> </w:t>
      </w:r>
      <w:proofErr w:type="spellStart"/>
      <w:r>
        <w:t>facto</w:t>
      </w:r>
      <w:proofErr w:type="spellEnd"/>
      <w:r>
        <w:t>)</w:t>
      </w:r>
    </w:p>
    <w:p w:rsidR="00FE4261" w:rsidRDefault="00FE4261" w:rsidP="00FE4261">
      <w:pPr>
        <w:ind w:left="1416" w:firstLine="4"/>
      </w:pPr>
      <w:r>
        <w:t xml:space="preserve">-originálny a derivatívny vznik štátu (spojenie, rozdelenie, oddelenie, </w:t>
      </w:r>
      <w:proofErr w:type="spellStart"/>
      <w:r>
        <w:t>adjukácia</w:t>
      </w:r>
      <w:proofErr w:type="spellEnd"/>
      <w:r>
        <w:t>)</w:t>
      </w:r>
    </w:p>
    <w:p w:rsidR="00FE4261" w:rsidRDefault="00FE4261" w:rsidP="00FE4261">
      <w:r>
        <w:tab/>
        <w:t xml:space="preserve">-od momentu vzniku úplná a neobmedzená: </w:t>
      </w:r>
    </w:p>
    <w:p w:rsidR="00FE4261" w:rsidRDefault="00FE4261" w:rsidP="00FE4261">
      <w:r>
        <w:tab/>
      </w:r>
      <w:r>
        <w:tab/>
        <w:t xml:space="preserve">-spôsobilosť na </w:t>
      </w:r>
      <w:proofErr w:type="spellStart"/>
      <w:r>
        <w:t>PaP</w:t>
      </w:r>
      <w:proofErr w:type="spellEnd"/>
      <w:r>
        <w:t>, PÚ a normotvorná spôsobilosť</w:t>
      </w:r>
    </w:p>
    <w:p w:rsidR="00FE4261" w:rsidRDefault="00FE4261" w:rsidP="00FE4261">
      <w:r>
        <w:tab/>
        <w:t>-zodpovednosť za porušenie noriem MP</w:t>
      </w:r>
    </w:p>
    <w:p w:rsidR="00FE4261" w:rsidRDefault="00FE4261" w:rsidP="00FE4261">
      <w:r>
        <w:tab/>
        <w:t>-výlučná a plná jurisdikcia na svojom území</w:t>
      </w:r>
    </w:p>
    <w:p w:rsidR="00FE4261" w:rsidRDefault="00FE4261" w:rsidP="00FE4261">
      <w:pPr>
        <w:ind w:left="708"/>
      </w:pPr>
      <w:r>
        <w:t>-kritériá štátnosti: dohovor z Montevidea o právach a povinnostiach štátov z r. 1933: stále obyvateľstvo, vymedzené územie, vláda (verejná moc), spôsobilosť vstupovať do M</w:t>
      </w:r>
      <w:r w:rsidR="00686E02">
        <w:t>V</w:t>
      </w:r>
    </w:p>
    <w:p w:rsidR="00FE4261" w:rsidRDefault="00FE4261" w:rsidP="00FE4261">
      <w:pPr>
        <w:ind w:left="708"/>
      </w:pPr>
    </w:p>
    <w:p w:rsidR="00FE4261" w:rsidRDefault="00FE4261" w:rsidP="00FE4261">
      <w:pPr>
        <w:ind w:left="708"/>
      </w:pPr>
      <w:r>
        <w:t>-uznanie štátu</w:t>
      </w:r>
    </w:p>
    <w:p w:rsidR="00FE4261" w:rsidRDefault="00FE4261" w:rsidP="00FE4261">
      <w:pPr>
        <w:ind w:left="1416" w:firstLine="12"/>
      </w:pPr>
      <w:r>
        <w:t>-1stranný akt uznávajúceho štátu, ktorým berie na vedomie vznik nového subjektu MP a prejavuje svoj úmysel nadviazať a udržiavať s ním vzťahy od okamihu jeho vzniku</w:t>
      </w:r>
    </w:p>
    <w:p w:rsidR="00FE4261" w:rsidRDefault="00FE4261" w:rsidP="00FE4261">
      <w:pPr>
        <w:ind w:left="708"/>
      </w:pPr>
      <w:r>
        <w:tab/>
        <w:t>-konštitutívna teória a deklaratórna teória</w:t>
      </w:r>
    </w:p>
    <w:p w:rsidR="00FE4261" w:rsidRDefault="00FE4261" w:rsidP="00FE4261">
      <w:pPr>
        <w:ind w:left="708"/>
      </w:pPr>
      <w:r>
        <w:tab/>
        <w:t xml:space="preserve">-uznanie de </w:t>
      </w:r>
      <w:proofErr w:type="spellStart"/>
      <w:r>
        <w:t>iure</w:t>
      </w:r>
      <w:proofErr w:type="spellEnd"/>
      <w:r>
        <w:t xml:space="preserve"> (úplné a neodvolateľné) a de </w:t>
      </w:r>
      <w:proofErr w:type="spellStart"/>
      <w:r>
        <w:t>facto</w:t>
      </w:r>
      <w:proofErr w:type="spellEnd"/>
      <w:r>
        <w:t xml:space="preserve"> (neúplné a odvolateľné)</w:t>
      </w:r>
    </w:p>
    <w:p w:rsidR="00FE4261" w:rsidRDefault="00FE4261" w:rsidP="00FE4261">
      <w:pPr>
        <w:ind w:left="708"/>
      </w:pPr>
      <w:r>
        <w:tab/>
        <w:t>-uznanie výslovné a konkludentné (mlčky)</w:t>
      </w:r>
    </w:p>
    <w:p w:rsidR="00FE4261" w:rsidRDefault="00FE4261" w:rsidP="00FE4261">
      <w:pPr>
        <w:ind w:left="1416"/>
      </w:pPr>
      <w:r>
        <w:t>-treba odlišovať – uznanie vlády, uznanie povstaleckého hnutia, uznanie za hlavu štátu (prípad Venezuely 2019)</w:t>
      </w:r>
    </w:p>
    <w:p w:rsidR="00686E02" w:rsidRDefault="00FE4261" w:rsidP="00FE4261">
      <w:r>
        <w:tab/>
      </w:r>
      <w:r>
        <w:tab/>
      </w:r>
    </w:p>
    <w:p w:rsidR="00686E02" w:rsidRDefault="00686E02" w:rsidP="00FE4261">
      <w:r>
        <w:t xml:space="preserve">-vznik SR </w:t>
      </w:r>
    </w:p>
    <w:p w:rsidR="00686E02" w:rsidRDefault="00686E02" w:rsidP="00FE4261">
      <w:r>
        <w:tab/>
        <w:t>-Deklarácia SNR o zvrchovanosti SR (17.júla 1992)</w:t>
      </w:r>
    </w:p>
    <w:p w:rsidR="00686E02" w:rsidRDefault="00686E02" w:rsidP="00FE4261">
      <w:r>
        <w:tab/>
        <w:t>-ÚZ 460/1992 – Ústava SR (1.9.1992)</w:t>
      </w:r>
    </w:p>
    <w:p w:rsidR="00686E02" w:rsidRDefault="00686E02" w:rsidP="00FE4261">
      <w:r>
        <w:tab/>
        <w:t>-ÚZ 542/1992 o zániku ČSFR</w:t>
      </w:r>
    </w:p>
    <w:p w:rsidR="00686E02" w:rsidRDefault="00686E02" w:rsidP="00FE4261">
      <w:r>
        <w:tab/>
        <w:t>...</w:t>
      </w:r>
    </w:p>
    <w:p w:rsidR="00686E02" w:rsidRDefault="00686E02" w:rsidP="00FE4261"/>
    <w:p w:rsidR="00686E02" w:rsidRDefault="00686E02" w:rsidP="00FE4261">
      <w:r>
        <w:tab/>
        <w:t>-vyhlásenie NR SR k parlamentom a národom sveta (3.12.1992)</w:t>
      </w:r>
    </w:p>
    <w:p w:rsidR="00686E02" w:rsidRDefault="00686E02" w:rsidP="00FE4261">
      <w:r>
        <w:tab/>
      </w:r>
      <w:r>
        <w:tab/>
        <w:t>-SR sa bude riadiť v MV pravidlami...</w:t>
      </w:r>
    </w:p>
    <w:p w:rsidR="00686E02" w:rsidRDefault="00686E02" w:rsidP="00FE4261">
      <w:r>
        <w:lastRenderedPageBreak/>
        <w:tab/>
        <w:t>-ÚSR – čl. 1 ods. 2</w:t>
      </w:r>
      <w:r>
        <w:br/>
        <w:t>-základné práva a povinnosti štátov</w:t>
      </w:r>
    </w:p>
    <w:p w:rsidR="00686E02" w:rsidRDefault="00686E02" w:rsidP="00FE4261">
      <w:r>
        <w:t xml:space="preserve">-Deklarácia zásad </w:t>
      </w:r>
    </w:p>
    <w:p w:rsidR="00686E02" w:rsidRDefault="00686E02" w:rsidP="00FE4261">
      <w:r>
        <w:t>-interpretačné pravidlá zásad MP</w:t>
      </w:r>
    </w:p>
    <w:p w:rsidR="00686E02" w:rsidRDefault="00686E02" w:rsidP="00FE4261">
      <w:r>
        <w:tab/>
        <w:t>-výklad a aplikácia zásad je navzájom prepojená</w:t>
      </w:r>
    </w:p>
    <w:p w:rsidR="00686E02" w:rsidRDefault="00686E02" w:rsidP="00FE4261">
      <w:r>
        <w:tab/>
        <w:t>-každá zásada musí byť posudzovaná v kontexte s inými zásadami</w:t>
      </w:r>
    </w:p>
    <w:p w:rsidR="00686E02" w:rsidRDefault="00686E02" w:rsidP="00FE4261">
      <w:r>
        <w:tab/>
        <w:t>-interpretácia zásad MP nesmie byť na ujmu alebo popierať ustanovenia Charty OSN</w:t>
      </w:r>
    </w:p>
    <w:p w:rsidR="00686E02" w:rsidRDefault="00686E02" w:rsidP="00FE4261">
      <w:r>
        <w:tab/>
        <w:t>-ide o základné zásady MP, ktorými sa štáty majú riadiť a prísne ich zachovávať</w:t>
      </w:r>
    </w:p>
    <w:p w:rsidR="00686E02" w:rsidRDefault="00686E02" w:rsidP="00FE4261"/>
    <w:p w:rsidR="00686E02" w:rsidRDefault="00686E02" w:rsidP="00FE4261">
      <w:r>
        <w:t>-klasifikácia štátov</w:t>
      </w:r>
    </w:p>
    <w:p w:rsidR="00686E02" w:rsidRDefault="00686E02" w:rsidP="00B251C6">
      <w:pPr>
        <w:ind w:left="700"/>
      </w:pPr>
      <w:r>
        <w:t>-suverénne a</w:t>
      </w:r>
      <w:r w:rsidR="00B251C6">
        <w:t> </w:t>
      </w:r>
      <w:r>
        <w:t>závislé</w:t>
      </w:r>
      <w:r w:rsidR="00B251C6">
        <w:t xml:space="preserve"> – závislé = medzinárodný protektorát, kapitulačný režim a </w:t>
      </w:r>
      <w:proofErr w:type="spellStart"/>
      <w:r w:rsidR="00B251C6">
        <w:t>settlementy</w:t>
      </w:r>
      <w:proofErr w:type="spellEnd"/>
      <w:r w:rsidR="00B251C6">
        <w:t xml:space="preserve">, </w:t>
      </w:r>
      <w:proofErr w:type="spellStart"/>
      <w:r w:rsidR="00B251C6">
        <w:t>vazalita</w:t>
      </w:r>
      <w:proofErr w:type="spellEnd"/>
      <w:r w:rsidR="00B251C6">
        <w:t>, mandáty (A, B, C), poručenské územia, nesamosprávne územia</w:t>
      </w:r>
    </w:p>
    <w:p w:rsidR="00686E02" w:rsidRDefault="00686E02" w:rsidP="00686E02">
      <w:pPr>
        <w:ind w:left="708"/>
      </w:pPr>
      <w:r>
        <w:t>-jednotné a zložené (federácie, konfederácie, monarchistická únia/reálna alebo personálna)</w:t>
      </w:r>
    </w:p>
    <w:p w:rsidR="00AB323B" w:rsidRDefault="00AB323B" w:rsidP="00AB323B"/>
    <w:p w:rsidR="00AB323B" w:rsidRDefault="00AB323B" w:rsidP="00AB323B">
      <w:pPr>
        <w:rPr>
          <w:b/>
          <w:sz w:val="28"/>
          <w:szCs w:val="28"/>
          <w:u w:val="single"/>
        </w:rPr>
      </w:pPr>
      <w:r w:rsidRPr="00AB323B">
        <w:rPr>
          <w:b/>
          <w:sz w:val="28"/>
          <w:szCs w:val="28"/>
          <w:u w:val="single"/>
        </w:rPr>
        <w:t>Seminár 25.2.</w:t>
      </w:r>
    </w:p>
    <w:p w:rsidR="00AB323B" w:rsidRDefault="00AB323B" w:rsidP="00AB323B">
      <w:r>
        <w:t>Prípady: Diplomatický azyl, vyhlásenie nezávislosti Kosova</w:t>
      </w:r>
    </w:p>
    <w:p w:rsidR="00AB323B" w:rsidRPr="00F018C1" w:rsidRDefault="00AB323B" w:rsidP="00AB323B">
      <w:pPr>
        <w:rPr>
          <w:b/>
        </w:rPr>
      </w:pPr>
      <w:r w:rsidRPr="00F018C1">
        <w:rPr>
          <w:b/>
        </w:rPr>
        <w:t>Diplomatický azyl</w:t>
      </w:r>
    </w:p>
    <w:p w:rsidR="00532088" w:rsidRPr="00F018C1" w:rsidRDefault="00532088" w:rsidP="00AB323B">
      <w:pPr>
        <w:rPr>
          <w:b/>
        </w:rPr>
      </w:pPr>
      <w:r>
        <w:t xml:space="preserve">-rozsudok MSD; Kolumbia </w:t>
      </w:r>
      <w:proofErr w:type="spellStart"/>
      <w:r>
        <w:t>vs</w:t>
      </w:r>
      <w:proofErr w:type="spellEnd"/>
      <w:r>
        <w:t xml:space="preserve"> </w:t>
      </w:r>
      <w:r w:rsidRPr="00F018C1">
        <w:rPr>
          <w:b/>
        </w:rPr>
        <w:t>Peru</w:t>
      </w:r>
    </w:p>
    <w:p w:rsidR="00532088" w:rsidRDefault="00532088" w:rsidP="00AB323B"/>
    <w:p w:rsidR="00532088" w:rsidRDefault="00532088" w:rsidP="00AB323B">
      <w:r>
        <w:t>-</w:t>
      </w:r>
      <w:r w:rsidRPr="00E03ECD">
        <w:rPr>
          <w:u w:val="single"/>
        </w:rPr>
        <w:t>skutkové okolnosti</w:t>
      </w:r>
      <w:r>
        <w:t xml:space="preserve">: </w:t>
      </w:r>
    </w:p>
    <w:p w:rsidR="00E03ECD" w:rsidRPr="001E4F49" w:rsidRDefault="00532088" w:rsidP="00AB323B">
      <w:pPr>
        <w:rPr>
          <w:i/>
        </w:rPr>
      </w:pPr>
      <w:r w:rsidRPr="001E4F49">
        <w:rPr>
          <w:i/>
        </w:rPr>
        <w:t xml:space="preserve">Vedúci politickej strany </w:t>
      </w:r>
      <w:r w:rsidR="00E03ECD" w:rsidRPr="001E4F49">
        <w:rPr>
          <w:i/>
        </w:rPr>
        <w:t xml:space="preserve">X </w:t>
      </w:r>
      <w:r w:rsidRPr="001E4F49">
        <w:rPr>
          <w:i/>
        </w:rPr>
        <w:t>(</w:t>
      </w:r>
      <w:r w:rsidR="00E03ECD" w:rsidRPr="001E4F49">
        <w:rPr>
          <w:i/>
        </w:rPr>
        <w:t xml:space="preserve">v </w:t>
      </w:r>
      <w:r w:rsidRPr="001E4F49">
        <w:rPr>
          <w:i/>
        </w:rPr>
        <w:t>Peru), ktorá bola stíhaná za organizovanie protivládneho povstania, bol obžalovaný zo spáchania TČ vojenského povstania a bol na neho vydaný zatykač</w:t>
      </w:r>
      <w:r w:rsidR="00E03ECD" w:rsidRPr="001E4F49">
        <w:rPr>
          <w:i/>
        </w:rPr>
        <w:t>. Po 3 mesiacoch skrývania X požiadal a získal diplomatický azyl na kolumbijskej ambasáde v Lime. Kolumbia mu poskytla dočasné útočisko a požiadala Peru ako územného suveréna o poskytnutie záruky voľného odchodu azylanta z krajiny (</w:t>
      </w:r>
      <w:proofErr w:type="spellStart"/>
      <w:r w:rsidR="00E03ECD" w:rsidRPr="001E4F49">
        <w:rPr>
          <w:i/>
        </w:rPr>
        <w:t>laissez-passer</w:t>
      </w:r>
      <w:proofErr w:type="spellEnd"/>
      <w:r w:rsidR="00E03ECD" w:rsidRPr="001E4F49">
        <w:rPr>
          <w:i/>
        </w:rPr>
        <w:t xml:space="preserve">). Peru žiadosti nevyhovelo. Kolumbia sa obrátila na MSD, aby rozhodol či: </w:t>
      </w:r>
    </w:p>
    <w:p w:rsidR="00E03ECD" w:rsidRPr="001E4F49" w:rsidRDefault="00E03ECD" w:rsidP="00E03ECD">
      <w:pPr>
        <w:ind w:left="708"/>
        <w:rPr>
          <w:i/>
        </w:rPr>
      </w:pPr>
      <w:r w:rsidRPr="001E4F49">
        <w:rPr>
          <w:b/>
          <w:i/>
        </w:rPr>
        <w:t>A)</w:t>
      </w:r>
      <w:r w:rsidRPr="001E4F49">
        <w:rPr>
          <w:i/>
        </w:rPr>
        <w:t xml:space="preserve"> je K oprávnená ako krajin</w:t>
      </w:r>
      <w:r w:rsidR="00997B87" w:rsidRPr="001E4F49">
        <w:rPr>
          <w:i/>
        </w:rPr>
        <w:t>a</w:t>
      </w:r>
      <w:r w:rsidRPr="001E4F49">
        <w:rPr>
          <w:i/>
        </w:rPr>
        <w:t xml:space="preserve"> poskytujúca azyl, posúdiť povahu TČ rozhodujúceho pre udelenie azylu;</w:t>
      </w:r>
    </w:p>
    <w:p w:rsidR="00532088" w:rsidRPr="001E4F49" w:rsidRDefault="00E03ECD" w:rsidP="00E03ECD">
      <w:pPr>
        <w:ind w:left="708"/>
        <w:rPr>
          <w:i/>
        </w:rPr>
      </w:pPr>
      <w:r w:rsidRPr="001E4F49">
        <w:rPr>
          <w:b/>
          <w:i/>
        </w:rPr>
        <w:t>B)</w:t>
      </w:r>
      <w:r w:rsidRPr="001E4F49">
        <w:rPr>
          <w:i/>
        </w:rPr>
        <w:t xml:space="preserve"> </w:t>
      </w:r>
      <w:r w:rsidR="00997B87" w:rsidRPr="001E4F49">
        <w:rPr>
          <w:i/>
        </w:rPr>
        <w:t>má v tomto prípade P ako teritoriálny suverén povinnosť poskytnúť záruku pre bezpečný odchod azylanta z krajiny</w:t>
      </w:r>
    </w:p>
    <w:p w:rsidR="00997B87" w:rsidRPr="001E4F49" w:rsidRDefault="00997B87" w:rsidP="00997B87">
      <w:pPr>
        <w:rPr>
          <w:i/>
        </w:rPr>
      </w:pPr>
      <w:r w:rsidRPr="001E4F49">
        <w:rPr>
          <w:i/>
        </w:rPr>
        <w:t>K argumentovala zmluvami ratifikovaných štátmi Latinskej Ameriky + existenciou miestnej obyčaje zaväzujúcej teritoriálneho suveréna rešpektovať udelený diplomatický azyl a poskytnúť záruky voľného odchodu.</w:t>
      </w:r>
    </w:p>
    <w:p w:rsidR="00997B87" w:rsidRDefault="00997B87" w:rsidP="00997B87"/>
    <w:p w:rsidR="00997B87" w:rsidRDefault="00997B87" w:rsidP="00997B87">
      <w:r>
        <w:t>-</w:t>
      </w:r>
      <w:r w:rsidRPr="00997B87">
        <w:rPr>
          <w:u w:val="single"/>
        </w:rPr>
        <w:t>rozsudok</w:t>
      </w:r>
      <w:r>
        <w:t>:</w:t>
      </w:r>
    </w:p>
    <w:p w:rsidR="004B1696" w:rsidRDefault="004B1696" w:rsidP="00997B87">
      <w:r>
        <w:t xml:space="preserve">X je stále v štáte, kde spáchal TČ. Rozhodnutie udeliť azyl = zásah do suverenity </w:t>
      </w:r>
      <w:r w:rsidR="007141E7">
        <w:t>P. Toto rozhodnutie vyníma X z právomoci P a zasahuje do vecí, ktoré sú v kompetencii P. Takýto zásah do právomoci P môže byť oprávnený len na základe práva.</w:t>
      </w:r>
    </w:p>
    <w:p w:rsidR="00180B69" w:rsidRDefault="007141E7" w:rsidP="00997B87">
      <w:r>
        <w:t>K musí dokázať, že obyčaj je záväzná aj pre P, že je pravidlo v súlade so stálou a jednotnou praxou</w:t>
      </w:r>
      <w:r w:rsidR="00CB014F">
        <w:t xml:space="preserve"> = </w:t>
      </w:r>
      <w:r w:rsidR="00E121CB">
        <w:t>táto prax je vyjadrením práva štátu,</w:t>
      </w:r>
      <w:r w:rsidR="004569A8">
        <w:t xml:space="preserve"> </w:t>
      </w:r>
      <w:r w:rsidR="00E121CB">
        <w:t>ktorý azyl udelil a povinnosť teritoriálneho štátu (čl. 38 štatútu MSD, ktorý definuje obyčaj). K sa odvolala na zmluvy neratifikované P (Montevidejská zmluva z 1933...), že sú aj tak záväzné, keďže kodifikujú princípy uznávané ako latinskoamerická obyčaj. Slabý argument kvôli nízkemu počtu zmluvných strán.</w:t>
      </w:r>
      <w:r w:rsidR="004569A8">
        <w:t xml:space="preserve"> </w:t>
      </w:r>
      <w:r w:rsidR="001E4F49">
        <w:t xml:space="preserve">K odkazovala na veľa prípadov, kedy bol azyl udelený a rešpektovaný, no nepreukázala, že by strany takéto pravidlo vykonávali ako právo </w:t>
      </w:r>
      <w:r w:rsidR="00F018C1">
        <w:t>alebo ako svoju povinnosť.</w:t>
      </w:r>
    </w:p>
    <w:p w:rsidR="007141E7" w:rsidRDefault="004569A8" w:rsidP="00180B69">
      <w:pPr>
        <w:pStyle w:val="Odsekzoznamu"/>
        <w:numPr>
          <w:ilvl w:val="0"/>
          <w:numId w:val="1"/>
        </w:numPr>
      </w:pPr>
      <w:r>
        <w:lastRenderedPageBreak/>
        <w:t xml:space="preserve">Súd je názoru, že K nepreukázala existenciu takejto obyčaje vo vzťahu k P (odmieta ju a nie je zmluvnou stranou Montevidejskej zmluvy). K teda nie je oprávnená posudzovať previnenia </w:t>
      </w:r>
      <w:r w:rsidR="00180B69">
        <w:t>jednostranným a konečným rozhodnutím, ktoré by bolo záväzné pre P</w:t>
      </w:r>
    </w:p>
    <w:p w:rsidR="00180B69" w:rsidRDefault="00180B69" w:rsidP="00180B69">
      <w:pPr>
        <w:pStyle w:val="Odsekzoznamu"/>
        <w:numPr>
          <w:ilvl w:val="0"/>
          <w:numId w:val="1"/>
        </w:numPr>
      </w:pPr>
      <w:r>
        <w:t xml:space="preserve">Údajná povinnosť P vlády nezávisí od posúdenia prvého návrhu podania. Z Havanskej zmluvy z 1928 o diplomatickom azyle vyplýva, že hoci právo na posúdenie previnenia sa nepripúšťa, K vláda je oprávnená požadovať záruky pre bezpečný odchod za určitých okolností. 1. podmienkou je že azyl môže byť udelený </w:t>
      </w:r>
      <w:r w:rsidR="001E4F49">
        <w:t>len politickým previnilcom, ktorí sú obvinení či odsúdení za bežné TČ a len v naliehavých prípadoch po dobu nevyhnutne potrebnú pre bezpečie utečenca; 2. podmienkou je že územný suverén má možnosť požadovať odchod utečenca a potom je sám viazaný povinnosťou garantovať bezpečný odchod.</w:t>
      </w:r>
    </w:p>
    <w:p w:rsidR="001E4F49" w:rsidRDefault="001E4F49" w:rsidP="001E4F49">
      <w:pPr>
        <w:ind w:left="360"/>
      </w:pPr>
      <w:r>
        <w:t>V tomto prípade P vláda nepožadovala odchod X z P ale popierala legitímnosť udeleného azylu a odmietla umožniť bezpečný odchod -&gt; = K vláda nie je oprávnená požadovať záruky na bezpečný odchod X</w:t>
      </w:r>
    </w:p>
    <w:p w:rsidR="00E06309" w:rsidRDefault="00E06309" w:rsidP="001E4F49">
      <w:pPr>
        <w:ind w:left="360"/>
      </w:pPr>
    </w:p>
    <w:p w:rsidR="00E06309" w:rsidRDefault="00E06309" w:rsidP="001E4F49">
      <w:pPr>
        <w:ind w:left="360"/>
      </w:pPr>
    </w:p>
    <w:p w:rsidR="00E06309" w:rsidRDefault="00E06309" w:rsidP="001E4F49">
      <w:pPr>
        <w:ind w:left="360"/>
      </w:pPr>
      <w:r w:rsidRPr="00E06309">
        <w:rPr>
          <w:b/>
        </w:rPr>
        <w:t>Vyhlásenie nezávislosti Kosova</w:t>
      </w:r>
    </w:p>
    <w:p w:rsidR="00E06309" w:rsidRDefault="00E06309" w:rsidP="001E4F49">
      <w:pPr>
        <w:ind w:left="360"/>
      </w:pPr>
      <w:r>
        <w:t>-posudok MSD</w:t>
      </w:r>
      <w:r w:rsidR="007072AD">
        <w:t>; Srbsko a Kosovo</w:t>
      </w:r>
    </w:p>
    <w:p w:rsidR="00E06309" w:rsidRDefault="00E06309" w:rsidP="001E4F49">
      <w:pPr>
        <w:ind w:left="360"/>
      </w:pPr>
    </w:p>
    <w:p w:rsidR="00E06309" w:rsidRDefault="00E06309" w:rsidP="001E4F49">
      <w:pPr>
        <w:ind w:left="360"/>
      </w:pPr>
      <w:r>
        <w:t>-</w:t>
      </w:r>
      <w:r w:rsidRPr="00C356BA">
        <w:rPr>
          <w:u w:val="single"/>
        </w:rPr>
        <w:t>skutkové okolnosti</w:t>
      </w:r>
      <w:r>
        <w:t>:</w:t>
      </w:r>
    </w:p>
    <w:p w:rsidR="00E37BA3" w:rsidRPr="00C356BA" w:rsidRDefault="00E37BA3" w:rsidP="001E4F49">
      <w:pPr>
        <w:ind w:left="360"/>
        <w:rPr>
          <w:i/>
        </w:rPr>
      </w:pPr>
      <w:r w:rsidRPr="00C356BA">
        <w:rPr>
          <w:i/>
        </w:rPr>
        <w:t xml:space="preserve">Menšina moslimských Albáncov získala v Kosove </w:t>
      </w:r>
      <w:r w:rsidR="00647C0F" w:rsidRPr="00C356BA">
        <w:rPr>
          <w:i/>
        </w:rPr>
        <w:t xml:space="preserve">prevahu na srbským obyvateľstvom a domáhala sa sebaurčenia (od autonómie až po samostatný štát). </w:t>
      </w:r>
      <w:proofErr w:type="spellStart"/>
      <w:r w:rsidR="00647C0F" w:rsidRPr="00C356BA">
        <w:rPr>
          <w:i/>
        </w:rPr>
        <w:t>Kosovská</w:t>
      </w:r>
      <w:proofErr w:type="spellEnd"/>
      <w:r w:rsidR="00647C0F" w:rsidRPr="00C356BA">
        <w:rPr>
          <w:i/>
        </w:rPr>
        <w:t xml:space="preserve"> oslobodenecká armáda používala teroristické metódy boja. Srbsko reagovalo posilnením polície a vojenských jednotiek. Mierová konferencia v 1999 zlyhala -&gt; zasiahlo NATO s cieľom zastaviť etnické čistky v Kosove. Po skončení zásahu BR OSN prijala rezolúciu č. 1244 (1999), ktorá stanovila rámec pre mierové urovnanie v Kosove. Zanechala zvrchovaný nárok Srbska na územie Kosova, previedla výkon zvrchovaných práv (výkon územnej výsosti) nad Kosovom na medzinárodnú správu </w:t>
      </w:r>
      <w:r w:rsidR="00833F2E" w:rsidRPr="00C356BA">
        <w:rPr>
          <w:i/>
        </w:rPr>
        <w:t xml:space="preserve">(dočasné riešenie) </w:t>
      </w:r>
      <w:r w:rsidR="00647C0F" w:rsidRPr="00C356BA">
        <w:rPr>
          <w:i/>
        </w:rPr>
        <w:t>OSN</w:t>
      </w:r>
      <w:r w:rsidR="00833F2E" w:rsidRPr="00C356BA">
        <w:rPr>
          <w:i/>
        </w:rPr>
        <w:t xml:space="preserve"> (nariadenie UNMIK). UNMIK a rezolúcia potom previedli všetku legislatívu, výkonnú moc, správu súdnictva na GT OSN a civilnú správu UNMIK. Prijatie Ústavného rámca pre </w:t>
      </w:r>
      <w:proofErr w:type="spellStart"/>
      <w:r w:rsidR="00833F2E" w:rsidRPr="00C356BA">
        <w:rPr>
          <w:i/>
        </w:rPr>
        <w:t>ss</w:t>
      </w:r>
      <w:proofErr w:type="spellEnd"/>
      <w:r w:rsidR="00833F2E" w:rsidRPr="00C356BA">
        <w:rPr>
          <w:i/>
        </w:rPr>
        <w:t xml:space="preserve"> aktom UNMIK z 2001 -&gt; definoval Kosovo ako entitu pod dočasnou medzinárodnou správou a zriadil prechodné inštitúcie </w:t>
      </w:r>
      <w:proofErr w:type="spellStart"/>
      <w:r w:rsidR="00833F2E" w:rsidRPr="00C356BA">
        <w:rPr>
          <w:i/>
        </w:rPr>
        <w:t>ss</w:t>
      </w:r>
      <w:proofErr w:type="spellEnd"/>
      <w:r w:rsidR="00833F2E" w:rsidRPr="00C356BA">
        <w:rPr>
          <w:i/>
        </w:rPr>
        <w:t xml:space="preserve">. Po všeobecných voľbách v 2001 začal UNMIK odovzdávať svoje kompetencie miestnym inštitúciám. 2007 -&gt; nepodarilo sa dosiahnuť zhodu o budúcom statuse Kosova. Vyhlásenie nezávislosti </w:t>
      </w:r>
      <w:proofErr w:type="spellStart"/>
      <w:r w:rsidR="00833F2E" w:rsidRPr="00C356BA">
        <w:rPr>
          <w:i/>
        </w:rPr>
        <w:t>Kosovským</w:t>
      </w:r>
      <w:proofErr w:type="spellEnd"/>
      <w:r w:rsidR="00833F2E" w:rsidRPr="00C356BA">
        <w:rPr>
          <w:i/>
        </w:rPr>
        <w:t xml:space="preserve"> zhromaždením </w:t>
      </w:r>
      <w:r w:rsidR="001F28C6">
        <w:rPr>
          <w:i/>
        </w:rPr>
        <w:t>17.feb.</w:t>
      </w:r>
      <w:r w:rsidR="00833F2E" w:rsidRPr="00C356BA">
        <w:rPr>
          <w:i/>
        </w:rPr>
        <w:t xml:space="preserve"> 2008. VZ OSN prijalo na návrh Srbska rezolúciu v</w:t>
      </w:r>
      <w:r w:rsidR="00C356BA" w:rsidRPr="00C356BA">
        <w:rPr>
          <w:i/>
        </w:rPr>
        <w:t> </w:t>
      </w:r>
      <w:r w:rsidR="00833F2E" w:rsidRPr="00C356BA">
        <w:rPr>
          <w:i/>
        </w:rPr>
        <w:t>2008</w:t>
      </w:r>
      <w:r w:rsidR="00C356BA" w:rsidRPr="00C356BA">
        <w:rPr>
          <w:i/>
        </w:rPr>
        <w:t xml:space="preserve">, ktorou žiadalo MSD o posudok k právnej otázke: </w:t>
      </w:r>
      <w:r w:rsidR="00C356BA" w:rsidRPr="00C356BA">
        <w:rPr>
          <w:b/>
          <w:i/>
        </w:rPr>
        <w:t>Je alebo nie je jednostranné vyhlásenie nezávislosti Kosova v súlade s MP</w:t>
      </w:r>
      <w:r w:rsidR="00C356BA" w:rsidRPr="00C356BA">
        <w:rPr>
          <w:i/>
        </w:rPr>
        <w:t>?</w:t>
      </w:r>
    </w:p>
    <w:p w:rsidR="00C356BA" w:rsidRDefault="00C356BA" w:rsidP="001E4F49">
      <w:pPr>
        <w:ind w:left="360"/>
      </w:pPr>
    </w:p>
    <w:p w:rsidR="00C356BA" w:rsidRDefault="00C356BA" w:rsidP="001E4F49">
      <w:pPr>
        <w:ind w:left="360"/>
      </w:pPr>
      <w:r>
        <w:t>-</w:t>
      </w:r>
      <w:r w:rsidRPr="00C356BA">
        <w:rPr>
          <w:u w:val="single"/>
        </w:rPr>
        <w:t>posudok MSD</w:t>
      </w:r>
    </w:p>
    <w:p w:rsidR="00E06309" w:rsidRDefault="00C356BA" w:rsidP="001E4F49">
      <w:pPr>
        <w:ind w:left="360"/>
      </w:pPr>
      <w:r>
        <w:t xml:space="preserve">Srbsko sa teda pýta či </w:t>
      </w:r>
      <w:r w:rsidR="00857AFD">
        <w:t xml:space="preserve">vyhlásenie nezávislosti Kosova je v súlade s </w:t>
      </w:r>
      <w:r>
        <w:t xml:space="preserve">MP </w:t>
      </w:r>
      <w:r w:rsidR="00F062EE">
        <w:t xml:space="preserve">(nie na dôsledky, či dosiahlo štátnosť atď...)(odpoveďou na otázku teda má byť či MP </w:t>
      </w:r>
      <w:r>
        <w:t>zakazuje alebo nezakazuje vyhlásenie nezávislosti</w:t>
      </w:r>
      <w:r w:rsidR="00F062EE">
        <w:t xml:space="preserve">. V 18, 19 a 20. storočí dochádzalo k viacerým prípadom vyhlásenia nezávislosti s nesúhlasom štátu, voči ktorému bola vyhlásená. Prax hovorí, že nie je MP zakázané uskutočniť takéto vyhlásenie. Niektoré štáty poukazovali na rezolúcie BR OSN odsudzujúce niektoré vyhlásenia nezávislosti (Južná </w:t>
      </w:r>
      <w:proofErr w:type="spellStart"/>
      <w:r w:rsidR="00F062EE">
        <w:t>Rodézia</w:t>
      </w:r>
      <w:proofErr w:type="spellEnd"/>
      <w:r w:rsidR="00F062EE">
        <w:t xml:space="preserve">, severný Cyprus), ale tie však boli spojené s protiprávnym použitím sily alebo závažným </w:t>
      </w:r>
      <w:r w:rsidR="00F062EE">
        <w:lastRenderedPageBreak/>
        <w:t xml:space="preserve">porušením noriem všeobecného MP, najmä noriem </w:t>
      </w:r>
      <w:proofErr w:type="spellStart"/>
      <w:r w:rsidR="00F062EE">
        <w:t>ius</w:t>
      </w:r>
      <w:proofErr w:type="spellEnd"/>
      <w:r w:rsidR="00F062EE">
        <w:t xml:space="preserve"> </w:t>
      </w:r>
      <w:proofErr w:type="spellStart"/>
      <w:r w:rsidR="00F062EE">
        <w:t>cogens</w:t>
      </w:r>
      <w:proofErr w:type="spellEnd"/>
      <w:r w:rsidR="00F062EE">
        <w:t xml:space="preserve">. V prípade Kosova BR OSN nezaujala takýto postoj a nemožno povedať, že teda platí zákaz jednostranného vyhlásenia. </w:t>
      </w:r>
      <w:r w:rsidR="00F062EE" w:rsidRPr="002E405D">
        <w:rPr>
          <w:b/>
        </w:rPr>
        <w:t>Súd dochádza k záveru, že všeobecné MP neobsahuje zákaz vyhlásenia nezávislosti</w:t>
      </w:r>
      <w:r w:rsidR="002E405D" w:rsidRPr="002E405D">
        <w:rPr>
          <w:b/>
        </w:rPr>
        <w:t>, takže vyhlásenie nezávislosti Kosova z 2008 neporušilo všeobecné MP</w:t>
      </w:r>
      <w:r w:rsidR="002E405D">
        <w:t>.</w:t>
      </w:r>
    </w:p>
    <w:p w:rsidR="002E405D" w:rsidRDefault="002E405D" w:rsidP="001E4F49">
      <w:pPr>
        <w:ind w:left="360"/>
      </w:pPr>
    </w:p>
    <w:p w:rsidR="002E405D" w:rsidRDefault="002E405D" w:rsidP="001E4F49">
      <w:pPr>
        <w:ind w:left="360"/>
      </w:pPr>
      <w:r>
        <w:t>Rezolúcia a Ústavný rámec boli stále platné a aplikovateľné k 17.feb.2008</w:t>
      </w:r>
      <w:r w:rsidR="001F28C6">
        <w:t>. Ani jedno neobsahuje ustanovenia upravujúce svoje ukončenie, ani neboli zrušené, preto predstavujú MP použiteľné na situáciu v Kosove 17.feb 2008. Predmetom rezolúcie bolo založiť dočasný a výnimočný právny režim, ktorý nahradil srbský právny poriadok, a ktorý sa usiloval o stabilizáciu Kosova a o jeho fungovanie na dočasnom základe.</w:t>
      </w:r>
    </w:p>
    <w:p w:rsidR="001F28C6" w:rsidRDefault="001F28C6" w:rsidP="001E4F49">
      <w:pPr>
        <w:ind w:left="360"/>
      </w:pPr>
    </w:p>
    <w:p w:rsidR="00DB64B4" w:rsidRDefault="001F28C6" w:rsidP="00DB64B4">
      <w:pPr>
        <w:ind w:left="360"/>
        <w:rPr>
          <w:b/>
        </w:rPr>
      </w:pPr>
      <w:r>
        <w:t xml:space="preserve">Autori vyhlásenia nekonali ako jedna z dočasných inštitúcií </w:t>
      </w:r>
      <w:proofErr w:type="spellStart"/>
      <w:r>
        <w:t>ss</w:t>
      </w:r>
      <w:proofErr w:type="spellEnd"/>
      <w:r>
        <w:t xml:space="preserve"> v rámci Ústavného rámca, ale skôr ako osoby, ktoré konali spoločne ako predstavitelia ľudu Kosova mimo rámca dočasnej správy. Rezolúcia bola určená len na založenie dočasného režimu pre Kosovo a nezaoberala sa jeho konečným statusom -&gt; odlišnosť medzi vyhlásením nezávislosti, ktoré je pokusom o konečné určenie Kosova. </w:t>
      </w:r>
      <w:r w:rsidRPr="001F28C6">
        <w:rPr>
          <w:b/>
        </w:rPr>
        <w:t>Súd došiel k záveru, že prijatie vyhlásenia nezávislosti zo 17.feb.2008 neporušilo ani všeobecné MP, ani rezolúciu, ani Ústavný rámec. Preto neporušilo žiadne aplikovateľné pravidlo MP</w:t>
      </w:r>
      <w:r w:rsidR="00DB64B4">
        <w:rPr>
          <w:b/>
        </w:rPr>
        <w:t>.</w:t>
      </w:r>
    </w:p>
    <w:p w:rsidR="00DB64B4" w:rsidRDefault="00DB64B4" w:rsidP="00DB64B4">
      <w:pPr>
        <w:ind w:left="360"/>
        <w:rPr>
          <w:b/>
        </w:rPr>
      </w:pPr>
    </w:p>
    <w:p w:rsidR="00DB64B4" w:rsidRDefault="00DB64B4" w:rsidP="00DB64B4">
      <w:pPr>
        <w:rPr>
          <w:b/>
        </w:rPr>
      </w:pPr>
      <w:r>
        <w:rPr>
          <w:b/>
        </w:rPr>
        <w:t>Západná Sahara</w:t>
      </w:r>
    </w:p>
    <w:p w:rsidR="00DB64B4" w:rsidRDefault="00DB64B4" w:rsidP="00DB64B4">
      <w:pPr>
        <w:ind w:left="360"/>
        <w:rPr>
          <w:b/>
        </w:rPr>
      </w:pPr>
    </w:p>
    <w:p w:rsidR="00DB64B4" w:rsidRDefault="00DB64B4" w:rsidP="00DB64B4">
      <w:r>
        <w:rPr>
          <w:b/>
        </w:rPr>
        <w:t xml:space="preserve">Skutkové okolnosti: </w:t>
      </w:r>
      <w:r>
        <w:t xml:space="preserve">Západná Sahara bola kolonizovaná Španielskom v roku 1934. V 60. rokoch bol tlak z OSN, aby sa uskutočnil proces dekolonizácie. V roku 1974 súhlasilo s referendom o budúcom statuse ZS pod dohľadom OSN. Ozvali sa však štáty Maroko a Mauretánia, ktoré tvrdili, že majú k územiu historický a teritoriálny právny titul. </w:t>
      </w:r>
    </w:p>
    <w:p w:rsidR="00DB64B4" w:rsidRDefault="00DB64B4" w:rsidP="00DB64B4">
      <w:r>
        <w:t>VZ OSN prijali rezolúciu číslo 3292, ktorou žiadalo MSD o posúdenie týchto dvoch otázok:</w:t>
      </w:r>
    </w:p>
    <w:p w:rsidR="00DB64B4" w:rsidRDefault="00DB64B4" w:rsidP="00DB64B4">
      <w:pPr>
        <w:pStyle w:val="Odsekzoznamu"/>
        <w:numPr>
          <w:ilvl w:val="0"/>
          <w:numId w:val="4"/>
        </w:numPr>
      </w:pPr>
      <w:r>
        <w:t>Bola ZS v dobe kolonizácie Španielskom územím nikoho? (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nullius</w:t>
      </w:r>
      <w:proofErr w:type="spellEnd"/>
      <w:r>
        <w:t xml:space="preserve">)? </w:t>
      </w:r>
    </w:p>
    <w:p w:rsidR="00DB64B4" w:rsidRDefault="00DB64B4" w:rsidP="00DB64B4">
      <w:pPr>
        <w:pStyle w:val="Odsekzoznamu"/>
        <w:numPr>
          <w:ilvl w:val="0"/>
          <w:numId w:val="4"/>
        </w:numPr>
      </w:pPr>
      <w:r>
        <w:t>Aké právne vzťahy existovali medzi územím na jednej strane a Marockým kráľovstvom a Mauretániou na druhej strane?</w:t>
      </w:r>
    </w:p>
    <w:p w:rsidR="00DB64B4" w:rsidRDefault="00DB64B4" w:rsidP="00DB64B4">
      <w:pPr>
        <w:rPr>
          <w:b/>
        </w:rPr>
      </w:pPr>
      <w:r>
        <w:rPr>
          <w:b/>
        </w:rPr>
        <w:t xml:space="preserve">Posudok: </w:t>
      </w:r>
    </w:p>
    <w:p w:rsidR="00DB64B4" w:rsidRDefault="00DB64B4" w:rsidP="00DB64B4">
      <w:r>
        <w:t>Nárok na suverenitu má dva elementy: úmysel a vôľu konať ako suverén a súčasne výkon alebo preukázanie takého výkonu moci.</w:t>
      </w:r>
    </w:p>
    <w:p w:rsidR="00DB64B4" w:rsidRDefault="00DB64B4" w:rsidP="00DB64B4">
      <w:r>
        <w:t xml:space="preserve">Zásada sebaurčenia/právo národov bola formulovaná v deklarácii o poskytnutí </w:t>
      </w:r>
      <w:proofErr w:type="spellStart"/>
      <w:r>
        <w:t>nezávislosi</w:t>
      </w:r>
      <w:proofErr w:type="spellEnd"/>
      <w:r>
        <w:t xml:space="preserve"> koloniálnym územiam a národom č. 1514 a tá stanovuje - </w:t>
      </w:r>
      <w:r>
        <w:rPr>
          <w:i/>
        </w:rPr>
        <w:t xml:space="preserve"> všetky národy majú právo na sebaurčenie, na základe tohto určujú svoj politický status a slobodne usilujú o svoj ekonomický, sociálny a kultúrny vývoj. </w:t>
      </w:r>
    </w:p>
    <w:p w:rsidR="00DB64B4" w:rsidRDefault="00B152F9" w:rsidP="00DB64B4">
      <w:r>
        <w:rPr>
          <w:b/>
        </w:rPr>
        <w:t xml:space="preserve">K otázke: 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nullius</w:t>
      </w:r>
      <w:proofErr w:type="spellEnd"/>
      <w:r>
        <w:t xml:space="preserve"> je jeden z </w:t>
      </w:r>
      <w:proofErr w:type="spellStart"/>
      <w:r>
        <w:t>akceptovaľných</w:t>
      </w:r>
      <w:proofErr w:type="spellEnd"/>
      <w:r>
        <w:t xml:space="preserve"> právnych možností nadobúdania suverenity nad územím, v okamihu okupácie muselo byť územie 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nullius</w:t>
      </w:r>
      <w:proofErr w:type="spellEnd"/>
      <w:r>
        <w:t xml:space="preserve">. Územia, ktoré sú obývané </w:t>
      </w:r>
      <w:proofErr w:type="spellStart"/>
      <w:r>
        <w:t>socialne</w:t>
      </w:r>
      <w:proofErr w:type="spellEnd"/>
      <w:r>
        <w:t xml:space="preserve"> a politicky organizovanými kmeň alebo národmi nie sú považované za 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nullius</w:t>
      </w:r>
      <w:proofErr w:type="spellEnd"/>
      <w:r>
        <w:t xml:space="preserve">. Podľa informácii získaných súdom sa zistilo, že ZS takto osídlená v čase kolonizácie bola. Tým pádom ZS nebola 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nullius</w:t>
      </w:r>
      <w:proofErr w:type="spellEnd"/>
      <w:r>
        <w:t>.</w:t>
      </w:r>
    </w:p>
    <w:p w:rsidR="00B152F9" w:rsidRDefault="00B152F9" w:rsidP="00DB64B4">
      <w:r>
        <w:t xml:space="preserve">I keď existujú právne putá medzi Mauretániou a územím ZS a niektorými kmeňmi, súd je názoru, že nezakladá žiadne pusto medzi územím ZS a Marockým kráľovstvom a Mauretániou na druhej strane. Súd teda nenašiel právne puto takého </w:t>
      </w:r>
      <w:proofErr w:type="spellStart"/>
      <w:r>
        <w:t>charaktetu</w:t>
      </w:r>
      <w:proofErr w:type="spellEnd"/>
      <w:r>
        <w:t xml:space="preserve">, ktoré by mohlo ovplyvniť aplikáciu rezolúcie č. 1514 na dekolonizáciu ZS, ale predovšetkým uplatnenie princípu sebaurčenia prostredníctvom slobodného a úprimného vyjadrenia vôle národov žijúcich na tomto území. </w:t>
      </w:r>
    </w:p>
    <w:p w:rsidR="00B152F9" w:rsidRDefault="00485103" w:rsidP="00DB64B4">
      <w:r>
        <w:lastRenderedPageBreak/>
        <w:t xml:space="preserve"> </w:t>
      </w:r>
    </w:p>
    <w:p w:rsidR="00B152F9" w:rsidRDefault="00B152F9" w:rsidP="00DB64B4">
      <w:pPr>
        <w:rPr>
          <w:b/>
        </w:rPr>
      </w:pPr>
      <w:r>
        <w:rPr>
          <w:b/>
        </w:rPr>
        <w:t>Hraničný spor</w:t>
      </w:r>
    </w:p>
    <w:p w:rsidR="00B152F9" w:rsidRDefault="00B152F9" w:rsidP="00DB64B4">
      <w:pPr>
        <w:rPr>
          <w:b/>
        </w:rPr>
      </w:pPr>
    </w:p>
    <w:p w:rsidR="00B152F9" w:rsidRDefault="00B152F9" w:rsidP="00DB64B4">
      <w:pPr>
        <w:rPr>
          <w:b/>
        </w:rPr>
      </w:pPr>
      <w:r>
        <w:rPr>
          <w:b/>
        </w:rPr>
        <w:t>Skutkový stav:</w:t>
      </w:r>
    </w:p>
    <w:p w:rsidR="00B152F9" w:rsidRDefault="00B152F9" w:rsidP="00DB64B4">
      <w:r>
        <w:t xml:space="preserve">Líbya, bývalá Talianska kolónia, sa stala v roku 1951 suverénnym štátom </w:t>
      </w:r>
      <w:r w:rsidR="00FF226C">
        <w:t>v súlade rezolúcie VZ OSN. Čad ako FR kolónia zas v roku 1960. Medzi ITA a FR bola v roku 1935 uzatvorená zmluva, ktorá stanovila Líbyjskú hranicu. Zmluva však nevstúpila do platnosti a po WW2 sa ITA v mierovej zmluve z roku 1947 vzdala všetkých práv a titulov k územným držbám v Afrike. V roku 1955 Líbya a FR uzavreli zmluvu, kde sa riešila aj otázka hraníc. Zmluva odkazovala na predošlé platné dohody vymedzujúce hranice. Spor nastal v nejasnosti, či uvedená dohoda z roku 1955 je právnym titulom určujúcim ich vzájomnú hranicu, alebo nie.</w:t>
      </w:r>
    </w:p>
    <w:p w:rsidR="00FF226C" w:rsidRDefault="00FF226C" w:rsidP="00DB64B4"/>
    <w:p w:rsidR="00FF226C" w:rsidRDefault="00FF226C" w:rsidP="00DB64B4">
      <w:pPr>
        <w:rPr>
          <w:b/>
        </w:rPr>
      </w:pPr>
      <w:r>
        <w:rPr>
          <w:b/>
        </w:rPr>
        <w:t>Rozsudok:</w:t>
      </w:r>
    </w:p>
    <w:p w:rsidR="00FF226C" w:rsidRDefault="00FF226C" w:rsidP="00DB64B4">
      <w:pPr>
        <w:rPr>
          <w:i/>
        </w:rPr>
      </w:pPr>
      <w:r>
        <w:t xml:space="preserve">Článok 3 zmluvy z roku 1955 stanovuje </w:t>
      </w:r>
      <w:r>
        <w:rPr>
          <w:i/>
        </w:rPr>
        <w:t xml:space="preserve">„hranice medzi územiami Tunisu, Alžírska, Francúzskej západnej Afriky a Francúzskej rovníkovej Afriky na jednej strane a územia Líbye na strane druhej, sú hranicami, ktoré vychádzajú z medzinárodných dohôd platných ku dňu vzniku Spojeného kráľovstva Líbye v zmysle prílohy I.“ </w:t>
      </w:r>
    </w:p>
    <w:p w:rsidR="00FF226C" w:rsidRDefault="00FF226C" w:rsidP="00DB64B4">
      <w:r>
        <w:t xml:space="preserve">Zmluva na základe medzinárodného obyčajového práva musí byť interpretovaná v dobrej viere v súlade s obvyklým významom, ktorý sa dáva výrazom v zmluve. Zmluva sa má vykladať predovšetkým na základe textu a ako subsidiárny prvok sa môže využiť prípravné práce zmluvy a okolnosti jej uzavretia. </w:t>
      </w:r>
    </w:p>
    <w:p w:rsidR="00FF226C" w:rsidRDefault="00FF226C" w:rsidP="00DB64B4">
      <w:r>
        <w:t xml:space="preserve">Pojem uznávajú použitý v zmluve indikuje právny záväzok. Uznať hranicu vlastne znamená ju prijať, zo znamená vyvodiť z jej existencie </w:t>
      </w:r>
      <w:r w:rsidR="005A3BED">
        <w:t xml:space="preserve">právne dôsledky, rešpektovať ju a vzdať sa práva spochybňovať ju v budúcnosti. </w:t>
      </w:r>
    </w:p>
    <w:p w:rsidR="005A3BED" w:rsidRDefault="005A3BED" w:rsidP="00DB64B4">
      <w:r>
        <w:t xml:space="preserve">Líbya tvrdí, že zmluva z roku 1955 uznáva len tie hranice, ktoré už predtým existovali, sú toto však neuznáva, pretože výrazy v zmluve znamenajú, že strany uznali celkové hranice medzi svojimi územiami. Ako príklad sa dá uviesť spor </w:t>
      </w:r>
      <w:r>
        <w:rPr>
          <w:i/>
        </w:rPr>
        <w:t xml:space="preserve">Chrám </w:t>
      </w:r>
      <w:proofErr w:type="spellStart"/>
      <w:r>
        <w:rPr>
          <w:i/>
        </w:rPr>
        <w:t>Preah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Vihear</w:t>
      </w:r>
      <w:proofErr w:type="spellEnd"/>
      <w:r>
        <w:t xml:space="preserve">, kde obe strany svojím správaním uznali danú líniu, čím vlastne súhlasili, že bude hraničnou stranou, aj keď hranice </w:t>
      </w:r>
      <w:proofErr w:type="spellStart"/>
      <w:r>
        <w:t>neišli</w:t>
      </w:r>
      <w:proofErr w:type="spellEnd"/>
      <w:r>
        <w:t xml:space="preserve"> podľa zmluvy. </w:t>
      </w:r>
    </w:p>
    <w:p w:rsidR="005A3BED" w:rsidRDefault="005A3BED" w:rsidP="00DB64B4">
      <w:r>
        <w:t xml:space="preserve">Článok 3 ďalej hovorí, že dohody platné k tomuto dňu a nie na dohody platné ku dňu vzniku Spojeného kráľovstva Líbye. </w:t>
      </w:r>
    </w:p>
    <w:p w:rsidR="00580BE6" w:rsidRDefault="00580BE6" w:rsidP="00DB64B4">
      <w:pPr>
        <w:rPr>
          <w:i/>
        </w:rPr>
      </w:pPr>
      <w:r>
        <w:t>Zmluva z roku 1955 je založená na priateľstve a dobrom susedstve, podľa jej preambuly „</w:t>
      </w:r>
      <w:r>
        <w:rPr>
          <w:i/>
        </w:rPr>
        <w:t xml:space="preserve">v duchu vzájomného porozumenia na základe rovnosti, nezávislosti a slobody“. </w:t>
      </w:r>
    </w:p>
    <w:p w:rsidR="00580BE6" w:rsidRPr="00580BE6" w:rsidRDefault="00580BE6" w:rsidP="00DB64B4">
      <w:r>
        <w:t xml:space="preserve">Článok 11 síce stanovuje, že zmluva sa uzatvára na dobu 20 rokov a že ju môže ktorákoľvek strana ukončiť, ale súd si myslí, že ustanovenia stanovujú stálu hranicu. V zmluve nie je nič, čo by naznačovalo, že  hranica je dočasná. </w:t>
      </w:r>
    </w:p>
    <w:p w:rsidR="00DB64B4" w:rsidRDefault="00DB64B4" w:rsidP="00DB64B4"/>
    <w:p w:rsidR="005012D2" w:rsidRDefault="005012D2" w:rsidP="00DB64B4"/>
    <w:p w:rsidR="005012D2" w:rsidRDefault="005012D2" w:rsidP="00DB64B4">
      <w:pPr>
        <w:rPr>
          <w:b/>
        </w:rPr>
      </w:pPr>
      <w:r>
        <w:rPr>
          <w:b/>
        </w:rPr>
        <w:t>Skutkový stav:</w:t>
      </w:r>
    </w:p>
    <w:p w:rsidR="005012D2" w:rsidRDefault="005012D2" w:rsidP="00DB64B4">
      <w:pPr>
        <w:rPr>
          <w:b/>
        </w:rPr>
      </w:pPr>
    </w:p>
    <w:p w:rsidR="005012D2" w:rsidRDefault="005012D2" w:rsidP="00DB64B4">
      <w:r>
        <w:t xml:space="preserve">11.4 2000 vydal BEL súd medzinárodný zatykač in </w:t>
      </w:r>
      <w:proofErr w:type="spellStart"/>
      <w:r>
        <w:t>absentia</w:t>
      </w:r>
      <w:proofErr w:type="spellEnd"/>
      <w:r>
        <w:t xml:space="preserve"> na Y. </w:t>
      </w:r>
      <w:proofErr w:type="spellStart"/>
      <w:r>
        <w:t>Ndombasiho</w:t>
      </w:r>
      <w:proofErr w:type="spellEnd"/>
      <w:r>
        <w:t xml:space="preserve">, ministra zahraničných vecí Konga, obviňujúc ho zo spáchania zločinov proti </w:t>
      </w:r>
      <w:proofErr w:type="spellStart"/>
      <w:r>
        <w:t>ľudskoti</w:t>
      </w:r>
      <w:proofErr w:type="spellEnd"/>
      <w:r>
        <w:t xml:space="preserve"> a zo závažných porušení Ženevských dohovorov z roku 1949 a belgického trestného zákona z roku 1993. Zákon stanovoval jurisdikciu BEL súdov nad medzinárodnými </w:t>
      </w:r>
      <w:proofErr w:type="spellStart"/>
      <w:r>
        <w:t>zložincami</w:t>
      </w:r>
      <w:proofErr w:type="spellEnd"/>
      <w:r>
        <w:t xml:space="preserve"> „kdekoľvek sa spáchajú“. </w:t>
      </w:r>
      <w:proofErr w:type="spellStart"/>
      <w:r>
        <w:t>Ndombasi</w:t>
      </w:r>
      <w:proofErr w:type="spellEnd"/>
      <w:r>
        <w:t xml:space="preserve"> v roku 1998 mal prejavy v ktorých údajne podnecoval k daným činom. Kongo podalo žalobu na MSD, argumentujúc, že Belgicko svojou legislatívou povoľujúcou </w:t>
      </w:r>
      <w:r>
        <w:lastRenderedPageBreak/>
        <w:t xml:space="preserve">univerzálnu jurisdikciu, ako aj vydaním zatykača porušilo suverenitu Konga a imunitu jeho štátneho predstaviteľa. </w:t>
      </w:r>
    </w:p>
    <w:p w:rsidR="005012D2" w:rsidRDefault="005012D2" w:rsidP="00DB64B4"/>
    <w:p w:rsidR="005012D2" w:rsidRDefault="005012D2" w:rsidP="00DB64B4">
      <w:pPr>
        <w:rPr>
          <w:b/>
        </w:rPr>
      </w:pPr>
      <w:r>
        <w:rPr>
          <w:b/>
        </w:rPr>
        <w:t>Rozsudok:</w:t>
      </w:r>
    </w:p>
    <w:p w:rsidR="005012D2" w:rsidRDefault="005012D2" w:rsidP="00DB64B4">
      <w:pPr>
        <w:rPr>
          <w:b/>
        </w:rPr>
      </w:pPr>
    </w:p>
    <w:p w:rsidR="005012D2" w:rsidRDefault="005012D2" w:rsidP="00DB64B4"/>
    <w:p w:rsidR="000623E4" w:rsidRDefault="000623E4" w:rsidP="00DB64B4"/>
    <w:p w:rsidR="000623E4" w:rsidRDefault="000623E4" w:rsidP="00DB64B4"/>
    <w:p w:rsidR="000623E4" w:rsidRDefault="000623E4" w:rsidP="00DB64B4">
      <w:pPr>
        <w:rPr>
          <w:b/>
        </w:rPr>
      </w:pPr>
      <w:r>
        <w:rPr>
          <w:b/>
        </w:rPr>
        <w:t>Prípad</w:t>
      </w:r>
    </w:p>
    <w:p w:rsidR="000623E4" w:rsidRDefault="000623E4" w:rsidP="00DB64B4">
      <w:pPr>
        <w:rPr>
          <w:b/>
        </w:rPr>
      </w:pPr>
    </w:p>
    <w:p w:rsidR="000623E4" w:rsidRDefault="000623E4" w:rsidP="00DB64B4">
      <w:r>
        <w:t xml:space="preserve">Osoba XY veľvyslanec štátu A bol prichytený pri krádeži v štáte B. Na mieste bol zatknutý a daný do výkonu väzby. </w:t>
      </w:r>
    </w:p>
    <w:p w:rsidR="000623E4" w:rsidRDefault="000623E4" w:rsidP="00DB64B4"/>
    <w:p w:rsidR="000623E4" w:rsidRDefault="000623E4" w:rsidP="00DB64B4">
      <w:r>
        <w:t>a) bol postup štátu správny?</w:t>
      </w:r>
    </w:p>
    <w:p w:rsidR="000623E4" w:rsidRDefault="000623E4" w:rsidP="00DB64B4">
      <w:r>
        <w:t>b) čo by sme spravili ako predstavitelia štátu B?</w:t>
      </w:r>
    </w:p>
    <w:p w:rsidR="000623E4" w:rsidRDefault="000623E4" w:rsidP="00DB64B4"/>
    <w:p w:rsidR="000623E4" w:rsidRDefault="000623E4" w:rsidP="000623E4"/>
    <w:p w:rsidR="000623E4" w:rsidRDefault="000623E4" w:rsidP="000623E4">
      <w:pPr>
        <w:pStyle w:val="Odsekzoznamu"/>
        <w:numPr>
          <w:ilvl w:val="0"/>
          <w:numId w:val="6"/>
        </w:numPr>
      </w:pPr>
      <w:r>
        <w:t>Nebol, keďže porušili imunitu veľvyslanca XY</w:t>
      </w:r>
    </w:p>
    <w:p w:rsidR="000623E4" w:rsidRPr="000623E4" w:rsidRDefault="000623E4" w:rsidP="000623E4">
      <w:pPr>
        <w:pStyle w:val="Odsekzoznamu"/>
        <w:shd w:val="clear" w:color="auto" w:fill="FFFFFF"/>
        <w:spacing w:before="195" w:after="195"/>
        <w:rPr>
          <w:rFonts w:ascii="Arial" w:eastAsia="Times New Roman" w:hAnsi="Arial" w:cs="Arial"/>
          <w:color w:val="363636"/>
          <w:sz w:val="20"/>
          <w:szCs w:val="20"/>
          <w:lang w:eastAsia="sk-SK"/>
        </w:rPr>
      </w:pPr>
      <w:r w:rsidRPr="000623E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sk-SK"/>
        </w:rPr>
        <w:t>Článok 29</w:t>
      </w:r>
    </w:p>
    <w:p w:rsidR="000623E4" w:rsidRDefault="000623E4" w:rsidP="000623E4">
      <w:pPr>
        <w:pStyle w:val="Odsekzoznamu"/>
        <w:shd w:val="clear" w:color="auto" w:fill="FFFFFF"/>
        <w:spacing w:before="195" w:after="195"/>
        <w:rPr>
          <w:rFonts w:ascii="Times New Roman" w:eastAsia="Times New Roman" w:hAnsi="Times New Roman" w:cs="Times New Roman"/>
          <w:color w:val="000000"/>
          <w:sz w:val="22"/>
          <w:szCs w:val="22"/>
          <w:lang w:eastAsia="sk-SK"/>
        </w:rPr>
      </w:pPr>
      <w:r w:rsidRPr="000623E4">
        <w:rPr>
          <w:rFonts w:ascii="Times New Roman" w:eastAsia="Times New Roman" w:hAnsi="Times New Roman" w:cs="Times New Roman"/>
          <w:color w:val="000000"/>
          <w:sz w:val="22"/>
          <w:szCs w:val="22"/>
          <w:lang w:eastAsia="sk-SK"/>
        </w:rPr>
        <w:t>Osoba diplomatického zástupcu je nedotknuteľná. Diplomatický zástupca nesmie byť žiadnym spôsobom zatknutý alebo zadržaný. Prijímajúci štát s ním bude konať s náležitou úctou a urobí všetky vhodné opatrenia, aby zabránili každému útoku proti jeho osobe, slobode alebo dôstojnosti.</w:t>
      </w:r>
    </w:p>
    <w:p w:rsidR="000623E4" w:rsidRDefault="000623E4" w:rsidP="000623E4">
      <w:pPr>
        <w:pStyle w:val="Odsekzoznamu"/>
        <w:shd w:val="clear" w:color="auto" w:fill="FFFFFF"/>
        <w:spacing w:before="195" w:after="195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sk-SK"/>
        </w:rPr>
      </w:pPr>
      <w:r w:rsidRPr="000623E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sk-SK"/>
        </w:rPr>
        <w:t>Článok 31</w:t>
      </w:r>
    </w:p>
    <w:p w:rsidR="000623E4" w:rsidRDefault="000623E4" w:rsidP="000623E4">
      <w:pPr>
        <w:pStyle w:val="Odsekzoznamu"/>
        <w:shd w:val="clear" w:color="auto" w:fill="FFFFFF"/>
        <w:spacing w:before="195" w:after="195"/>
        <w:rPr>
          <w:rFonts w:ascii="Times New Roman" w:eastAsia="Times New Roman" w:hAnsi="Times New Roman" w:cs="Times New Roman"/>
          <w:color w:val="000000"/>
          <w:sz w:val="22"/>
          <w:szCs w:val="22"/>
          <w:lang w:eastAsia="sk-SK"/>
        </w:rPr>
      </w:pPr>
      <w:r w:rsidRPr="000623E4">
        <w:rPr>
          <w:rFonts w:ascii="Times New Roman" w:eastAsia="Times New Roman" w:hAnsi="Times New Roman" w:cs="Times New Roman"/>
          <w:color w:val="000000"/>
          <w:sz w:val="22"/>
          <w:szCs w:val="22"/>
          <w:lang w:eastAsia="sk-SK"/>
        </w:rPr>
        <w:t>Diplomatický zástupca je vyňatý z trestnej jurisdikcie prijímajúceho štátu. Je taktiež vyňatý z jeho civilnej a správnej jurisdikcie</w:t>
      </w:r>
    </w:p>
    <w:p w:rsidR="000623E4" w:rsidRDefault="000623E4" w:rsidP="000623E4">
      <w:pPr>
        <w:pStyle w:val="Odsekzoznamu"/>
        <w:shd w:val="clear" w:color="auto" w:fill="FFFFFF"/>
        <w:spacing w:before="195" w:after="195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sk-SK"/>
        </w:rPr>
      </w:pPr>
      <w:r w:rsidRPr="000623E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sk-SK"/>
        </w:rPr>
        <w:t>Článok 38</w:t>
      </w:r>
    </w:p>
    <w:p w:rsidR="000623E4" w:rsidRPr="000623E4" w:rsidRDefault="000623E4" w:rsidP="000623E4">
      <w:pPr>
        <w:pStyle w:val="Odsekzoznamu"/>
        <w:shd w:val="clear" w:color="auto" w:fill="FFFFFF"/>
        <w:spacing w:before="195" w:after="195"/>
        <w:rPr>
          <w:rFonts w:ascii="Arial" w:eastAsia="Times New Roman" w:hAnsi="Arial" w:cs="Arial"/>
          <w:color w:val="363636"/>
          <w:sz w:val="20"/>
          <w:szCs w:val="20"/>
          <w:lang w:eastAsia="sk-SK"/>
        </w:rPr>
      </w:pPr>
      <w:r w:rsidRPr="000623E4">
        <w:rPr>
          <w:rFonts w:ascii="Times New Roman" w:eastAsia="Times New Roman" w:hAnsi="Times New Roman" w:cs="Times New Roman"/>
          <w:color w:val="000000"/>
          <w:sz w:val="22"/>
          <w:szCs w:val="22"/>
          <w:lang w:eastAsia="sk-SK"/>
        </w:rPr>
        <w:t>Okrem iných výsad a imunít, ktoré mu môže poskytnúť prijímajúci štát, diplomatický zástupca, ktorý je občanom tohto štátu alebo v ňom trvale sídli, požíva iba vyňatie z jurisdikcie a nedotknuteľnosť, pokiaľ ide o oficiálnu činnosť pri plnení jeho funkcií.</w:t>
      </w:r>
    </w:p>
    <w:p w:rsidR="000623E4" w:rsidRDefault="000623E4" w:rsidP="000623E4">
      <w:pPr>
        <w:pStyle w:val="Odsekzoznamu"/>
      </w:pPr>
    </w:p>
    <w:p w:rsidR="00090385" w:rsidRDefault="00090385" w:rsidP="00090385"/>
    <w:p w:rsidR="004370CD" w:rsidRDefault="004370CD" w:rsidP="00090385"/>
    <w:p w:rsidR="004370CD" w:rsidRDefault="004370CD" w:rsidP="00090385"/>
    <w:p w:rsidR="004370CD" w:rsidRDefault="004370CD" w:rsidP="00090385"/>
    <w:p w:rsidR="004370CD" w:rsidRDefault="004370CD" w:rsidP="00090385">
      <w:pPr>
        <w:rPr>
          <w:b/>
        </w:rPr>
      </w:pPr>
      <w:r>
        <w:rPr>
          <w:b/>
        </w:rPr>
        <w:t>Polovojenské a vojenské aktivity v Nikarague</w:t>
      </w:r>
    </w:p>
    <w:p w:rsidR="004370CD" w:rsidRDefault="004370CD" w:rsidP="00090385">
      <w:pPr>
        <w:rPr>
          <w:b/>
        </w:rPr>
      </w:pPr>
    </w:p>
    <w:p w:rsidR="004370CD" w:rsidRDefault="004370CD" w:rsidP="00090385">
      <w:pPr>
        <w:rPr>
          <w:b/>
        </w:rPr>
      </w:pPr>
      <w:r>
        <w:rPr>
          <w:b/>
        </w:rPr>
        <w:t>Skutkový stav</w:t>
      </w:r>
    </w:p>
    <w:p w:rsidR="004370CD" w:rsidRDefault="004370CD" w:rsidP="00090385">
      <w:r>
        <w:t xml:space="preserve">V roku 1979 došlo v Nikarague k prevratu a k moci sa dostala ľavicová revolucionárska vláda. Vyústilo to do občianskej vojny medzi </w:t>
      </w:r>
      <w:proofErr w:type="spellStart"/>
      <w:r>
        <w:t>Sandinistami</w:t>
      </w:r>
      <w:proofErr w:type="spellEnd"/>
      <w:r>
        <w:t xml:space="preserve"> a </w:t>
      </w:r>
      <w:proofErr w:type="spellStart"/>
      <w:r>
        <w:t>Contras</w:t>
      </w:r>
      <w:proofErr w:type="spellEnd"/>
      <w:r>
        <w:t xml:space="preserve">.  USA podporovala </w:t>
      </w:r>
      <w:proofErr w:type="spellStart"/>
      <w:r>
        <w:t>contras</w:t>
      </w:r>
      <w:proofErr w:type="spellEnd"/>
      <w:r>
        <w:t xml:space="preserve">, v roku 1981 </w:t>
      </w:r>
      <w:proofErr w:type="spellStart"/>
      <w:r>
        <w:t>Reagan</w:t>
      </w:r>
      <w:proofErr w:type="spellEnd"/>
      <w:r>
        <w:t xml:space="preserve"> ukončil dohodnutú ekonomickú pomoc. Nikaraguy sa obrátila v 1984 na MSD s tým, že považovala správanie USA za porušenie medzinárodného práva, keďže sa USA dopustila priameho použitia ozbrojenej sily tým, že nechala zamínovať NIK prístavy, t. J. Teritoriálne vody. Ďalej zaútočili prístavy, ropné zariadenia a námornú základňu.  </w:t>
      </w:r>
      <w:proofErr w:type="spellStart"/>
      <w:r>
        <w:t>Usa</w:t>
      </w:r>
      <w:proofErr w:type="spellEnd"/>
      <w:r>
        <w:t xml:space="preserve"> organizovala, vycvičovala a poskytovala vybavenie </w:t>
      </w:r>
      <w:proofErr w:type="spellStart"/>
      <w:r>
        <w:t>contras</w:t>
      </w:r>
      <w:proofErr w:type="spellEnd"/>
      <w:r>
        <w:t xml:space="preserve"> na zvrhnutie vlády. Čím porušili zásadu nezasahovania do vnútorných záležitostí štátu. USA sa bránila konaním v rámci kolektívnej sebaobrany.</w:t>
      </w:r>
    </w:p>
    <w:p w:rsidR="004370CD" w:rsidRDefault="004370CD" w:rsidP="00090385"/>
    <w:p w:rsidR="004370CD" w:rsidRDefault="004370CD" w:rsidP="00090385"/>
    <w:p w:rsidR="004370CD" w:rsidRDefault="004370CD" w:rsidP="00090385">
      <w:pPr>
        <w:rPr>
          <w:b/>
        </w:rPr>
      </w:pPr>
      <w:r>
        <w:rPr>
          <w:b/>
        </w:rPr>
        <w:lastRenderedPageBreak/>
        <w:t>Rozsudok</w:t>
      </w:r>
      <w:bookmarkStart w:id="0" w:name="_GoBack"/>
      <w:bookmarkEnd w:id="0"/>
    </w:p>
    <w:p w:rsidR="004370CD" w:rsidRDefault="004370CD" w:rsidP="00090385">
      <w:r>
        <w:t xml:space="preserve">Neexistuje žiadny zrejmý dôkaz, že by </w:t>
      </w:r>
      <w:proofErr w:type="spellStart"/>
      <w:r>
        <w:t>contras</w:t>
      </w:r>
      <w:proofErr w:type="spellEnd"/>
      <w:r>
        <w:t xml:space="preserve"> konala v mene USA, lebo tam nebol taký stupeň kontroly USA nad </w:t>
      </w:r>
      <w:proofErr w:type="spellStart"/>
      <w:r>
        <w:t>contras</w:t>
      </w:r>
      <w:proofErr w:type="spellEnd"/>
      <w:r>
        <w:t xml:space="preserve">. </w:t>
      </w:r>
    </w:p>
    <w:p w:rsidR="004370CD" w:rsidRPr="004370CD" w:rsidRDefault="004370CD" w:rsidP="00090385">
      <w:r>
        <w:t xml:space="preserve">Súd zamietol argumentáciu USA, pretože sa  USA financovaním, podporou a výcvik </w:t>
      </w:r>
      <w:proofErr w:type="spellStart"/>
      <w:r>
        <w:t>contras</w:t>
      </w:r>
      <w:proofErr w:type="spellEnd"/>
      <w:r>
        <w:t xml:space="preserve"> snažila o zvrhnutie vlády. Tým porušili zásadu </w:t>
      </w:r>
      <w:proofErr w:type="spellStart"/>
      <w:r>
        <w:t>neintervencie</w:t>
      </w:r>
      <w:proofErr w:type="spellEnd"/>
      <w:r>
        <w:t xml:space="preserve">.  Zamínovaním vôd do šlo k porušeniu humanitárny zásad obyčajového práva. </w:t>
      </w:r>
    </w:p>
    <w:sectPr w:rsidR="004370CD" w:rsidRPr="004370CD" w:rsidSect="00393D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280"/>
    <w:multiLevelType w:val="hybridMultilevel"/>
    <w:tmpl w:val="0A441E60"/>
    <w:lvl w:ilvl="0" w:tplc="6C8EF42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0" w:hanging="360"/>
      </w:pPr>
    </w:lvl>
    <w:lvl w:ilvl="2" w:tplc="041B001B" w:tentative="1">
      <w:start w:val="1"/>
      <w:numFmt w:val="lowerRoman"/>
      <w:lvlText w:val="%3."/>
      <w:lvlJc w:val="right"/>
      <w:pPr>
        <w:ind w:left="2500" w:hanging="180"/>
      </w:pPr>
    </w:lvl>
    <w:lvl w:ilvl="3" w:tplc="041B000F" w:tentative="1">
      <w:start w:val="1"/>
      <w:numFmt w:val="decimal"/>
      <w:lvlText w:val="%4."/>
      <w:lvlJc w:val="left"/>
      <w:pPr>
        <w:ind w:left="3220" w:hanging="360"/>
      </w:pPr>
    </w:lvl>
    <w:lvl w:ilvl="4" w:tplc="041B0019" w:tentative="1">
      <w:start w:val="1"/>
      <w:numFmt w:val="lowerLetter"/>
      <w:lvlText w:val="%5."/>
      <w:lvlJc w:val="left"/>
      <w:pPr>
        <w:ind w:left="3940" w:hanging="360"/>
      </w:pPr>
    </w:lvl>
    <w:lvl w:ilvl="5" w:tplc="041B001B" w:tentative="1">
      <w:start w:val="1"/>
      <w:numFmt w:val="lowerRoman"/>
      <w:lvlText w:val="%6."/>
      <w:lvlJc w:val="right"/>
      <w:pPr>
        <w:ind w:left="4660" w:hanging="180"/>
      </w:pPr>
    </w:lvl>
    <w:lvl w:ilvl="6" w:tplc="041B000F" w:tentative="1">
      <w:start w:val="1"/>
      <w:numFmt w:val="decimal"/>
      <w:lvlText w:val="%7."/>
      <w:lvlJc w:val="left"/>
      <w:pPr>
        <w:ind w:left="5380" w:hanging="360"/>
      </w:pPr>
    </w:lvl>
    <w:lvl w:ilvl="7" w:tplc="041B0019" w:tentative="1">
      <w:start w:val="1"/>
      <w:numFmt w:val="lowerLetter"/>
      <w:lvlText w:val="%8."/>
      <w:lvlJc w:val="left"/>
      <w:pPr>
        <w:ind w:left="6100" w:hanging="360"/>
      </w:pPr>
    </w:lvl>
    <w:lvl w:ilvl="8" w:tplc="041B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3096830"/>
    <w:multiLevelType w:val="hybridMultilevel"/>
    <w:tmpl w:val="69F0BB0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727C0"/>
    <w:multiLevelType w:val="hybridMultilevel"/>
    <w:tmpl w:val="75CEE9C0"/>
    <w:lvl w:ilvl="0" w:tplc="9E6E7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20C65"/>
    <w:multiLevelType w:val="hybridMultilevel"/>
    <w:tmpl w:val="60589A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E3676"/>
    <w:multiLevelType w:val="hybridMultilevel"/>
    <w:tmpl w:val="81F2C632"/>
    <w:lvl w:ilvl="0" w:tplc="AF526EE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C46A4"/>
    <w:multiLevelType w:val="hybridMultilevel"/>
    <w:tmpl w:val="048A8D02"/>
    <w:lvl w:ilvl="0" w:tplc="EC900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24"/>
    <w:rsid w:val="00002824"/>
    <w:rsid w:val="000623E4"/>
    <w:rsid w:val="00090385"/>
    <w:rsid w:val="001063D1"/>
    <w:rsid w:val="001773E9"/>
    <w:rsid w:val="00180B69"/>
    <w:rsid w:val="001A327B"/>
    <w:rsid w:val="001E4F49"/>
    <w:rsid w:val="001F28C6"/>
    <w:rsid w:val="00214227"/>
    <w:rsid w:val="002355C4"/>
    <w:rsid w:val="00275421"/>
    <w:rsid w:val="002E405D"/>
    <w:rsid w:val="00393DB1"/>
    <w:rsid w:val="004370CD"/>
    <w:rsid w:val="004569A8"/>
    <w:rsid w:val="00485103"/>
    <w:rsid w:val="004B1696"/>
    <w:rsid w:val="005012D2"/>
    <w:rsid w:val="00532088"/>
    <w:rsid w:val="00543384"/>
    <w:rsid w:val="00580BE6"/>
    <w:rsid w:val="005A3BED"/>
    <w:rsid w:val="00647C0F"/>
    <w:rsid w:val="006809A2"/>
    <w:rsid w:val="00686E02"/>
    <w:rsid w:val="007072AD"/>
    <w:rsid w:val="007141E7"/>
    <w:rsid w:val="008323FA"/>
    <w:rsid w:val="00833F2E"/>
    <w:rsid w:val="00857AFD"/>
    <w:rsid w:val="00997B87"/>
    <w:rsid w:val="00A723E3"/>
    <w:rsid w:val="00AB323B"/>
    <w:rsid w:val="00B152F9"/>
    <w:rsid w:val="00B251C6"/>
    <w:rsid w:val="00C356BA"/>
    <w:rsid w:val="00CB014F"/>
    <w:rsid w:val="00DB64B4"/>
    <w:rsid w:val="00DF0EE9"/>
    <w:rsid w:val="00E03ECD"/>
    <w:rsid w:val="00E06309"/>
    <w:rsid w:val="00E121CB"/>
    <w:rsid w:val="00E37BA3"/>
    <w:rsid w:val="00EE300C"/>
    <w:rsid w:val="00F018C1"/>
    <w:rsid w:val="00F062EE"/>
    <w:rsid w:val="00FE4261"/>
    <w:rsid w:val="00FE641D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64453"/>
  <w15:chartTrackingRefBased/>
  <w15:docId w15:val="{C5EDD1DA-5847-7141-B657-0D0CFE95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0B69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062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2266</Words>
  <Characters>13597</Characters>
  <Application>Microsoft Office Word</Application>
  <DocSecurity>0</DocSecurity>
  <Lines>222</Lines>
  <Paragraphs>50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Richter Filip</dc:creator>
  <cp:keywords/>
  <dc:description/>
  <cp:lastModifiedBy>Želonka Michal</cp:lastModifiedBy>
  <cp:revision>12</cp:revision>
  <dcterms:created xsi:type="dcterms:W3CDTF">2019-02-18T15:59:00Z</dcterms:created>
  <dcterms:modified xsi:type="dcterms:W3CDTF">2019-04-15T09:30:00Z</dcterms:modified>
</cp:coreProperties>
</file>