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u w:val="single"/>
          <w:lang w:eastAsia="sk-SK"/>
        </w:rPr>
      </w:pPr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u w:val="single"/>
          <w:lang w:eastAsia="sk-SK"/>
        </w:rPr>
        <w:t>Ako sa v rímskom procesnom práve od seba odlišovali jednotlivé žaloby.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</w:p>
    <w:p w:rsidR="003100C3" w:rsidRPr="003100C3" w:rsidRDefault="003100C3" w:rsidP="003100C3">
      <w:pPr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theme="majorHAnsi"/>
          <w:b/>
          <w:bCs/>
          <w:color w:val="646464"/>
          <w:sz w:val="18"/>
          <w:szCs w:val="18"/>
          <w:lang w:eastAsia="sk-SK"/>
        </w:rPr>
      </w:pP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in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rem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in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personam</w:t>
      </w:r>
      <w:proofErr w:type="spellEnd"/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A.in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rem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tento typ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sluzil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presadenie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absolutneho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pripadne na jeho ochranu,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islo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predovsetkym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 vecne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Intentio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neuvadzala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zalovaneho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nachadzalo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sa tu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vsak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podmienene tvrdenie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absolutneho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Uplatnujeme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nou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narok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vec.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vecnu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oznacuje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pojmom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vindicatio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Pre ochranu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vlastnickeho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je to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rei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vindicatio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aj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actio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negatoria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Je to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posobiaca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proti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vsetkycm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erga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omnes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in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personam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sluzili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zalobcovi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vymahanie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resp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ochranu jeho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obligacnopravnych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narokov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meno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zalovaneho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obsahovala intencia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zalobnej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formuly. Svoj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nazov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mala spravidla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odvodeny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od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vztahu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ktory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chranila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(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actio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depositi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actio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empti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), a. in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personam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nadvazujuce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lege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agere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per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condictionem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sa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nazyvali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tiez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condictiones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A. in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personam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mali svoj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zaklad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spravidla v kontrakte alebo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sukromnom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delikte,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tiez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kvazikontrakty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kvazidelikty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, ci dohody.  </w:t>
      </w:r>
    </w:p>
    <w:p w:rsidR="003100C3" w:rsidRPr="003100C3" w:rsidRDefault="003100C3" w:rsidP="003100C3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</w:pP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stricti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iuris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bonae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fidei</w:t>
      </w:r>
      <w:proofErr w:type="spellEnd"/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A.stricti</w:t>
      </w:r>
      <w:proofErr w:type="spellEnd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iuris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 mali svoj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zaklad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 civilnom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klauzula ex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fide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bona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sa v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zalobnej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formule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nenachadzala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musel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dokazovat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vznik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zavazku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podla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civilneho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Typickymi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pravnymi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dovodmi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pre vznik A.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stricti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iuris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boli:mutuum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stipulatio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condictio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sine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causa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bonae</w:t>
      </w:r>
      <w:proofErr w:type="spellEnd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fidei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ktore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poskytovali sudcovi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relativnu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volnost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konecnom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rozhodnuti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spornej veci. Sudcova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autonomia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mala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zaklad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neurcitej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intencii s pripojenou klauzulou ex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fide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bona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iudicia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ex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empto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vendito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locato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conducto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... </w:t>
      </w:r>
    </w:p>
    <w:p w:rsidR="003100C3" w:rsidRPr="003100C3" w:rsidRDefault="003100C3" w:rsidP="003100C3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</w:pP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ex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contractu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ex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delicto</w:t>
      </w:r>
      <w:proofErr w:type="spellEnd"/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Toto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clenenie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zolob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zodpoveda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dovodom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vzniku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zavazkov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Tak ako kauza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zavazku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mohla byt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bud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zmluva(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contractus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)alebo delikt(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delictum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)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ex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contractu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ex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delicto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osobnymi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zalobami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 </w:t>
      </w:r>
    </w:p>
    <w:p w:rsidR="003100C3" w:rsidRPr="003100C3" w:rsidRDefault="003100C3" w:rsidP="003100C3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</w:pP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perpetuae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temporales</w:t>
      </w:r>
      <w:proofErr w:type="spellEnd"/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perpetuae</w:t>
      </w:r>
      <w:proofErr w:type="spellEnd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 </w:t>
      </w:r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trvale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nestanovoval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poriadok lehotu, v ktorej ich bolo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mozne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pouzit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Islo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najma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 civilne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teda tie,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ktorych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zaklad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predstavoval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pramen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civilneho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temporales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docasne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podliehali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casovemu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obmedzeniu.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Priradujeme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k nim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honorarne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teda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pretorske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edilske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ktore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mali svoj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zaklad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 civilnej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sudnej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pravomoci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magistrata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  </w:t>
      </w:r>
    </w:p>
    <w:p w:rsidR="003100C3" w:rsidRPr="003100C3" w:rsidRDefault="003100C3" w:rsidP="003100C3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directae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utiles</w:t>
      </w:r>
      <w:proofErr w:type="spellEnd"/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directae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islo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 praxi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zauzivane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vseobecne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zname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pricom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mohlo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ist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 civilne ako aj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pretorske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tvoriace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relativne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stabilnu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skalu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procesnych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prostriedkov na ochranu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Aplikovali sa pri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standardnych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skutkovych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podstatach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vyplyvajucich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zo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zauzivanych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institutov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utiles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tieto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vytvaral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pretor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podla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vzoru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uvedenych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priamych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za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ucelom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ochrany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novych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vztahov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takze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rozsirenej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alebo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zmenej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skutkovej podstate sa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tymto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sposobom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priznavala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obdobna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ochrana ako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povodnej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skutkovej podstate.  </w:t>
      </w:r>
    </w:p>
    <w:p w:rsidR="003100C3" w:rsidRPr="003100C3" w:rsidRDefault="003100C3" w:rsidP="003100C3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</w:pP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privatae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populares</w:t>
      </w:r>
      <w:proofErr w:type="spellEnd"/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privatae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sukromne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boli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standarnymi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zalobami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ochranu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sukromnopravnych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narokov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konkretnych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osob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a z toho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vyplyva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aj ich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aktivna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legitimacia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ramec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v ktorom subjekty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nadobudali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pravnenia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nazvyvame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sukromna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autonomia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populares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 boli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obsahujuce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tak prvky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verejneho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resp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vseobecnje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uzitocnosti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ako aj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vyrazny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sukromnopravny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aspokt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Verejnopravny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charakter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tychto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vyplyval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zo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skutocnosti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tieto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sluzili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ochranu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vseobecneho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zaujmu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Aktivne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legitimovany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(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)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vsak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mohol byt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ktokolvek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Teda na strane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vystupovala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sukromna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osob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obhajujuca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vsak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verejny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zaujem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 </w:t>
      </w:r>
    </w:p>
    <w:p w:rsidR="003100C3" w:rsidRPr="003100C3" w:rsidRDefault="003100C3" w:rsidP="003100C3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</w:pP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civiles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honorariae</w:t>
      </w:r>
      <w:proofErr w:type="spellEnd"/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civiles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, o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civilnych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mozno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hovorit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pripade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ak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opieral svoje tvrdenie o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civilnu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povinnost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zalovaneho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alebo svoje civilne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teda ak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povinnost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vyplyvala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z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vztahu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ktoreho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zakladom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lastRenderedPageBreak/>
        <w:t xml:space="preserve">bolo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ius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civile. A.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civiles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ktorych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formuly boli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vzdy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in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ius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conceptae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sa opierali o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zakon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predpis so silou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zakona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alebo o normu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obycajoveho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A.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civiles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preberali tvrdenia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ak bolo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mozne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ucelove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zo vzorov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legisakcneho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procesu.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honorariae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delime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: 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u w:val="single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u w:val="single"/>
          <w:lang w:eastAsia="sk-SK"/>
        </w:rPr>
        <w:t xml:space="preserve"> s fikciou</w:t>
      </w:r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-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pretor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zaujmne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spravodlivosti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pouziva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fikciu, ak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chybal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niektory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z predpokladov na poskytnutie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u w:val="single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u w:val="single"/>
          <w:lang w:eastAsia="sk-SK"/>
        </w:rPr>
        <w:t xml:space="preserve"> so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u w:val="single"/>
          <w:lang w:eastAsia="sk-SK"/>
        </w:rPr>
        <w:t>zamenou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u w:val="single"/>
          <w:lang w:eastAsia="sk-SK"/>
        </w:rPr>
        <w:t xml:space="preserve"> subjektov</w:t>
      </w:r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 –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condemnatio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zalobnej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formuly viazala na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inu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osobu ako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intentio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mali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velky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vyznam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pri procesnom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zastupeni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u w:val="single"/>
          <w:lang w:eastAsia="sk-SK"/>
        </w:rPr>
        <w:t xml:space="preserve">A. in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u w:val="single"/>
          <w:lang w:eastAsia="sk-SK"/>
        </w:rPr>
        <w:t>factum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 – predstavovali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kvalitativne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novu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uroven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pretor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vytvoril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uplne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novy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vztah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pretorsky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vztah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pricom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formula mala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intentio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koncipovanu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in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factum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 </w:t>
      </w:r>
    </w:p>
    <w:p w:rsidR="003100C3" w:rsidRPr="003100C3" w:rsidRDefault="003100C3" w:rsidP="003100C3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rei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persecutoriae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poenales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sk-SK"/>
        </w:rPr>
        <w:t>mixtae</w:t>
      </w:r>
      <w:proofErr w:type="spellEnd"/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rei</w:t>
      </w:r>
      <w:proofErr w:type="spellEnd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persecutoriae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to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veci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prenasledujuce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ktore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zalobcovi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sluzili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vymahanie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veci. Zaradujeme sem nielen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standardne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vindikacne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ale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tiez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actiones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ktore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vznikli ex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contractu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teda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typicke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obligacne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pricom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pojem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treba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interpretovat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ako obsah plnenia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pozadovaneho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od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zalovaneho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poenales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pravnou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skutocnostou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aktivnu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legitimaciu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k takejto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bol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sukromny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delikt,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islo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teda o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ex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delicto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ak bol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pachatel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podriadeny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inej osobe,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to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noxalne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cielom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penalnych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bolo potrestanie za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protipravny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cin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 v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pripade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kondemnacneho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rozsudku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povinnost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odsudeneho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zaplatit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vitaznemu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zalobcovi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pokutu.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 xml:space="preserve">A. </w:t>
      </w:r>
      <w:proofErr w:type="spellStart"/>
      <w:r w:rsidRPr="003100C3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  <w:lang w:eastAsia="sk-SK"/>
        </w:rPr>
        <w:t>mixtae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tkz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zmiesane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kumulovali v sebe funkciu oboch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predchadzajucich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typov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patri sem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actio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iudicati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(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exekucna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) 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ktora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znela na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dvojnasobok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a to preto, aby sa spory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zbytocne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nepredlzovali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takze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tymto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sposobom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poriadok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vytvaral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nepriamy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natlak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uz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odsudeneho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aby bez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dalsieho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sobrovolne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splnil rozsudok.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     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(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actio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), ochrana sama sa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uskutocnuje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formalnym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prostriedkom,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ktory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nazyvame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 modernom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chapani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je pritom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abstraktnym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prostriedkom a jej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nalezitosti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urcuje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procesne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moznu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je teda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pouzit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ochranu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akehokolvek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preto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nemusi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kvalifikovat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svoje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ako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zaklad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, to je vecou sudu.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     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Rimske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nazeranie na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je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Vychadzali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z ochrannej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stranky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zdoraznovali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ju,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pricom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vyrazom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oznacovali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rovnako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materialne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ako aj jeho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procesnu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ochranu.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Materialne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praco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videli len cez jeho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uplatnovanie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ochranu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zalobou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Rimska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teda vyjadrovala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vzdy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len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urcite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takze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kazde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malo svoju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     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Rimska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sice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vychadzala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jednostranne od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, ale vrcholila v dohode o spore(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litis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contestatio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), v ktorej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zalovany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pritomnosti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pretora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sa dohodli o rozhodcovi ako aj o tom, za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akych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podmienok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zalovany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suhlasi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aby ho sudca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odsudil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v prospech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zalobcu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Neskor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stratila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zmluvny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charakter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litiskontestacie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stala sa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jednostrannym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aktom na ochranu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subjektivneho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Tym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odclenila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materialna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stranka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od procesnej.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nadobudala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dvojaky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zmysel:ako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procesny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prostriedok a ako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sudne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vymahatelny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narok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</w:t>
      </w:r>
    </w:p>
    <w:p w:rsidR="003100C3" w:rsidRPr="003100C3" w:rsidRDefault="003100C3" w:rsidP="003100C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46464"/>
          <w:sz w:val="18"/>
          <w:szCs w:val="18"/>
          <w:lang w:eastAsia="sk-SK"/>
        </w:rPr>
      </w:pPr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     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delime:osobne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vecne, civilne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pretorske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(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fiktivne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so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zamenou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subjektov, in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factum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prisneho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prava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spocivajuce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dobromyselnosti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arbitrarne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priame a obdobne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meritorne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exekucne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urcovacie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vymahajuce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trestne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zmiesane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,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zakonne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spory a spory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spocivajuce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na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imperiu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, trvale a 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docasne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 xml:space="preserve"> </w:t>
      </w:r>
      <w:proofErr w:type="spellStart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zaloby</w:t>
      </w:r>
      <w:proofErr w:type="spellEnd"/>
      <w:r w:rsidRPr="003100C3">
        <w:rPr>
          <w:rFonts w:asciiTheme="majorHAnsi" w:eastAsia="Times New Roman" w:hAnsiTheme="majorHAnsi" w:cstheme="majorHAnsi"/>
          <w:color w:val="000000"/>
          <w:sz w:val="20"/>
          <w:szCs w:val="20"/>
          <w:lang w:eastAsia="sk-SK"/>
        </w:rPr>
        <w:t>.</w:t>
      </w:r>
    </w:p>
    <w:p w:rsidR="000B0F98" w:rsidRPr="003100C3" w:rsidRDefault="000B0F98" w:rsidP="003100C3">
      <w:pPr>
        <w:rPr>
          <w:rFonts w:asciiTheme="majorHAnsi" w:hAnsiTheme="majorHAnsi" w:cstheme="majorHAnsi"/>
        </w:rPr>
      </w:pPr>
    </w:p>
    <w:sectPr w:rsidR="000B0F98" w:rsidRPr="00310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F02AE"/>
    <w:multiLevelType w:val="multilevel"/>
    <w:tmpl w:val="E698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A5B2E"/>
    <w:multiLevelType w:val="multilevel"/>
    <w:tmpl w:val="59EA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01AFA"/>
    <w:multiLevelType w:val="multilevel"/>
    <w:tmpl w:val="3302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D41BC"/>
    <w:multiLevelType w:val="multilevel"/>
    <w:tmpl w:val="9904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4643A"/>
    <w:multiLevelType w:val="multilevel"/>
    <w:tmpl w:val="BBEC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66108"/>
    <w:multiLevelType w:val="multilevel"/>
    <w:tmpl w:val="8EFA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B5F83"/>
    <w:multiLevelType w:val="multilevel"/>
    <w:tmpl w:val="DFCC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53ECD"/>
    <w:multiLevelType w:val="multilevel"/>
    <w:tmpl w:val="2134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8273E8"/>
    <w:multiLevelType w:val="multilevel"/>
    <w:tmpl w:val="BC2C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6"/>
    </w:lvlOverride>
  </w:num>
  <w:num w:numId="2">
    <w:abstractNumId w:val="3"/>
  </w:num>
  <w:num w:numId="3">
    <w:abstractNumId w:val="7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C3"/>
    <w:rsid w:val="000B0F98"/>
    <w:rsid w:val="003100C3"/>
    <w:rsid w:val="005E74F9"/>
    <w:rsid w:val="00B57025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5D5B"/>
  <w15:chartTrackingRefBased/>
  <w15:docId w15:val="{1646CAB8-D6FF-451F-A2BB-2A1A8F19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31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</cp:revision>
  <dcterms:created xsi:type="dcterms:W3CDTF">2020-05-02T08:59:00Z</dcterms:created>
  <dcterms:modified xsi:type="dcterms:W3CDTF">2020-05-02T09:02:00Z</dcterms:modified>
</cp:coreProperties>
</file>