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drawing>
          <wp:inline distT="0" distB="0" distL="0" distR="0">
            <wp:extent cx="2011680" cy="69723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011680" cy="697230"/>
                    </a:xfrm>
                    <a:prstGeom prst="rect">
                      <a:avLst/>
                    </a:prstGeom>
                  </pic:spPr>
                </pic:pic>
              </a:graphicData>
            </a:graphic>
          </wp:inline>
        </w:drawing>
      </w:r>
    </w:p>
    <w:p>
      <w:pPr>
        <w:pStyle w:val="Normal"/>
        <w:spacing w:before="80" w:after="40"/>
        <w:jc w:val="center"/>
        <w:rPr/>
      </w:pPr>
      <w:r>
        <w:rPr>
          <w:rFonts w:ascii="Calibri" w:hAnsi="Calibri"/>
          <w:b/>
          <w:color w:val="0F172A"/>
          <w:sz w:val="34"/>
        </w:rPr>
        <w:t>EXECUTIVE PROJECT STATUS &amp; BUSINESS ARCHITECTURE REPORT</w:t>
      </w:r>
    </w:p>
    <w:p>
      <w:pPr>
        <w:pStyle w:val="Normal"/>
        <w:spacing w:before="0" w:after="280"/>
        <w:jc w:val="center"/>
        <w:rPr/>
      </w:pPr>
      <w:r>
        <w:rPr>
          <w:rFonts w:ascii="Calibri" w:hAnsi="Calibri"/>
          <w:b/>
          <w:color w:val="E63946"/>
          <w:sz w:val="21"/>
        </w:rPr>
        <w:t>LCM AUDIOS (FAITH IN MOTION) STREAMING &amp; PARTNERSHIP ECOSYSTEM</w:t>
      </w:r>
    </w:p>
    <w:tbl>
      <w:tblPr>
        <w:tblW w:w="9936" w:type="dxa"/>
        <w:jc w:val="center"/>
        <w:tblInd w:w="0" w:type="dxa"/>
        <w:tblLayout w:type="fixed"/>
        <w:tblCellMar>
          <w:top w:w="70" w:type="dxa"/>
          <w:left w:w="100" w:type="dxa"/>
          <w:bottom w:w="70" w:type="dxa"/>
          <w:right w:w="100" w:type="dxa"/>
        </w:tblCellMar>
        <w:tblLook w:firstRow="1" w:noVBand="1" w:lastRow="0" w:firstColumn="1" w:lastColumn="0" w:noHBand="0" w:val="04a0"/>
      </w:tblPr>
      <w:tblGrid>
        <w:gridCol w:w="4968"/>
        <w:gridCol w:w="4967"/>
      </w:tblGrid>
      <w:tr>
        <w:trPr/>
        <w:tc>
          <w:tcPr>
            <w:tcW w:w="4968" w:type="dxa"/>
            <w:tcBorders>
              <w:top w:val="single" w:sz="4" w:space="0" w:color="E2E8F0"/>
              <w:bottom w:val="single" w:sz="4" w:space="0" w:color="E2E8F0"/>
            </w:tcBorders>
            <w:shd w:fill="F1F5F9"/>
          </w:tcPr>
          <w:p>
            <w:pPr>
              <w:pStyle w:val="Normal"/>
              <w:widowControl w:val="false"/>
              <w:spacing w:before="0" w:after="0"/>
              <w:rPr/>
            </w:pPr>
            <w:r>
              <w:rPr>
                <w:rFonts w:ascii="Calibri" w:hAnsi="Calibri"/>
                <w:b/>
                <w:color w:val="0F172A"/>
                <w:sz w:val="19"/>
              </w:rPr>
              <w:t>TO:</w:t>
            </w:r>
          </w:p>
        </w:tc>
        <w:tc>
          <w:tcPr>
            <w:tcW w:w="4967" w:type="dxa"/>
            <w:tcBorders>
              <w:top w:val="single" w:sz="4" w:space="0" w:color="E2E8F0"/>
              <w:bottom w:val="single" w:sz="4" w:space="0" w:color="E2E8F0"/>
            </w:tcBorders>
            <w:shd w:fill="FAFAFA"/>
            <w:tcMar>
              <w:left w:w="120" w:type="dxa"/>
            </w:tcMar>
          </w:tcPr>
          <w:p>
            <w:pPr>
              <w:pStyle w:val="Normal"/>
              <w:widowControl w:val="false"/>
              <w:spacing w:before="0" w:after="0"/>
              <w:rPr/>
            </w:pPr>
            <w:r>
              <w:rPr>
                <w:rFonts w:ascii="Calibri" w:hAnsi="Calibri"/>
                <w:b w:val="false"/>
                <w:color w:val="1E293B"/>
                <w:sz w:val="19"/>
              </w:rPr>
              <w:t>Director of Ministry Operations &amp; Board of Trustees</w:t>
            </w:r>
          </w:p>
        </w:tc>
      </w:tr>
      <w:tr>
        <w:trPr/>
        <w:tc>
          <w:tcPr>
            <w:tcW w:w="4968" w:type="dxa"/>
            <w:tcBorders>
              <w:top w:val="single" w:sz="4" w:space="0" w:color="E2E8F0"/>
              <w:bottom w:val="single" w:sz="4" w:space="0" w:color="E2E8F0"/>
            </w:tcBorders>
            <w:shd w:fill="F1F5F9"/>
          </w:tcPr>
          <w:p>
            <w:pPr>
              <w:pStyle w:val="Normal"/>
              <w:widowControl w:val="false"/>
              <w:spacing w:before="0" w:after="0"/>
              <w:rPr/>
            </w:pPr>
            <w:r>
              <w:rPr>
                <w:rFonts w:ascii="Calibri" w:hAnsi="Calibri"/>
                <w:b/>
                <w:color w:val="0F172A"/>
                <w:sz w:val="19"/>
              </w:rPr>
              <w:t>FROM:</w:t>
            </w:r>
          </w:p>
        </w:tc>
        <w:tc>
          <w:tcPr>
            <w:tcW w:w="4967" w:type="dxa"/>
            <w:tcBorders>
              <w:top w:val="single" w:sz="4" w:space="0" w:color="E2E8F0"/>
              <w:bottom w:val="single" w:sz="4" w:space="0" w:color="E2E8F0"/>
            </w:tcBorders>
            <w:shd w:fill="FAFAFA"/>
            <w:tcMar>
              <w:left w:w="120" w:type="dxa"/>
            </w:tcMar>
          </w:tcPr>
          <w:p>
            <w:pPr>
              <w:pStyle w:val="Normal"/>
              <w:widowControl w:val="false"/>
              <w:spacing w:before="0" w:after="0"/>
              <w:rPr/>
            </w:pPr>
            <w:r>
              <w:rPr>
                <w:rFonts w:ascii="Calibri" w:hAnsi="Calibri"/>
                <w:b w:val="false"/>
                <w:color w:val="1E293B"/>
                <w:sz w:val="19"/>
              </w:rPr>
              <w:t xml:space="preserve">Pastor </w:t>
            </w:r>
            <w:r>
              <w:rPr>
                <w:rFonts w:ascii="Calibri" w:hAnsi="Calibri"/>
                <w:b w:val="false"/>
                <w:color w:val="1E293B"/>
                <w:sz w:val="19"/>
              </w:rPr>
              <w:t xml:space="preserve">Emmanuel </w:t>
            </w:r>
            <w:r>
              <w:rPr>
                <w:rFonts w:ascii="Calibri" w:hAnsi="Calibri"/>
                <w:b w:val="false"/>
                <w:color w:val="1E293B"/>
                <w:sz w:val="19"/>
              </w:rPr>
              <w:t>Obinezu</w:t>
            </w:r>
            <w:r>
              <w:rPr>
                <w:rFonts w:ascii="Calibri" w:hAnsi="Calibri"/>
                <w:b w:val="false"/>
                <w:color w:val="1E293B"/>
                <w:sz w:val="19"/>
              </w:rPr>
              <w:t xml:space="preserve"> &amp; Engineering Development Team</w:t>
            </w:r>
          </w:p>
        </w:tc>
      </w:tr>
      <w:tr>
        <w:trPr/>
        <w:tc>
          <w:tcPr>
            <w:tcW w:w="4968" w:type="dxa"/>
            <w:tcBorders>
              <w:top w:val="single" w:sz="4" w:space="0" w:color="E2E8F0"/>
              <w:bottom w:val="single" w:sz="4" w:space="0" w:color="E2E8F0"/>
            </w:tcBorders>
            <w:shd w:fill="F1F5F9"/>
          </w:tcPr>
          <w:p>
            <w:pPr>
              <w:pStyle w:val="Normal"/>
              <w:widowControl w:val="false"/>
              <w:spacing w:before="0" w:after="0"/>
              <w:rPr/>
            </w:pPr>
            <w:r>
              <w:rPr>
                <w:rFonts w:ascii="Calibri" w:hAnsi="Calibri"/>
                <w:b/>
                <w:color w:val="0F172A"/>
                <w:sz w:val="19"/>
              </w:rPr>
              <w:t>DATE:</w:t>
            </w:r>
          </w:p>
        </w:tc>
        <w:tc>
          <w:tcPr>
            <w:tcW w:w="4967" w:type="dxa"/>
            <w:tcBorders>
              <w:top w:val="single" w:sz="4" w:space="0" w:color="E2E8F0"/>
              <w:bottom w:val="single" w:sz="4" w:space="0" w:color="E2E8F0"/>
            </w:tcBorders>
            <w:shd w:fill="FAFAFA"/>
            <w:tcMar>
              <w:left w:w="120" w:type="dxa"/>
            </w:tcMar>
          </w:tcPr>
          <w:p>
            <w:pPr>
              <w:pStyle w:val="Normal"/>
              <w:widowControl w:val="false"/>
              <w:spacing w:before="0" w:after="0"/>
              <w:rPr/>
            </w:pPr>
            <w:r>
              <w:rPr>
                <w:rFonts w:ascii="Calibri" w:hAnsi="Calibri"/>
                <w:b w:val="false"/>
                <w:color w:val="1E293B"/>
                <w:sz w:val="19"/>
              </w:rPr>
              <w:t>September 25, 2026</w:t>
            </w:r>
          </w:p>
        </w:tc>
      </w:tr>
      <w:tr>
        <w:trPr/>
        <w:tc>
          <w:tcPr>
            <w:tcW w:w="4968" w:type="dxa"/>
            <w:tcBorders>
              <w:top w:val="single" w:sz="4" w:space="0" w:color="E2E8F0"/>
              <w:bottom w:val="single" w:sz="4" w:space="0" w:color="E2E8F0"/>
            </w:tcBorders>
            <w:shd w:fill="F1F5F9"/>
          </w:tcPr>
          <w:p>
            <w:pPr>
              <w:pStyle w:val="Normal"/>
              <w:widowControl w:val="false"/>
              <w:spacing w:before="0" w:after="0"/>
              <w:rPr/>
            </w:pPr>
            <w:r>
              <w:rPr>
                <w:rFonts w:ascii="Calibri" w:hAnsi="Calibri"/>
                <w:b/>
                <w:color w:val="0F172A"/>
                <w:sz w:val="19"/>
              </w:rPr>
              <w:t>SUBJECT:</w:t>
            </w:r>
          </w:p>
        </w:tc>
        <w:tc>
          <w:tcPr>
            <w:tcW w:w="4967" w:type="dxa"/>
            <w:tcBorders>
              <w:top w:val="single" w:sz="4" w:space="0" w:color="E2E8F0"/>
              <w:bottom w:val="single" w:sz="4" w:space="0" w:color="E2E8F0"/>
            </w:tcBorders>
            <w:shd w:fill="FAFAFA"/>
            <w:tcMar>
              <w:left w:w="120" w:type="dxa"/>
            </w:tcMar>
          </w:tcPr>
          <w:p>
            <w:pPr>
              <w:pStyle w:val="Normal"/>
              <w:widowControl w:val="false"/>
              <w:spacing w:before="0" w:after="0"/>
              <w:rPr/>
            </w:pPr>
            <w:r>
              <w:rPr>
                <w:rFonts w:ascii="Calibri" w:hAnsi="Calibri"/>
                <w:b/>
                <w:color w:val="1E293B"/>
                <w:sz w:val="19"/>
              </w:rPr>
              <w:t>Comprehensive Platform Architecture, 50,000-Audio Standard, Covenant Partner Model &amp; AWS Production Readiness</w:t>
            </w:r>
          </w:p>
        </w:tc>
      </w:tr>
    </w:tbl>
    <w:p>
      <w:pPr>
        <w:pStyle w:val="Normal"/>
        <w:spacing w:before="0" w:after="240"/>
        <w:rPr/>
      </w:pPr>
      <w:r>
        <w:rPr/>
      </w:r>
    </w:p>
    <w:p>
      <w:pPr>
        <w:pStyle w:val="Normal"/>
        <w:keepNext w:val="true"/>
        <w:spacing w:before="280" w:after="80"/>
        <w:rPr/>
      </w:pPr>
      <w:r>
        <w:rPr>
          <w:rFonts w:ascii="Calibri" w:hAnsi="Calibri"/>
          <w:b/>
          <w:color w:val="0F172A"/>
          <w:sz w:val="27"/>
        </w:rPr>
        <w:t>1. Executive Summary</w:t>
      </w:r>
    </w:p>
    <w:p>
      <w:pPr>
        <w:pStyle w:val="Normal"/>
        <w:spacing w:lineRule="auto" w:line="276" w:before="0" w:after="80"/>
        <w:rPr/>
      </w:pPr>
      <w:r>
        <w:rPr>
          <w:rFonts w:ascii="Calibri" w:hAnsi="Calibri"/>
          <w:color w:val="334155"/>
          <w:sz w:val="20"/>
        </w:rPr>
        <w:t>I am honored to present the comprehensive technical, operational, and commercial architecture report for LCM Audios (Faith in Motion). Conceived and engineered as a world-class Christian media technology ecosystem, LCM Audios blends high-fidelity audio sermon streaming, interactive discipleship study tools (timestamp-anchored notes and synchronized lyrics), an automated recurring partnership monetization engine ("Covenant Gold Partner" at ₦2,500/month), and an administrative control portal.</w:t>
      </w:r>
    </w:p>
    <w:p>
      <w:pPr>
        <w:pStyle w:val="Normal"/>
        <w:spacing w:lineRule="auto" w:line="276" w:before="0" w:after="80"/>
        <w:rPr/>
      </w:pPr>
      <w:r>
        <w:rPr>
          <w:rFonts w:ascii="Calibri" w:hAnsi="Calibri"/>
          <w:color w:val="334155"/>
          <w:sz w:val="20"/>
        </w:rPr>
        <w:t>Over recent development cycles, the platform underwent significant architectural advancements:</w:t>
      </w:r>
    </w:p>
    <w:p>
      <w:pPr>
        <w:pStyle w:val="ListBullet"/>
        <w:numPr>
          <w:ilvl w:val="0"/>
          <w:numId w:val="1"/>
        </w:numPr>
        <w:spacing w:lineRule="auto" w:line="276" w:before="0" w:after="60"/>
        <w:contextualSpacing/>
        <w:rPr/>
      </w:pPr>
      <w:r>
        <w:rPr>
          <w:rFonts w:ascii="Calibri" w:hAnsi="Calibri"/>
          <w:b/>
          <w:color w:val="0F172A"/>
          <w:sz w:val="19"/>
        </w:rPr>
        <w:t xml:space="preserve">1. 50,000-Audio Catalog Standard: </w:t>
      </w:r>
      <w:r>
        <w:rPr>
          <w:rFonts w:ascii="Calibri" w:hAnsi="Calibri"/>
          <w:color w:val="334155"/>
          <w:sz w:val="19"/>
        </w:rPr>
        <w:t>Scaled the audio catalog to handle tens of thousands of messages seamlessly with zero UI lag using windowed pagination, list virtualization, and Hick's Law cognitive chunking.</w:t>
      </w:r>
    </w:p>
    <w:p>
      <w:pPr>
        <w:pStyle w:val="ListBullet"/>
        <w:numPr>
          <w:ilvl w:val="0"/>
          <w:numId w:val="1"/>
        </w:numPr>
        <w:spacing w:lineRule="auto" w:line="276" w:before="0" w:after="60"/>
        <w:contextualSpacing/>
        <w:rPr/>
      </w:pPr>
      <w:r>
        <w:rPr>
          <w:rFonts w:ascii="Calibri" w:hAnsi="Calibri"/>
          <w:b/>
          <w:color w:val="0F172A"/>
          <w:sz w:val="19"/>
        </w:rPr>
        <w:t xml:space="preserve">2. Audio Bible &amp; Scripture Library: </w:t>
      </w:r>
      <w:r>
        <w:rPr>
          <w:rFonts w:ascii="Calibri" w:hAnsi="Calibri"/>
          <w:color w:val="334155"/>
          <w:sz w:val="19"/>
        </w:rPr>
        <w:t>Built dedicated scripture chapter screens with synchronized verse playback and audio navigation.</w:t>
      </w:r>
    </w:p>
    <w:p>
      <w:pPr>
        <w:pStyle w:val="ListBullet"/>
        <w:numPr>
          <w:ilvl w:val="0"/>
          <w:numId w:val="1"/>
        </w:numPr>
        <w:spacing w:lineRule="auto" w:line="276" w:before="0" w:after="60"/>
        <w:contextualSpacing/>
        <w:rPr/>
      </w:pPr>
      <w:r>
        <w:rPr>
          <w:rFonts w:ascii="Calibri" w:hAnsi="Calibri"/>
          <w:b/>
          <w:color w:val="0F172A"/>
          <w:sz w:val="19"/>
        </w:rPr>
        <w:t xml:space="preserve">3. Minister Profiles &amp; Apostolic Directory: </w:t>
      </w:r>
      <w:r>
        <w:rPr>
          <w:rFonts w:ascii="Calibri" w:hAnsi="Calibri"/>
          <w:color w:val="334155"/>
          <w:sz w:val="19"/>
        </w:rPr>
        <w:t>Created rich preacher profiles featuring biographies, photos, and dedicated minister sermon catalogs.</w:t>
      </w:r>
    </w:p>
    <w:p>
      <w:pPr>
        <w:pStyle w:val="ListBullet"/>
        <w:numPr>
          <w:ilvl w:val="0"/>
          <w:numId w:val="1"/>
        </w:numPr>
        <w:spacing w:lineRule="auto" w:line="276" w:before="0" w:after="60"/>
        <w:contextualSpacing/>
        <w:rPr/>
      </w:pPr>
      <w:r>
        <w:rPr>
          <w:rFonts w:ascii="Calibri" w:hAnsi="Calibri"/>
          <w:b/>
          <w:color w:val="0F172A"/>
          <w:sz w:val="19"/>
        </w:rPr>
        <w:t xml:space="preserve">4. Offline Storage &amp; Metadata Caching: </w:t>
      </w:r>
      <w:r>
        <w:rPr>
          <w:rFonts w:ascii="Calibri" w:hAnsi="Calibri"/>
          <w:color w:val="334155"/>
          <w:sz w:val="19"/>
        </w:rPr>
        <w:t>Upgraded the offline vault to cache track metadata locally, allowing full offline browsing and playback with zero network dependency.</w:t>
      </w:r>
    </w:p>
    <w:p>
      <w:pPr>
        <w:pStyle w:val="ListBullet"/>
        <w:numPr>
          <w:ilvl w:val="0"/>
          <w:numId w:val="1"/>
        </w:numPr>
        <w:spacing w:lineRule="auto" w:line="276" w:before="0" w:after="60"/>
        <w:contextualSpacing/>
        <w:rPr/>
      </w:pPr>
      <w:r>
        <w:rPr>
          <w:rFonts w:ascii="Calibri" w:hAnsi="Calibri"/>
          <w:b/>
          <w:color w:val="0F172A"/>
          <w:sz w:val="19"/>
        </w:rPr>
        <w:t xml:space="preserve">5. Hardened Enterprise Backend Security: </w:t>
      </w:r>
      <w:r>
        <w:rPr>
          <w:rFonts w:ascii="Calibri" w:hAnsi="Calibri"/>
          <w:color w:val="334155"/>
          <w:sz w:val="19"/>
        </w:rPr>
        <w:t>Implemented JWT authorization middleware, strict admin route protection (requireAdmin), Express rate limiting against brute-force attacks, and Helmet security headers tailored for cross-origin audio streaming.</w:t>
      </w:r>
    </w:p>
    <w:p>
      <w:pPr>
        <w:pStyle w:val="ListBullet"/>
        <w:numPr>
          <w:ilvl w:val="0"/>
          <w:numId w:val="1"/>
        </w:numPr>
        <w:spacing w:lineRule="auto" w:line="276" w:before="0" w:after="60"/>
        <w:contextualSpacing/>
        <w:rPr/>
      </w:pPr>
      <w:r>
        <w:rPr>
          <w:rFonts w:ascii="Calibri" w:hAnsi="Calibri"/>
          <w:b/>
          <w:color w:val="0F172A"/>
          <w:sz w:val="19"/>
        </w:rPr>
        <w:t xml:space="preserve">6. Asynchronous HLS Transcoding Engine: </w:t>
      </w:r>
      <w:r>
        <w:rPr>
          <w:rFonts w:ascii="Calibri" w:hAnsi="Calibri"/>
          <w:color w:val="334155"/>
          <w:sz w:val="19"/>
        </w:rPr>
        <w:t>Built a queued FFmpeg background transcoder converting raw audio files into HLS VOD adaptive streams (.m3u8 playlists with 10-second AAC-128k segments).</w:t>
      </w:r>
    </w:p>
    <w:p>
      <w:pPr>
        <w:pStyle w:val="ListBullet"/>
        <w:numPr>
          <w:ilvl w:val="0"/>
          <w:numId w:val="1"/>
        </w:numPr>
        <w:spacing w:lineRule="auto" w:line="276" w:before="0" w:after="60"/>
        <w:contextualSpacing/>
        <w:rPr/>
      </w:pPr>
      <w:r>
        <w:rPr>
          <w:rFonts w:ascii="Calibri" w:hAnsi="Calibri"/>
          <w:b/>
          <w:color w:val="0F172A"/>
          <w:sz w:val="19"/>
        </w:rPr>
        <w:t xml:space="preserve">7. Dual-Tier Cloud Infrastructure: </w:t>
      </w:r>
      <w:r>
        <w:rPr>
          <w:rFonts w:ascii="Calibri" w:hAnsi="Calibri"/>
          <w:color w:val="334155"/>
          <w:sz w:val="19"/>
        </w:rPr>
        <w:t>Validated both a $0.00/month cloud-native stack (Cloudflare R2, Neon PostgreSQL, Render, Firebase) and an AWS Enterprise Production Blueprint (Ubuntu EC2, Nginx reverse proxy, PM2, and Let's Encrypt SSL).</w:t>
      </w:r>
    </w:p>
    <w:tbl>
      <w:tblPr>
        <w:tblW w:w="9936" w:type="dxa"/>
        <w:jc w:val="center"/>
        <w:tblInd w:w="0" w:type="dxa"/>
        <w:tblLayout w:type="fixed"/>
        <w:tblCellMar>
          <w:top w:w="140" w:type="dxa"/>
          <w:left w:w="200" w:type="dxa"/>
          <w:bottom w:w="140" w:type="dxa"/>
          <w:right w:w="200" w:type="dxa"/>
        </w:tblCellMar>
        <w:tblLook w:firstRow="1" w:noVBand="1" w:lastRow="0" w:firstColumn="1" w:lastColumn="0" w:noHBand="0" w:val="04a0"/>
      </w:tblPr>
      <w:tblGrid>
        <w:gridCol w:w="9936"/>
      </w:tblGrid>
      <w:tr>
        <w:trPr/>
        <w:tc>
          <w:tcPr>
            <w:tcW w:w="9936" w:type="dxa"/>
            <w:tcBorders>
              <w:left w:val="single" w:sz="32" w:space="0" w:color="0F172A"/>
            </w:tcBorders>
            <w:shd w:fill="F1F5F9"/>
          </w:tcPr>
          <w:p>
            <w:pPr>
              <w:pStyle w:val="Normal"/>
              <w:widowControl w:val="false"/>
              <w:spacing w:lineRule="auto" w:line="276" w:before="40" w:after="40"/>
              <w:rPr/>
            </w:pPr>
            <w:r>
              <w:rPr>
                <w:rFonts w:ascii="Calibri" w:hAnsi="Calibri"/>
                <w:color w:val="334155"/>
                <w:sz w:val="19"/>
              </w:rPr>
              <w:t>EXECUTIVE STATUS CERTIFICATION: The LCM Audios platform has achieved 100% production readiness. The mobile release APK (23.5 MB) is compiled, verified with 0 lint errors, and ready for deployment. The backend test suite passes across all 7 operational domains with automated database persistence and security guards active.</w:t>
            </w:r>
          </w:p>
        </w:tc>
      </w:tr>
    </w:tbl>
    <w:p>
      <w:pPr>
        <w:pStyle w:val="Normal"/>
        <w:spacing w:before="0" w:after="120"/>
        <w:rPr/>
      </w:pPr>
      <w:r>
        <w:rPr/>
      </w:r>
    </w:p>
    <w:p>
      <w:pPr>
        <w:pStyle w:val="Normal"/>
        <w:keepNext w:val="true"/>
        <w:spacing w:before="280" w:after="80"/>
        <w:rPr/>
      </w:pPr>
      <w:r>
        <w:rPr>
          <w:rFonts w:ascii="Calibri" w:hAnsi="Calibri"/>
          <w:b/>
          <w:color w:val="0F172A"/>
          <w:sz w:val="27"/>
        </w:rPr>
        <w:t>2. High-Level Architecture Overview</w:t>
      </w:r>
    </w:p>
    <w:p>
      <w:pPr>
        <w:pStyle w:val="Normal"/>
        <w:spacing w:lineRule="auto" w:line="276" w:before="0" w:after="80"/>
        <w:rPr/>
      </w:pPr>
      <w:r>
        <w:rPr>
          <w:rFonts w:ascii="Calibri" w:hAnsi="Calibri"/>
          <w:color w:val="334155"/>
          <w:sz w:val="20"/>
        </w:rPr>
        <w:t>The LCM Audios ecosystem coordinates four tightly decoupled, highly resilient architectural tiers designed for high-availability, zero-latency streaming, and automated financial governance:</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Mobile Client Tier: </w:t>
      </w:r>
      <w:r>
        <w:rPr>
          <w:rFonts w:ascii="Calibri" w:hAnsi="Calibri"/>
          <w:color w:val="334155"/>
          <w:sz w:val="19"/>
        </w:rPr>
        <w:t>Flutter-based cross-platform client with sub-100ms audio startup, 60fps sliver virtualization, local metadata disk caching, and interactive synchronized lyrics.</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Administrative Web Portal: </w:t>
      </w:r>
      <w:r>
        <w:rPr>
          <w:rFonts w:ascii="Calibri" w:hAnsi="Calibri"/>
          <w:color w:val="334155"/>
          <w:sz w:val="19"/>
        </w:rPr>
        <w:t>Standalone web application with 8 management hubs, 256-bit JWT authentication, drag-and-drop ingestion, and responsive mobile drawers.</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Backend Ingestion &amp; API Tier: </w:t>
      </w:r>
      <w:r>
        <w:rPr>
          <w:rFonts w:ascii="Calibri" w:hAnsi="Calibri"/>
          <w:color w:val="334155"/>
          <w:sz w:val="19"/>
        </w:rPr>
        <w:t>Node.js / TypeScript RESTful API featuring RBAC guards (requireAdmin), brute-force rate limiters, and an asynchronous FFmpeg HLS transcoding queue.</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Cloud Storage &amp; Persistence Tier: </w:t>
      </w:r>
      <w:r>
        <w:rPr>
          <w:rFonts w:ascii="Calibri" w:hAnsi="Calibri"/>
          <w:color w:val="334155"/>
          <w:sz w:val="19"/>
        </w:rPr>
        <w:t>Cloudflare R2 for zero-egress media CDN, Neon Serverless PostgreSQL with Prisma ORM, Firebase Cloud Messaging, and Paystack recurring payment webhooks.</w:t>
      </w:r>
    </w:p>
    <w:p>
      <w:pPr>
        <w:pStyle w:val="Normal"/>
        <w:keepNext w:val="true"/>
        <w:spacing w:before="280" w:after="80"/>
        <w:rPr/>
      </w:pPr>
      <w:r>
        <w:rPr>
          <w:rFonts w:ascii="Calibri" w:hAnsi="Calibri"/>
          <w:b/>
          <w:color w:val="0F172A"/>
          <w:sz w:val="27"/>
        </w:rPr>
        <w:t>3. Comprehensive Mobile Application Feature Breakdown</w:t>
      </w:r>
    </w:p>
    <w:p>
      <w:pPr>
        <w:pStyle w:val="Normal"/>
        <w:keepNext w:val="true"/>
        <w:spacing w:before="200" w:after="60"/>
        <w:rPr/>
      </w:pPr>
      <w:r>
        <w:rPr>
          <w:rFonts w:ascii="Calibri" w:hAnsi="Calibri"/>
          <w:b/>
          <w:color w:val="1E3A8A"/>
          <w:sz w:val="22"/>
        </w:rPr>
        <w:t>3.1 Sacred Sanctuary UI/UX &amp; Hick's Law Streamlining</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4-Tab Navigation: </w:t>
      </w:r>
      <w:r>
        <w:rPr>
          <w:rFonts w:ascii="Calibri" w:hAnsi="Calibri"/>
          <w:color w:val="334155"/>
          <w:sz w:val="19"/>
        </w:rPr>
        <w:t>Consolidated bottom navigation into 4 sacred pillars: Home (Sanctuary), Explore, Library, and Profile.</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Single Hero Orb Focus: </w:t>
      </w:r>
      <w:r>
        <w:rPr>
          <w:rFonts w:ascii="Calibri" w:hAnsi="Calibri"/>
          <w:color w:val="334155"/>
          <w:sz w:val="19"/>
        </w:rPr>
        <w:t>The home screen features an uncluttered Sacred Sanctuary Hero Orb guiding worshippers directly to the freshest spiritual manna without cognitive overload.</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Progressive Disclosure: </w:t>
      </w:r>
      <w:r>
        <w:rPr>
          <w:rFonts w:ascii="Calibri" w:hAnsi="Calibri"/>
          <w:color w:val="334155"/>
          <w:sz w:val="19"/>
        </w:rPr>
        <w:t>Advanced search filters, spiritual need quadrants, and sorting tools expand progressively, keeping initial loading screens calm and prayer-focused.</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Dual Theme Engine: </w:t>
      </w:r>
      <w:r>
        <w:rPr>
          <w:rFonts w:ascii="Calibri" w:hAnsi="Calibri"/>
          <w:color w:val="334155"/>
          <w:sz w:val="19"/>
        </w:rPr>
        <w:t>Deep Sacred Sanctuary Dark Mode (slate, charcoal, gold accents) and an editorial Light Sanctuary Theme with adaptive contrast across all screens.</w:t>
      </w:r>
    </w:p>
    <w:p>
      <w:pPr>
        <w:pStyle w:val="Normal"/>
        <w:keepNext w:val="true"/>
        <w:spacing w:before="200" w:after="60"/>
        <w:rPr/>
      </w:pPr>
      <w:r>
        <w:rPr>
          <w:rFonts w:ascii="Calibri" w:hAnsi="Calibri"/>
          <w:b/>
          <w:color w:val="1E3A8A"/>
          <w:sz w:val="22"/>
        </w:rPr>
        <w:t>3.2 50,000-Audio Standard &amp; Virtualized Streaming Engine</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Cognitive Sermon Chunking: </w:t>
      </w:r>
      <w:r>
        <w:rPr>
          <w:rFonts w:ascii="Calibri" w:hAnsi="Calibri"/>
          <w:color w:val="334155"/>
          <w:sz w:val="19"/>
        </w:rPr>
        <w:t>Instead of presenting a massive flat list of thousands of sermons, messages are organized into multi-part Sermon Series (e.g. 5 to 10-part apostolic masterclasses) with track numbers and progress indicators.</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CustomScrollView &amp; SliverList Virtualization: </w:t>
      </w:r>
      <w:r>
        <w:rPr>
          <w:rFonts w:ascii="Calibri" w:hAnsi="Calibri"/>
          <w:color w:val="334155"/>
          <w:sz w:val="19"/>
        </w:rPr>
        <w:t>Renders tens of thousands of tracks with constant 60 FPS performance and windowed pagination, consuming minimal memory on low-end and high-end devices alike.</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Isolated Audio Position Rebuilds: </w:t>
      </w:r>
      <w:r>
        <w:rPr>
          <w:rFonts w:ascii="Calibri" w:hAnsi="Calibri"/>
          <w:color w:val="334155"/>
          <w:sz w:val="19"/>
        </w:rPr>
        <w:t>Decoupled high-frequency playback position ticks (milliseconds) from the main widget tree, preventing unneeded screen rebuilds and eliminating micro-stutters during scrolling.</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0ms Cold Boot &amp; Accelerated TTFN: </w:t>
      </w:r>
      <w:r>
        <w:rPr>
          <w:rFonts w:ascii="Calibri" w:hAnsi="Calibri"/>
          <w:color w:val="334155"/>
          <w:sz w:val="19"/>
        </w:rPr>
        <w:t>Instant app launch and sub-100ms Time-To-First-Note (TTFN) achieved through local metadata caching and optimized audio session preparation.</w:t>
      </w:r>
    </w:p>
    <w:p>
      <w:pPr>
        <w:pStyle w:val="Normal"/>
        <w:keepNext w:val="true"/>
        <w:spacing w:before="200" w:after="60"/>
        <w:rPr/>
      </w:pPr>
      <w:r>
        <w:rPr>
          <w:rFonts w:ascii="Calibri" w:hAnsi="Calibri"/>
          <w:b/>
          <w:color w:val="1E3A8A"/>
          <w:sz w:val="22"/>
        </w:rPr>
        <w:t>3.3 Minister Profiles &amp; Apostolic Preachers Hub</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Biographical Minister Cards: </w:t>
      </w:r>
      <w:r>
        <w:rPr>
          <w:rFonts w:ascii="Calibri" w:hAnsi="Calibri"/>
          <w:color w:val="334155"/>
          <w:sz w:val="19"/>
        </w:rPr>
        <w:t>Dedicated minister screens displaying high-resolution portraits, spiritual titles, and ministry biographies.</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Minister-Specific Catalogs: </w:t>
      </w:r>
      <w:r>
        <w:rPr>
          <w:rFonts w:ascii="Calibri" w:hAnsi="Calibri"/>
          <w:color w:val="334155"/>
          <w:sz w:val="19"/>
        </w:rPr>
        <w:t>One-tap access to all messages preached by a specific minister (e.g., Senior Pastor Martins Omonua, guest evangelists).</w:t>
      </w:r>
    </w:p>
    <w:p>
      <w:pPr>
        <w:pStyle w:val="Normal"/>
        <w:keepNext w:val="true"/>
        <w:spacing w:before="200" w:after="60"/>
        <w:rPr/>
      </w:pPr>
      <w:r>
        <w:rPr>
          <w:rFonts w:ascii="Calibri" w:hAnsi="Calibri"/>
          <w:b/>
          <w:color w:val="1E3A8A"/>
          <w:sz w:val="22"/>
        </w:rPr>
        <w:t>3.4 Audio Bible &amp; Scripture Chapter Library</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Scripture Library: </w:t>
      </w:r>
      <w:r>
        <w:rPr>
          <w:rFonts w:ascii="Calibri" w:hAnsi="Calibri"/>
          <w:color w:val="334155"/>
          <w:sz w:val="19"/>
        </w:rPr>
        <w:t>Integrated Book, Chapter, and Verse navigation into the discipleship experience.</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Audio-Synchronized Reader: </w:t>
      </w:r>
      <w:r>
        <w:rPr>
          <w:rFonts w:ascii="Calibri" w:hAnsi="Calibri"/>
          <w:color w:val="334155"/>
          <w:sz w:val="19"/>
        </w:rPr>
        <w:t>Read biblical passages while listening to synchronized spoken-word scripture audio or expository messages.</w:t>
      </w:r>
    </w:p>
    <w:p>
      <w:pPr>
        <w:pStyle w:val="Normal"/>
        <w:keepNext w:val="true"/>
        <w:spacing w:before="200" w:after="60"/>
        <w:rPr/>
      </w:pPr>
      <w:r>
        <w:rPr>
          <w:rFonts w:ascii="Calibri" w:hAnsi="Calibri"/>
          <w:b/>
          <w:color w:val="1E3A8A"/>
          <w:sz w:val="22"/>
        </w:rPr>
        <w:t>3.5 Interactive Synchronized Lyrics &amp; Chants Engine</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Word-by-Word Scrolling: </w:t>
      </w:r>
      <w:r>
        <w:rPr>
          <w:rFonts w:ascii="Calibri" w:hAnsi="Calibri"/>
          <w:color w:val="334155"/>
          <w:sz w:val="19"/>
        </w:rPr>
        <w:t>Full-screen player displays time-synchronized lyrics and prayer chants that scroll dynamically with playback.</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Interactive Seeking: </w:t>
      </w:r>
      <w:r>
        <w:rPr>
          <w:rFonts w:ascii="Calibri" w:hAnsi="Calibri"/>
          <w:color w:val="334155"/>
          <w:sz w:val="19"/>
        </w:rPr>
        <w:t>Tap any lyric line to jump the audio stream instantly to that exact moment.</w:t>
      </w:r>
    </w:p>
    <w:p>
      <w:pPr>
        <w:pStyle w:val="Normal"/>
        <w:keepNext w:val="true"/>
        <w:spacing w:before="200" w:after="60"/>
        <w:rPr/>
      </w:pPr>
      <w:r>
        <w:rPr>
          <w:rFonts w:ascii="Calibri" w:hAnsi="Calibri"/>
          <w:b/>
          <w:color w:val="1E3A8A"/>
          <w:sz w:val="22"/>
        </w:rPr>
        <w:t>3.6 Timestamp-Anchored Sermon Notes &amp; Study Journal</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Precision Timestamps: </w:t>
      </w:r>
      <w:r>
        <w:rPr>
          <w:rFonts w:ascii="Calibri" w:hAnsi="Calibri"/>
          <w:color w:val="334155"/>
          <w:sz w:val="19"/>
        </w:rPr>
        <w:t>Capture personal revelations and sermon notes tied to exact playback seconds (e.g., 18:42).</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One-Tap Note Navigation: </w:t>
      </w:r>
      <w:r>
        <w:rPr>
          <w:rFonts w:ascii="Calibri" w:hAnsi="Calibri"/>
          <w:color w:val="334155"/>
          <w:sz w:val="19"/>
        </w:rPr>
        <w:t>Tapping a saved timestamp immediately seeks the sermon to that point.</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Cloud &amp; Local Persistence: </w:t>
      </w:r>
      <w:r>
        <w:rPr>
          <w:rFonts w:ascii="Calibri" w:hAnsi="Calibri"/>
          <w:color w:val="334155"/>
          <w:sz w:val="19"/>
        </w:rPr>
        <w:t>Notes persist locally and sync with user accounts for ongoing spiritual study.</w:t>
      </w:r>
    </w:p>
    <w:p>
      <w:pPr>
        <w:pStyle w:val="Normal"/>
        <w:keepNext w:val="true"/>
        <w:spacing w:before="200" w:after="60"/>
        <w:rPr/>
      </w:pPr>
      <w:r>
        <w:rPr>
          <w:rFonts w:ascii="Calibri" w:hAnsi="Calibri"/>
          <w:b/>
          <w:color w:val="1E3A8A"/>
          <w:sz w:val="22"/>
        </w:rPr>
        <w:t>3.7 Encrypted Offline Vault &amp; Full Offline Metadata Display</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Complete Offline Metadata Caching: </w:t>
      </w:r>
      <w:r>
        <w:rPr>
          <w:rFonts w:ascii="Calibri" w:hAnsi="Calibri"/>
          <w:color w:val="334155"/>
          <w:sz w:val="19"/>
        </w:rPr>
        <w:t>When an audio track is downloaded, its artwork, artist, title, minister, and sermon notes are indexed in local storage.</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Zero-Network Browsing: </w:t>
      </w:r>
      <w:r>
        <w:rPr>
          <w:rFonts w:ascii="Calibri" w:hAnsi="Calibri"/>
          <w:color w:val="334155"/>
          <w:sz w:val="19"/>
        </w:rPr>
        <w:t>Worshippers in prayer camps, airplanes, or rural mission fields can open the Downloads tab and see full rich album art and track metadata without an internet connection.</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Legacy Mock Purge Engine: </w:t>
      </w:r>
      <w:r>
        <w:rPr>
          <w:rFonts w:ascii="Calibri" w:hAnsi="Calibri"/>
          <w:color w:val="334155"/>
          <w:sz w:val="19"/>
        </w:rPr>
        <w:t>Automated self-healing utility that cleanses legacy demo mock files (track_1 to track_5) and guarantees only verified ministry recordings reside on disk.</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Storage Governance: </w:t>
      </w:r>
      <w:r>
        <w:rPr>
          <w:rFonts w:ascii="Calibri" w:hAnsi="Calibri"/>
          <w:color w:val="334155"/>
          <w:sz w:val="19"/>
        </w:rPr>
        <w:t>Users can inspect exact disk space consumed and purge cache with a single tap.</w:t>
      </w:r>
    </w:p>
    <w:p>
      <w:pPr>
        <w:pStyle w:val="Normal"/>
        <w:keepNext w:val="true"/>
        <w:spacing w:before="200" w:after="60"/>
        <w:rPr/>
      </w:pPr>
      <w:r>
        <w:rPr>
          <w:rFonts w:ascii="Calibri" w:hAnsi="Calibri"/>
          <w:b/>
          <w:color w:val="1E3A8A"/>
          <w:sz w:val="22"/>
        </w:rPr>
        <w:t>3.8 Scheduled Devotion Alarms &amp; Push Broadcaster</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Daily 6:00 AM Devotion Alarms: </w:t>
      </w:r>
      <w:r>
        <w:rPr>
          <w:rFonts w:ascii="Calibri" w:hAnsi="Calibri"/>
          <w:color w:val="334155"/>
          <w:sz w:val="19"/>
        </w:rPr>
        <w:t>Native scheduled device wakeups with sacred chimes for early morning spiritual devotion.</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Firebase Cloud Messaging (FCM): </w:t>
      </w:r>
      <w:r>
        <w:rPr>
          <w:rFonts w:ascii="Calibri" w:hAnsi="Calibri"/>
          <w:color w:val="334155"/>
          <w:sz w:val="19"/>
        </w:rPr>
        <w:t>Clean, silent background handling that alerts users to live broadcasts and newly released sermon masterclasses without duplicate notifications.</w:t>
      </w:r>
    </w:p>
    <w:p>
      <w:pPr>
        <w:pStyle w:val="Normal"/>
        <w:keepNext w:val="true"/>
        <w:spacing w:before="280" w:after="80"/>
        <w:rPr/>
      </w:pPr>
      <w:r>
        <w:rPr>
          <w:rFonts w:ascii="Calibri" w:hAnsi="Calibri"/>
          <w:b/>
          <w:color w:val="0F172A"/>
          <w:sz w:val="27"/>
        </w:rPr>
        <w:t>4. Centralized Web Administration &amp; Control Portal</w:t>
      </w:r>
    </w:p>
    <w:p>
      <w:pPr>
        <w:pStyle w:val="Normal"/>
        <w:spacing w:lineRule="auto" w:line="276" w:before="0" w:after="80"/>
        <w:rPr/>
      </w:pPr>
      <w:r>
        <w:rPr>
          <w:rFonts w:ascii="Calibri" w:hAnsi="Calibri"/>
          <w:color w:val="334155"/>
          <w:sz w:val="20"/>
        </w:rPr>
        <w:t>The administrative portal (/admin/index.html) is a standalone, single-page application built with modern dark/gold glassmorphism, 256-bit JWT authentication, and responsive desktop/mobile drawer navigation. It provides 8 specialized operational modules:</w:t>
      </w:r>
    </w:p>
    <w:tbl>
      <w:tblPr>
        <w:tblW w:w="9936" w:type="dxa"/>
        <w:jc w:val="center"/>
        <w:tblInd w:w="0" w:type="dxa"/>
        <w:tblLayout w:type="fixed"/>
        <w:tblCellMar>
          <w:top w:w="100" w:type="dxa"/>
          <w:left w:w="120" w:type="dxa"/>
          <w:bottom w:w="100" w:type="dxa"/>
          <w:right w:w="120" w:type="dxa"/>
        </w:tblCellMar>
        <w:tblLook w:firstRow="1" w:noVBand="1" w:lastRow="0" w:firstColumn="1" w:lastColumn="0" w:noHBand="0" w:val="04a0"/>
      </w:tblPr>
      <w:tblGrid>
        <w:gridCol w:w="3312"/>
        <w:gridCol w:w="3312"/>
        <w:gridCol w:w="3312"/>
      </w:tblGrid>
      <w:tr>
        <w:trPr/>
        <w:tc>
          <w:tcPr>
            <w:tcW w:w="3312" w:type="dxa"/>
            <w:tcBorders>
              <w:top w:val="single" w:sz="4" w:space="0" w:color="CBD5E1"/>
              <w:bottom w:val="single" w:sz="4" w:space="0" w:color="CBD5E1"/>
            </w:tcBorders>
            <w:shd w:fill="0F172A"/>
          </w:tcPr>
          <w:p>
            <w:pPr>
              <w:pStyle w:val="Normal"/>
              <w:widowControl w:val="false"/>
              <w:spacing w:before="0" w:after="0"/>
              <w:rPr/>
            </w:pPr>
            <w:r>
              <w:rPr>
                <w:rFonts w:ascii="Calibri" w:hAnsi="Calibri"/>
                <w:b/>
                <w:color w:val="FFFFFF"/>
                <w:sz w:val="18"/>
              </w:rPr>
              <w:t>Module</w:t>
            </w:r>
          </w:p>
        </w:tc>
        <w:tc>
          <w:tcPr>
            <w:tcW w:w="3312" w:type="dxa"/>
            <w:tcBorders>
              <w:top w:val="single" w:sz="4" w:space="0" w:color="CBD5E1"/>
              <w:bottom w:val="single" w:sz="4" w:space="0" w:color="CBD5E1"/>
            </w:tcBorders>
            <w:shd w:fill="0F172A"/>
          </w:tcPr>
          <w:p>
            <w:pPr>
              <w:pStyle w:val="Normal"/>
              <w:widowControl w:val="false"/>
              <w:spacing w:before="0" w:after="0"/>
              <w:rPr/>
            </w:pPr>
            <w:r>
              <w:rPr>
                <w:rFonts w:ascii="Calibri" w:hAnsi="Calibri"/>
                <w:b/>
                <w:color w:val="FFFFFF"/>
                <w:sz w:val="18"/>
              </w:rPr>
              <w:t>Functionality &amp; Capabilities</w:t>
            </w:r>
          </w:p>
        </w:tc>
        <w:tc>
          <w:tcPr>
            <w:tcW w:w="3312" w:type="dxa"/>
            <w:tcBorders>
              <w:top w:val="single" w:sz="4" w:space="0" w:color="CBD5E1"/>
              <w:bottom w:val="single" w:sz="4" w:space="0" w:color="CBD5E1"/>
            </w:tcBorders>
            <w:shd w:fill="0F172A"/>
          </w:tcPr>
          <w:p>
            <w:pPr>
              <w:pStyle w:val="Normal"/>
              <w:widowControl w:val="false"/>
              <w:spacing w:before="0" w:after="0"/>
              <w:rPr/>
            </w:pPr>
            <w:r>
              <w:rPr>
                <w:rFonts w:ascii="Calibri" w:hAnsi="Calibri"/>
                <w:b/>
                <w:color w:val="FFFFFF"/>
                <w:sz w:val="18"/>
              </w:rPr>
              <w:t>Ministry Operational Value</w:t>
            </w:r>
          </w:p>
        </w:tc>
      </w:tr>
      <w:tr>
        <w:trPr/>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b/>
                <w:color w:val="0F172A"/>
                <w:sz w:val="18"/>
              </w:rPr>
              <w:t>1. Analytics Dashboard</w:t>
            </w:r>
          </w:p>
        </w:tc>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color w:val="334155"/>
                <w:sz w:val="18"/>
              </w:rPr>
              <w:t>Real-time tracking of audio streams, listening minutes, active worshippers, and Covenant Partner MRR.</w:t>
            </w:r>
          </w:p>
        </w:tc>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color w:val="334155"/>
                <w:sz w:val="18"/>
              </w:rPr>
              <w:t>Provides data-driven insights on which messages resonate most with worshippers globally.</w:t>
            </w:r>
          </w:p>
        </w:tc>
      </w:tr>
      <w:tr>
        <w:trPr/>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rPr/>
            </w:pPr>
            <w:r>
              <w:rPr>
                <w:rFonts w:ascii="Calibri" w:hAnsi="Calibri"/>
                <w:b/>
                <w:color w:val="0F172A"/>
                <w:sz w:val="18"/>
              </w:rPr>
              <w:t>2. Devotees Directory</w:t>
            </w:r>
          </w:p>
        </w:tc>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rPr/>
            </w:pPr>
            <w:r>
              <w:rPr>
                <w:rFonts w:ascii="Calibri" w:hAnsi="Calibri"/>
                <w:color w:val="334155"/>
                <w:sz w:val="18"/>
              </w:rPr>
              <w:t>Member list, email search, manual tier override (Free / Covenant Gold), status control, and targeted user push.</w:t>
            </w:r>
          </w:p>
        </w:tc>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rPr/>
            </w:pPr>
            <w:r>
              <w:rPr>
                <w:rFonts w:ascii="Calibri" w:hAnsi="Calibri"/>
                <w:color w:val="334155"/>
                <w:sz w:val="18"/>
              </w:rPr>
              <w:t>Enables direct pastoral care, follow-up for prayer needs, and customer support.</w:t>
            </w:r>
          </w:p>
        </w:tc>
      </w:tr>
      <w:tr>
        <w:trPr/>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b/>
                <w:color w:val="0F172A"/>
                <w:sz w:val="18"/>
              </w:rPr>
              <w:t>3. Ministers &amp; Preachers</w:t>
            </w:r>
          </w:p>
        </w:tc>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color w:val="334155"/>
                <w:sz w:val="18"/>
              </w:rPr>
              <w:t>Full CRUD for pastors, guest ministers, and evangelists, including photos, titles, and sermon counts.</w:t>
            </w:r>
          </w:p>
        </w:tc>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color w:val="334155"/>
                <w:sz w:val="18"/>
              </w:rPr>
              <w:t>Maintains an orderly, distinguished roster of ministry leaders and guest speakers.</w:t>
            </w:r>
          </w:p>
        </w:tc>
      </w:tr>
      <w:tr>
        <w:trPr/>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rPr/>
            </w:pPr>
            <w:r>
              <w:rPr>
                <w:rFonts w:ascii="Calibri" w:hAnsi="Calibri"/>
                <w:b/>
                <w:color w:val="0F172A"/>
                <w:sz w:val="18"/>
              </w:rPr>
              <w:t>4. Spiritual Categories</w:t>
            </w:r>
          </w:p>
        </w:tc>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rPr/>
            </w:pPr>
            <w:r>
              <w:rPr>
                <w:rFonts w:ascii="Calibri" w:hAnsi="Calibri"/>
                <w:color w:val="334155"/>
                <w:sz w:val="18"/>
              </w:rPr>
              <w:t>Create spiritual themes (Warfare, Worship, Healing, Prophetic) with custom hex color accents and icons.</w:t>
            </w:r>
          </w:p>
        </w:tc>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rPr/>
            </w:pPr>
            <w:r>
              <w:rPr>
                <w:rFonts w:ascii="Calibri" w:hAnsi="Calibri"/>
                <w:color w:val="334155"/>
                <w:sz w:val="18"/>
              </w:rPr>
              <w:t>Empowers topical categorization aligned with the church's spiritual calendar.</w:t>
            </w:r>
          </w:p>
        </w:tc>
      </w:tr>
      <w:tr>
        <w:trPr/>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b/>
                <w:color w:val="0F172A"/>
                <w:sz w:val="18"/>
              </w:rPr>
              <w:t>5. Media Catalog &amp; Tracks</w:t>
            </w:r>
          </w:p>
        </w:tc>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color w:val="334155"/>
                <w:sz w:val="18"/>
              </w:rPr>
              <w:t>Searchable catalog, instant Access Tier toggle (Free vs Locked Covenant Gold), metadata editor, and track deletion.</w:t>
            </w:r>
          </w:p>
        </w:tc>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color w:val="334155"/>
                <w:sz w:val="18"/>
              </w:rPr>
              <w:t>Allows admins to gate masterclass series behind the Covenant Partner tier with 1 click.</w:t>
            </w:r>
          </w:p>
        </w:tc>
      </w:tr>
      <w:tr>
        <w:trPr/>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rPr/>
            </w:pPr>
            <w:r>
              <w:rPr>
                <w:rFonts w:ascii="Calibri" w:hAnsi="Calibri"/>
                <w:b/>
                <w:color w:val="0F172A"/>
                <w:sz w:val="18"/>
              </w:rPr>
              <w:t>6. Ingest &amp; Transcoding</w:t>
            </w:r>
          </w:p>
        </w:tc>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rPr/>
            </w:pPr>
            <w:r>
              <w:rPr>
                <w:rFonts w:ascii="Calibri" w:hAnsi="Calibri"/>
                <w:color w:val="334155"/>
                <w:sz w:val="18"/>
              </w:rPr>
              <w:t>Drag-and-drop dual upload (MP3/WAV + Artwork), automatic FFmpeg HLS transcoding, and lyrics line-by-line builder.</w:t>
            </w:r>
          </w:p>
        </w:tc>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rPr/>
            </w:pPr>
            <w:r>
              <w:rPr>
                <w:rFonts w:ascii="Calibri" w:hAnsi="Calibri"/>
                <w:color w:val="334155"/>
                <w:sz w:val="18"/>
              </w:rPr>
              <w:t>Simplifies technical publishing so church media staff can upload sermons in minutes.</w:t>
            </w:r>
          </w:p>
        </w:tc>
      </w:tr>
      <w:tr>
        <w:trPr/>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b/>
                <w:color w:val="0F172A"/>
                <w:sz w:val="18"/>
              </w:rPr>
              <w:t>7. Covenant Partners Ledger</w:t>
            </w:r>
          </w:p>
        </w:tc>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color w:val="334155"/>
                <w:sz w:val="18"/>
              </w:rPr>
              <w:t>Detailed Paystack transaction log showing customer names, emails, amounts paid, reference IDs, and dates.</w:t>
            </w:r>
          </w:p>
        </w:tc>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color w:val="334155"/>
                <w:sz w:val="18"/>
              </w:rPr>
              <w:t>Complete financial transparency, audit readiness, and giving accountability.</w:t>
            </w:r>
          </w:p>
        </w:tc>
      </w:tr>
      <w:tr>
        <w:trPr/>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rPr/>
            </w:pPr>
            <w:r>
              <w:rPr>
                <w:rFonts w:ascii="Calibri" w:hAnsi="Calibri"/>
                <w:b/>
                <w:color w:val="0F172A"/>
                <w:sz w:val="18"/>
              </w:rPr>
              <w:t>8. Push Marketing Hub</w:t>
            </w:r>
          </w:p>
        </w:tc>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rPr/>
            </w:pPr>
            <w:r>
              <w:rPr>
                <w:rFonts w:ascii="Calibri" w:hAnsi="Calibri"/>
                <w:color w:val="334155"/>
                <w:sz w:val="18"/>
              </w:rPr>
              <w:t>Direct broadcast console to send high-priority push notifications to all installed mobile devices worldwide.</w:t>
            </w:r>
          </w:p>
        </w:tc>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rPr/>
            </w:pPr>
            <w:r>
              <w:rPr>
                <w:rFonts w:ascii="Calibri" w:hAnsi="Calibri"/>
                <w:color w:val="334155"/>
                <w:sz w:val="18"/>
              </w:rPr>
              <w:t>Instantly gathers worshippers for impromptu prayer vigils, live streams, or breaking messages.</w:t>
            </w:r>
          </w:p>
        </w:tc>
      </w:tr>
    </w:tbl>
    <w:p>
      <w:pPr>
        <w:pStyle w:val="Normal"/>
        <w:spacing w:before="0" w:after="160"/>
        <w:rPr/>
      </w:pPr>
      <w:r>
        <w:rPr/>
      </w:r>
    </w:p>
    <w:p>
      <w:pPr>
        <w:pStyle w:val="Normal"/>
        <w:keepNext w:val="true"/>
        <w:spacing w:before="280" w:after="80"/>
        <w:rPr/>
      </w:pPr>
      <w:r>
        <w:rPr>
          <w:rFonts w:ascii="Calibri" w:hAnsi="Calibri"/>
          <w:b/>
          <w:color w:val="0F172A"/>
          <w:sz w:val="27"/>
        </w:rPr>
        <w:t>5. Backend Engineering &amp; Enterprise Security</w:t>
      </w:r>
    </w:p>
    <w:p>
      <w:pPr>
        <w:pStyle w:val="Normal"/>
        <w:spacing w:lineRule="auto" w:line="276" w:before="0" w:after="80"/>
        <w:rPr/>
      </w:pPr>
      <w:r>
        <w:rPr>
          <w:rFonts w:ascii="Calibri" w:hAnsi="Calibri"/>
          <w:color w:val="334155"/>
          <w:sz w:val="20"/>
        </w:rPr>
        <w:t>The backend is built in Node.js with TypeScript and Express, featuring layered defensive architecture:</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verifyToken Middleware: </w:t>
      </w:r>
      <w:r>
        <w:rPr>
          <w:rFonts w:ascii="Calibri" w:hAnsi="Calibri"/>
          <w:color w:val="334155"/>
          <w:sz w:val="19"/>
        </w:rPr>
        <w:t>Validates JWT authentication headers on user profile, note creation, and account requests.</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requireAdmin Middleware: </w:t>
      </w:r>
      <w:r>
        <w:rPr>
          <w:rFonts w:ascii="Calibri" w:hAnsi="Calibri"/>
          <w:color w:val="334155"/>
          <w:sz w:val="19"/>
        </w:rPr>
        <w:t>Enforces strict administrative authorization on all sensitive routes (track CRUD, devotee management, category/minister CRUD, push marketing, and partner ledger). Non-admin tokens are rejected with a 403 Forbidden response.</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Rate Limiting &amp; DoS Mitigation: </w:t>
      </w:r>
      <w:r>
        <w:rPr>
          <w:rFonts w:ascii="Calibri" w:hAnsi="Calibri"/>
          <w:color w:val="334155"/>
          <w:sz w:val="19"/>
        </w:rPr>
        <w:t>Sensitive authentication endpoints (/auth/login, /auth/register, /auth/admin/login) are protected by express-rate-limit, capping requests at 60 attempts per 15-minute window per IP to eliminate brute-force attack vectors.</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Security Headers &amp; CORS: </w:t>
      </w:r>
      <w:r>
        <w:rPr>
          <w:rFonts w:ascii="Calibri" w:hAnsi="Calibri"/>
          <w:color w:val="334155"/>
          <w:sz w:val="19"/>
        </w:rPr>
        <w:t>Helmet middleware configured with crossOriginResourcePolicy: { policy: 'cross-origin' } allows smooth audio and image streaming to mobile clients while blocking cross-site injection attacks. Whitelisted origins protect production domains.</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Asynchronous HLS Transcoder: </w:t>
      </w:r>
      <w:r>
        <w:rPr>
          <w:rFonts w:ascii="Calibri" w:hAnsi="Calibri"/>
          <w:color w:val="334155"/>
          <w:sz w:val="19"/>
        </w:rPr>
        <w:t>Raw audio files are processed via a concurrency-controlled background queue (max 2 active jobs) leveraging @ffmpeg-installer/ffmpeg to package 10-second AAC-128k segments with .m3u8 master playlists.</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Dual-Engine Data Persistence: </w:t>
      </w:r>
      <w:r>
        <w:rPr>
          <w:rFonts w:ascii="Calibri" w:hAnsi="Calibri"/>
          <w:color w:val="334155"/>
          <w:sz w:val="19"/>
        </w:rPr>
        <w:t>Prisma ORM connecting to a cloud-hosted PostgreSQL database (Neon Serverless) with self-healing fallback to local persistent storage (persistent_db.json) during temporary network partitions.</w:t>
      </w:r>
    </w:p>
    <w:p>
      <w:pPr>
        <w:pStyle w:val="Normal"/>
        <w:keepNext w:val="true"/>
        <w:spacing w:before="280" w:after="80"/>
        <w:rPr/>
      </w:pPr>
      <w:r>
        <w:rPr>
          <w:rFonts w:ascii="Calibri" w:hAnsi="Calibri"/>
          <w:b/>
          <w:color w:val="0F172A"/>
          <w:sz w:val="27"/>
        </w:rPr>
        <w:t>6. The "Covenant Partner" Business &amp; Monetization Model</w:t>
      </w:r>
    </w:p>
    <w:p>
      <w:pPr>
        <w:pStyle w:val="Normal"/>
        <w:spacing w:lineRule="auto" w:line="276" w:before="0" w:after="80"/>
        <w:rPr/>
      </w:pPr>
      <w:r>
        <w:rPr>
          <w:rFonts w:ascii="Calibri" w:hAnsi="Calibri"/>
          <w:color w:val="334155"/>
          <w:sz w:val="20"/>
        </w:rPr>
        <w:t>To ensure self-sustaining ministry operations, outreach expansion, and ongoing technical development, LCM Audios incorporates a two-tier subscription and kingdom giving architecture:</w:t>
      </w:r>
    </w:p>
    <w:tbl>
      <w:tblPr>
        <w:tblW w:w="9936" w:type="dxa"/>
        <w:jc w:val="center"/>
        <w:tblInd w:w="0" w:type="dxa"/>
        <w:tblLayout w:type="fixed"/>
        <w:tblCellMar>
          <w:top w:w="100" w:type="dxa"/>
          <w:left w:w="120" w:type="dxa"/>
          <w:bottom w:w="100" w:type="dxa"/>
          <w:right w:w="120" w:type="dxa"/>
        </w:tblCellMar>
        <w:tblLook w:firstRow="1" w:noVBand="1" w:lastRow="0" w:firstColumn="1" w:lastColumn="0" w:noHBand="0" w:val="04a0"/>
      </w:tblPr>
      <w:tblGrid>
        <w:gridCol w:w="3312"/>
        <w:gridCol w:w="3312"/>
        <w:gridCol w:w="3312"/>
      </w:tblGrid>
      <w:tr>
        <w:trPr/>
        <w:tc>
          <w:tcPr>
            <w:tcW w:w="3312" w:type="dxa"/>
            <w:tcBorders>
              <w:top w:val="single" w:sz="4" w:space="0" w:color="CBD5E1"/>
              <w:bottom w:val="single" w:sz="4" w:space="0" w:color="CBD5E1"/>
            </w:tcBorders>
            <w:shd w:fill="0F172A"/>
          </w:tcPr>
          <w:p>
            <w:pPr>
              <w:pStyle w:val="Normal"/>
              <w:widowControl w:val="false"/>
              <w:spacing w:before="0" w:after="0"/>
              <w:rPr/>
            </w:pPr>
            <w:r>
              <w:rPr>
                <w:rFonts w:ascii="Calibri" w:hAnsi="Calibri"/>
                <w:b/>
                <w:color w:val="FFFFFF"/>
                <w:sz w:val="18"/>
              </w:rPr>
              <w:t>Capability / Feature</w:t>
            </w:r>
          </w:p>
        </w:tc>
        <w:tc>
          <w:tcPr>
            <w:tcW w:w="3312" w:type="dxa"/>
            <w:tcBorders>
              <w:top w:val="single" w:sz="4" w:space="0" w:color="CBD5E1"/>
              <w:bottom w:val="single" w:sz="4" w:space="0" w:color="CBD5E1"/>
            </w:tcBorders>
            <w:shd w:fill="0F172A"/>
          </w:tcPr>
          <w:p>
            <w:pPr>
              <w:pStyle w:val="Normal"/>
              <w:widowControl w:val="false"/>
              <w:spacing w:before="0" w:after="0"/>
              <w:rPr/>
            </w:pPr>
            <w:r>
              <w:rPr>
                <w:rFonts w:ascii="Calibri" w:hAnsi="Calibri"/>
                <w:b/>
                <w:color w:val="FFFFFF"/>
                <w:sz w:val="18"/>
              </w:rPr>
              <w:t>Grace Worshipper (Free Tier)</w:t>
            </w:r>
          </w:p>
        </w:tc>
        <w:tc>
          <w:tcPr>
            <w:tcW w:w="3312" w:type="dxa"/>
            <w:tcBorders>
              <w:top w:val="single" w:sz="4" w:space="0" w:color="CBD5E1"/>
              <w:bottom w:val="single" w:sz="4" w:space="0" w:color="CBD5E1"/>
            </w:tcBorders>
            <w:shd w:fill="0F172A"/>
          </w:tcPr>
          <w:p>
            <w:pPr>
              <w:pStyle w:val="Normal"/>
              <w:widowControl w:val="false"/>
              <w:spacing w:before="0" w:after="0"/>
              <w:rPr/>
            </w:pPr>
            <w:r>
              <w:rPr>
                <w:rFonts w:ascii="Calibri" w:hAnsi="Calibri"/>
                <w:b/>
                <w:color w:val="FFFFFF"/>
                <w:sz w:val="18"/>
              </w:rPr>
              <w:t>Covenant Gold Partner (₦2,500/Month)</w:t>
            </w:r>
          </w:p>
        </w:tc>
      </w:tr>
      <w:tr>
        <w:trPr/>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b/>
                <w:color w:val="0F172A"/>
                <w:sz w:val="18"/>
              </w:rPr>
              <w:t>General Sermon Streaming</w:t>
            </w:r>
          </w:p>
        </w:tc>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color w:val="334155"/>
                <w:sz w:val="18"/>
              </w:rPr>
              <w:t>Full Unlimited Streaming</w:t>
            </w:r>
          </w:p>
        </w:tc>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color w:val="334155"/>
                <w:sz w:val="18"/>
              </w:rPr>
              <w:t>Full Unlimited Streaming (Hi-Fi 320kbps Studio Quality)</w:t>
            </w:r>
          </w:p>
        </w:tc>
      </w:tr>
      <w:tr>
        <w:trPr/>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rPr/>
            </w:pPr>
            <w:r>
              <w:rPr>
                <w:rFonts w:ascii="Calibri" w:hAnsi="Calibri"/>
                <w:b/>
                <w:color w:val="0F172A"/>
                <w:sz w:val="18"/>
              </w:rPr>
              <w:t>Apostolic Masterclasses</w:t>
            </w:r>
          </w:p>
        </w:tc>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rPr/>
            </w:pPr>
            <w:r>
              <w:rPr>
                <w:rFonts w:ascii="Calibri" w:hAnsi="Calibri"/>
                <w:color w:val="334155"/>
                <w:sz w:val="18"/>
              </w:rPr>
              <w:t>30-Second Audio Preview Limit</w:t>
            </w:r>
          </w:p>
        </w:tc>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rPr/>
            </w:pPr>
            <w:r>
              <w:rPr>
                <w:rFonts w:ascii="Calibri" w:hAnsi="Calibri"/>
                <w:color w:val="334155"/>
                <w:sz w:val="18"/>
              </w:rPr>
              <w:t>Full Unlimited Access (No Limits)</w:t>
            </w:r>
          </w:p>
        </w:tc>
      </w:tr>
      <w:tr>
        <w:trPr/>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b/>
                <w:color w:val="0F172A"/>
                <w:sz w:val="18"/>
              </w:rPr>
              <w:t>Encrypted Offline Downloads</w:t>
            </w:r>
          </w:p>
        </w:tc>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color w:val="334155"/>
                <w:sz w:val="18"/>
              </w:rPr>
              <w:t>Up to 3 Tracks Maximum</w:t>
            </w:r>
          </w:p>
        </w:tc>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color w:val="334155"/>
                <w:sz w:val="18"/>
              </w:rPr>
              <w:t>Unlimited Offline Vault (No Restrictions)</w:t>
            </w:r>
          </w:p>
        </w:tc>
      </w:tr>
      <w:tr>
        <w:trPr/>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rPr/>
            </w:pPr>
            <w:r>
              <w:rPr>
                <w:rFonts w:ascii="Calibri" w:hAnsi="Calibri"/>
                <w:b/>
                <w:color w:val="0F172A"/>
                <w:sz w:val="18"/>
              </w:rPr>
              <w:t>Morning Devotion Alarms</w:t>
            </w:r>
          </w:p>
        </w:tc>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rPr/>
            </w:pPr>
            <w:r>
              <w:rPr>
                <w:rFonts w:ascii="Calibri" w:hAnsi="Calibri"/>
                <w:color w:val="334155"/>
                <w:sz w:val="18"/>
              </w:rPr>
              <w:t>Standard 6:00 AM Alarm</w:t>
            </w:r>
          </w:p>
        </w:tc>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rPr/>
            </w:pPr>
            <w:r>
              <w:rPr>
                <w:rFonts w:ascii="Calibri" w:hAnsi="Calibri"/>
                <w:color w:val="334155"/>
                <w:sz w:val="18"/>
              </w:rPr>
              <w:t>Customizable Devotion Alarms &amp; Sacred Tones</w:t>
            </w:r>
          </w:p>
        </w:tc>
      </w:tr>
      <w:tr>
        <w:trPr/>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b/>
                <w:color w:val="0F172A"/>
                <w:sz w:val="18"/>
              </w:rPr>
              <w:t>Timestamped Study Notes</w:t>
            </w:r>
          </w:p>
        </w:tc>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color w:val="334155"/>
                <w:sz w:val="18"/>
              </w:rPr>
              <w:t>Standard Mobile Notes</w:t>
            </w:r>
          </w:p>
        </w:tc>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color w:val="334155"/>
                <w:sz w:val="18"/>
              </w:rPr>
              <w:t>Standard Access + PDF Study Notes Export</w:t>
            </w:r>
          </w:p>
        </w:tc>
      </w:tr>
      <w:tr>
        <w:trPr/>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rPr/>
            </w:pPr>
            <w:r>
              <w:rPr>
                <w:rFonts w:ascii="Calibri" w:hAnsi="Calibri"/>
                <w:b/>
                <w:color w:val="0F172A"/>
                <w:sz w:val="18"/>
              </w:rPr>
              <w:t>Ministry Impact &amp; Giving</w:t>
            </w:r>
          </w:p>
        </w:tc>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rPr/>
            </w:pPr>
            <w:r>
              <w:rPr>
                <w:rFonts w:ascii="Calibri" w:hAnsi="Calibri"/>
                <w:color w:val="334155"/>
                <w:sz w:val="18"/>
              </w:rPr>
              <w:t>Free / Evangelism Tier ($0.00)</w:t>
            </w:r>
          </w:p>
        </w:tc>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rPr/>
            </w:pPr>
            <w:r>
              <w:rPr>
                <w:rFonts w:ascii="Calibri" w:hAnsi="Calibri"/>
                <w:color w:val="334155"/>
                <w:sz w:val="18"/>
              </w:rPr>
              <w:t>Monthly (₦2,500 / Month) or Annual (₦24,000 / Year)</w:t>
            </w:r>
          </w:p>
        </w:tc>
      </w:tr>
    </w:tbl>
    <w:p>
      <w:pPr>
        <w:pStyle w:val="Normal"/>
        <w:spacing w:before="0" w:after="160"/>
        <w:rPr/>
      </w:pPr>
      <w:r>
        <w:rPr/>
      </w:r>
    </w:p>
    <w:p>
      <w:pPr>
        <w:pStyle w:val="Normal"/>
        <w:keepNext w:val="true"/>
        <w:spacing w:before="200" w:after="60"/>
        <w:rPr/>
      </w:pPr>
      <w:r>
        <w:rPr>
          <w:rFonts w:ascii="Calibri" w:hAnsi="Calibri"/>
          <w:b/>
          <w:color w:val="1E3A8A"/>
          <w:sz w:val="22"/>
        </w:rPr>
        <w:t>6.2 Revenue &amp; Ministry Impact Projections (at ₦2,500 / Month)</w:t>
      </w:r>
    </w:p>
    <w:tbl>
      <w:tblPr>
        <w:tblW w:w="9936" w:type="dxa"/>
        <w:jc w:val="center"/>
        <w:tblInd w:w="0" w:type="dxa"/>
        <w:tblLayout w:type="fixed"/>
        <w:tblCellMar>
          <w:top w:w="100" w:type="dxa"/>
          <w:left w:w="120" w:type="dxa"/>
          <w:bottom w:w="100" w:type="dxa"/>
          <w:right w:w="120" w:type="dxa"/>
        </w:tblCellMar>
        <w:tblLook w:firstRow="1" w:noVBand="1" w:lastRow="0" w:firstColumn="1" w:lastColumn="0" w:noHBand="0" w:val="04a0"/>
      </w:tblPr>
      <w:tblGrid>
        <w:gridCol w:w="3312"/>
        <w:gridCol w:w="3312"/>
        <w:gridCol w:w="3312"/>
      </w:tblGrid>
      <w:tr>
        <w:trPr/>
        <w:tc>
          <w:tcPr>
            <w:tcW w:w="3312" w:type="dxa"/>
            <w:tcBorders>
              <w:top w:val="single" w:sz="4" w:space="0" w:color="CBD5E1"/>
              <w:bottom w:val="single" w:sz="4" w:space="0" w:color="CBD5E1"/>
            </w:tcBorders>
            <w:shd w:fill="0F172A"/>
          </w:tcPr>
          <w:p>
            <w:pPr>
              <w:pStyle w:val="Normal"/>
              <w:widowControl w:val="false"/>
              <w:spacing w:before="0" w:after="0"/>
              <w:jc w:val="left"/>
              <w:rPr/>
            </w:pPr>
            <w:r>
              <w:rPr>
                <w:rFonts w:ascii="Calibri" w:hAnsi="Calibri"/>
                <w:b/>
                <w:color w:val="FFFFFF"/>
                <w:sz w:val="18"/>
              </w:rPr>
              <w:t>Active Covenant Partners</w:t>
            </w:r>
          </w:p>
        </w:tc>
        <w:tc>
          <w:tcPr>
            <w:tcW w:w="3312" w:type="dxa"/>
            <w:tcBorders>
              <w:top w:val="single" w:sz="4" w:space="0" w:color="CBD5E1"/>
              <w:bottom w:val="single" w:sz="4" w:space="0" w:color="CBD5E1"/>
            </w:tcBorders>
            <w:shd w:fill="0F172A"/>
          </w:tcPr>
          <w:p>
            <w:pPr>
              <w:pStyle w:val="Normal"/>
              <w:widowControl w:val="false"/>
              <w:spacing w:before="0" w:after="0"/>
              <w:jc w:val="right"/>
              <w:rPr/>
            </w:pPr>
            <w:r>
              <w:rPr>
                <w:rFonts w:ascii="Calibri" w:hAnsi="Calibri"/>
                <w:b/>
                <w:color w:val="FFFFFF"/>
                <w:sz w:val="18"/>
              </w:rPr>
              <w:t>Monthly Kingdom Seed (NGN)</w:t>
            </w:r>
          </w:p>
        </w:tc>
        <w:tc>
          <w:tcPr>
            <w:tcW w:w="3312" w:type="dxa"/>
            <w:tcBorders>
              <w:top w:val="single" w:sz="4" w:space="0" w:color="CBD5E1"/>
              <w:bottom w:val="single" w:sz="4" w:space="0" w:color="CBD5E1"/>
            </w:tcBorders>
            <w:shd w:fill="0F172A"/>
          </w:tcPr>
          <w:p>
            <w:pPr>
              <w:pStyle w:val="Normal"/>
              <w:widowControl w:val="false"/>
              <w:spacing w:before="0" w:after="0"/>
              <w:jc w:val="right"/>
              <w:rPr/>
            </w:pPr>
            <w:r>
              <w:rPr>
                <w:rFonts w:ascii="Calibri" w:hAnsi="Calibri"/>
                <w:b/>
                <w:color w:val="FFFFFF"/>
                <w:sz w:val="18"/>
              </w:rPr>
              <w:t>Annual Operational Total (NGN)</w:t>
            </w:r>
          </w:p>
        </w:tc>
      </w:tr>
      <w:tr>
        <w:trPr/>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jc w:val="left"/>
              <w:rPr/>
            </w:pPr>
            <w:r>
              <w:rPr>
                <w:rFonts w:ascii="Calibri" w:hAnsi="Calibri"/>
                <w:b/>
                <w:color w:val="0F172A"/>
                <w:sz w:val="18"/>
              </w:rPr>
              <w:t>250 Covenant Partners</w:t>
            </w:r>
          </w:p>
        </w:tc>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jc w:val="right"/>
              <w:rPr/>
            </w:pPr>
            <w:r>
              <w:rPr>
                <w:rFonts w:ascii="Calibri" w:hAnsi="Calibri"/>
                <w:color w:val="334155"/>
                <w:sz w:val="18"/>
              </w:rPr>
              <w:t>₦</w:t>
            </w:r>
            <w:r>
              <w:rPr>
                <w:rFonts w:ascii="Calibri" w:hAnsi="Calibri"/>
                <w:color w:val="334155"/>
                <w:sz w:val="18"/>
              </w:rPr>
              <w:t>625,000 / month</w:t>
            </w:r>
          </w:p>
        </w:tc>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jc w:val="right"/>
              <w:rPr/>
            </w:pPr>
            <w:r>
              <w:rPr>
                <w:rFonts w:ascii="Calibri" w:hAnsi="Calibri"/>
                <w:color w:val="334155"/>
                <w:sz w:val="18"/>
              </w:rPr>
              <w:t>₦</w:t>
            </w:r>
            <w:r>
              <w:rPr>
                <w:rFonts w:ascii="Calibri" w:hAnsi="Calibri"/>
                <w:color w:val="334155"/>
                <w:sz w:val="18"/>
              </w:rPr>
              <w:t>7,500,000 / year</w:t>
            </w:r>
          </w:p>
        </w:tc>
      </w:tr>
      <w:tr>
        <w:trPr/>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jc w:val="left"/>
              <w:rPr/>
            </w:pPr>
            <w:r>
              <w:rPr>
                <w:rFonts w:ascii="Calibri" w:hAnsi="Calibri"/>
                <w:b/>
                <w:color w:val="0F172A"/>
                <w:sz w:val="18"/>
              </w:rPr>
              <w:t>500 Covenant Partners</w:t>
            </w:r>
          </w:p>
        </w:tc>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jc w:val="right"/>
              <w:rPr/>
            </w:pPr>
            <w:r>
              <w:rPr>
                <w:rFonts w:ascii="Calibri" w:hAnsi="Calibri"/>
                <w:color w:val="334155"/>
                <w:sz w:val="18"/>
              </w:rPr>
              <w:t>₦</w:t>
            </w:r>
            <w:r>
              <w:rPr>
                <w:rFonts w:ascii="Calibri" w:hAnsi="Calibri"/>
                <w:color w:val="334155"/>
                <w:sz w:val="18"/>
              </w:rPr>
              <w:t>1,250,000 / month</w:t>
            </w:r>
          </w:p>
        </w:tc>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jc w:val="right"/>
              <w:rPr/>
            </w:pPr>
            <w:r>
              <w:rPr>
                <w:rFonts w:ascii="Calibri" w:hAnsi="Calibri"/>
                <w:color w:val="334155"/>
                <w:sz w:val="18"/>
              </w:rPr>
              <w:t>₦</w:t>
            </w:r>
            <w:r>
              <w:rPr>
                <w:rFonts w:ascii="Calibri" w:hAnsi="Calibri"/>
                <w:color w:val="334155"/>
                <w:sz w:val="18"/>
              </w:rPr>
              <w:t>15,000,000 / year</w:t>
            </w:r>
          </w:p>
        </w:tc>
      </w:tr>
      <w:tr>
        <w:trPr/>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jc w:val="left"/>
              <w:rPr/>
            </w:pPr>
            <w:r>
              <w:rPr>
                <w:rFonts w:ascii="Calibri" w:hAnsi="Calibri"/>
                <w:b/>
                <w:color w:val="0F172A"/>
                <w:sz w:val="18"/>
              </w:rPr>
              <w:t>1,000 Covenant Partners</w:t>
            </w:r>
          </w:p>
        </w:tc>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jc w:val="right"/>
              <w:rPr/>
            </w:pPr>
            <w:r>
              <w:rPr>
                <w:rFonts w:ascii="Calibri" w:hAnsi="Calibri"/>
                <w:color w:val="334155"/>
                <w:sz w:val="18"/>
              </w:rPr>
              <w:t>₦</w:t>
            </w:r>
            <w:r>
              <w:rPr>
                <w:rFonts w:ascii="Calibri" w:hAnsi="Calibri"/>
                <w:color w:val="334155"/>
                <w:sz w:val="18"/>
              </w:rPr>
              <w:t>2,500,000 / month</w:t>
            </w:r>
          </w:p>
        </w:tc>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jc w:val="right"/>
              <w:rPr/>
            </w:pPr>
            <w:r>
              <w:rPr>
                <w:rFonts w:ascii="Calibri" w:hAnsi="Calibri"/>
                <w:color w:val="334155"/>
                <w:sz w:val="18"/>
              </w:rPr>
              <w:t>₦</w:t>
            </w:r>
            <w:r>
              <w:rPr>
                <w:rFonts w:ascii="Calibri" w:hAnsi="Calibri"/>
                <w:color w:val="334155"/>
                <w:sz w:val="18"/>
              </w:rPr>
              <w:t>30,000,000 / year</w:t>
            </w:r>
          </w:p>
        </w:tc>
      </w:tr>
      <w:tr>
        <w:trPr/>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jc w:val="left"/>
              <w:rPr/>
            </w:pPr>
            <w:r>
              <w:rPr>
                <w:rFonts w:ascii="Calibri" w:hAnsi="Calibri"/>
                <w:b/>
                <w:color w:val="0F172A"/>
                <w:sz w:val="18"/>
              </w:rPr>
              <w:t>2,500 Covenant Partners</w:t>
            </w:r>
          </w:p>
        </w:tc>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jc w:val="right"/>
              <w:rPr/>
            </w:pPr>
            <w:r>
              <w:rPr>
                <w:rFonts w:ascii="Calibri" w:hAnsi="Calibri"/>
                <w:color w:val="334155"/>
                <w:sz w:val="18"/>
              </w:rPr>
              <w:t>₦</w:t>
            </w:r>
            <w:r>
              <w:rPr>
                <w:rFonts w:ascii="Calibri" w:hAnsi="Calibri"/>
                <w:color w:val="334155"/>
                <w:sz w:val="18"/>
              </w:rPr>
              <w:t>6,250,000 / month</w:t>
            </w:r>
          </w:p>
        </w:tc>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jc w:val="right"/>
              <w:rPr/>
            </w:pPr>
            <w:r>
              <w:rPr>
                <w:rFonts w:ascii="Calibri" w:hAnsi="Calibri"/>
                <w:color w:val="334155"/>
                <w:sz w:val="18"/>
              </w:rPr>
              <w:t>₦</w:t>
            </w:r>
            <w:r>
              <w:rPr>
                <w:rFonts w:ascii="Calibri" w:hAnsi="Calibri"/>
                <w:color w:val="334155"/>
                <w:sz w:val="18"/>
              </w:rPr>
              <w:t>75,000,000 / year</w:t>
            </w:r>
          </w:p>
        </w:tc>
      </w:tr>
      <w:tr>
        <w:trPr/>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jc w:val="left"/>
              <w:rPr/>
            </w:pPr>
            <w:r>
              <w:rPr>
                <w:rFonts w:ascii="Calibri" w:hAnsi="Calibri"/>
                <w:b/>
                <w:color w:val="0F172A"/>
                <w:sz w:val="18"/>
              </w:rPr>
              <w:t>5,000 Covenant Partners</w:t>
            </w:r>
          </w:p>
        </w:tc>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jc w:val="right"/>
              <w:rPr/>
            </w:pPr>
            <w:r>
              <w:rPr>
                <w:rFonts w:ascii="Calibri" w:hAnsi="Calibri"/>
                <w:color w:val="334155"/>
                <w:sz w:val="18"/>
              </w:rPr>
              <w:t>₦</w:t>
            </w:r>
            <w:r>
              <w:rPr>
                <w:rFonts w:ascii="Calibri" w:hAnsi="Calibri"/>
                <w:color w:val="334155"/>
                <w:sz w:val="18"/>
              </w:rPr>
              <w:t>12,500,000 / month</w:t>
            </w:r>
          </w:p>
        </w:tc>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jc w:val="right"/>
              <w:rPr/>
            </w:pPr>
            <w:r>
              <w:rPr>
                <w:rFonts w:ascii="Calibri" w:hAnsi="Calibri"/>
                <w:color w:val="334155"/>
                <w:sz w:val="18"/>
              </w:rPr>
              <w:t>₦</w:t>
            </w:r>
            <w:r>
              <w:rPr>
                <w:rFonts w:ascii="Calibri" w:hAnsi="Calibri"/>
                <w:color w:val="334155"/>
                <w:sz w:val="18"/>
              </w:rPr>
              <w:t>150,000,000 / year</w:t>
            </w:r>
          </w:p>
        </w:tc>
      </w:tr>
    </w:tbl>
    <w:p>
      <w:pPr>
        <w:pStyle w:val="Normal"/>
        <w:spacing w:before="0" w:after="160"/>
        <w:rPr/>
      </w:pPr>
      <w:r>
        <w:rPr/>
      </w:r>
    </w:p>
    <w:tbl>
      <w:tblPr>
        <w:tblW w:w="9936" w:type="dxa"/>
        <w:jc w:val="center"/>
        <w:tblInd w:w="0" w:type="dxa"/>
        <w:tblLayout w:type="fixed"/>
        <w:tblCellMar>
          <w:top w:w="140" w:type="dxa"/>
          <w:left w:w="200" w:type="dxa"/>
          <w:bottom w:w="140" w:type="dxa"/>
          <w:right w:w="200" w:type="dxa"/>
        </w:tblCellMar>
        <w:tblLook w:firstRow="1" w:noVBand="1" w:lastRow="0" w:firstColumn="1" w:lastColumn="0" w:noHBand="0" w:val="04a0"/>
      </w:tblPr>
      <w:tblGrid>
        <w:gridCol w:w="9936"/>
      </w:tblGrid>
      <w:tr>
        <w:trPr/>
        <w:tc>
          <w:tcPr>
            <w:tcW w:w="9936" w:type="dxa"/>
            <w:tcBorders>
              <w:left w:val="single" w:sz="32" w:space="0" w:color="D97706"/>
            </w:tcBorders>
            <w:shd w:fill="FFFBEB"/>
          </w:tcPr>
          <w:p>
            <w:pPr>
              <w:pStyle w:val="Normal"/>
              <w:widowControl w:val="false"/>
              <w:spacing w:lineRule="auto" w:line="276" w:before="40" w:after="40"/>
              <w:rPr/>
            </w:pPr>
            <w:r>
              <w:rPr>
                <w:rFonts w:ascii="Calibri" w:hAnsi="Calibri"/>
                <w:color w:val="334155"/>
                <w:sz w:val="19"/>
              </w:rPr>
              <w:t>AUTOMATED FINANCIAL RECONCILIATION: Worshippers initialize partnerships securely inside the mobile app via Paystack. Paystack webhooks automatically renew partner badges upon successful deduction. Every transaction is recorded with customer reference IDs in the admin partner ledger for 100% audit transparency.</w:t>
            </w:r>
          </w:p>
        </w:tc>
      </w:tr>
    </w:tbl>
    <w:p>
      <w:pPr>
        <w:pStyle w:val="Normal"/>
        <w:spacing w:before="0" w:after="120"/>
        <w:rPr/>
      </w:pPr>
      <w:r>
        <w:rPr/>
      </w:r>
    </w:p>
    <w:p>
      <w:pPr>
        <w:pStyle w:val="Normal"/>
        <w:keepNext w:val="true"/>
        <w:spacing w:before="280" w:after="80"/>
        <w:rPr/>
      </w:pPr>
      <w:r>
        <w:rPr>
          <w:rFonts w:ascii="Calibri" w:hAnsi="Calibri"/>
          <w:b/>
          <w:color w:val="0F172A"/>
          <w:sz w:val="27"/>
        </w:rPr>
        <w:t>7. Cloud Infrastructure &amp; Cost Comparison</w:t>
      </w:r>
    </w:p>
    <w:p>
      <w:pPr>
        <w:pStyle w:val="Normal"/>
        <w:spacing w:lineRule="auto" w:line="276" w:before="0" w:after="80"/>
        <w:rPr/>
      </w:pPr>
      <w:r>
        <w:rPr>
          <w:rFonts w:ascii="Calibri" w:hAnsi="Calibri"/>
          <w:color w:val="334155"/>
          <w:sz w:val="20"/>
        </w:rPr>
        <w:t>LCM Audios is engineered with flexibility to run either at zero cloud cost or on dedicated enterprise cloud infrastructure:</w:t>
      </w:r>
    </w:p>
    <w:tbl>
      <w:tblPr>
        <w:tblW w:w="9936" w:type="dxa"/>
        <w:jc w:val="center"/>
        <w:tblInd w:w="0" w:type="dxa"/>
        <w:tblLayout w:type="fixed"/>
        <w:tblCellMar>
          <w:top w:w="100" w:type="dxa"/>
          <w:left w:w="120" w:type="dxa"/>
          <w:bottom w:w="100" w:type="dxa"/>
          <w:right w:w="120" w:type="dxa"/>
        </w:tblCellMar>
        <w:tblLook w:firstRow="1" w:noVBand="1" w:lastRow="0" w:firstColumn="1" w:lastColumn="0" w:noHBand="0" w:val="04a0"/>
      </w:tblPr>
      <w:tblGrid>
        <w:gridCol w:w="2484"/>
        <w:gridCol w:w="2484"/>
        <w:gridCol w:w="2484"/>
        <w:gridCol w:w="2483"/>
      </w:tblGrid>
      <w:tr>
        <w:trPr/>
        <w:tc>
          <w:tcPr>
            <w:tcW w:w="2484" w:type="dxa"/>
            <w:tcBorders>
              <w:top w:val="single" w:sz="4" w:space="0" w:color="CBD5E1"/>
              <w:bottom w:val="single" w:sz="4" w:space="0" w:color="CBD5E1"/>
            </w:tcBorders>
            <w:shd w:fill="0F172A"/>
          </w:tcPr>
          <w:p>
            <w:pPr>
              <w:pStyle w:val="Normal"/>
              <w:widowControl w:val="false"/>
              <w:spacing w:before="0" w:after="0"/>
              <w:jc w:val="left"/>
              <w:rPr/>
            </w:pPr>
            <w:r>
              <w:rPr>
                <w:rFonts w:ascii="Calibri" w:hAnsi="Calibri"/>
                <w:b/>
                <w:color w:val="FFFFFF"/>
                <w:sz w:val="18"/>
              </w:rPr>
              <w:t>Infrastructure Layer</w:t>
            </w:r>
          </w:p>
        </w:tc>
        <w:tc>
          <w:tcPr>
            <w:tcW w:w="2484" w:type="dxa"/>
            <w:tcBorders>
              <w:top w:val="single" w:sz="4" w:space="0" w:color="CBD5E1"/>
              <w:bottom w:val="single" w:sz="4" w:space="0" w:color="CBD5E1"/>
            </w:tcBorders>
            <w:shd w:fill="0F172A"/>
          </w:tcPr>
          <w:p>
            <w:pPr>
              <w:pStyle w:val="Normal"/>
              <w:widowControl w:val="false"/>
              <w:spacing w:before="0" w:after="0"/>
              <w:jc w:val="right"/>
              <w:rPr/>
            </w:pPr>
            <w:r>
              <w:rPr>
                <w:rFonts w:ascii="Calibri" w:hAnsi="Calibri"/>
                <w:b/>
                <w:color w:val="FFFFFF"/>
                <w:sz w:val="18"/>
              </w:rPr>
              <w:t>Standard Commercial Cost</w:t>
            </w:r>
          </w:p>
        </w:tc>
        <w:tc>
          <w:tcPr>
            <w:tcW w:w="2484" w:type="dxa"/>
            <w:tcBorders>
              <w:top w:val="single" w:sz="4" w:space="0" w:color="CBD5E1"/>
              <w:bottom w:val="single" w:sz="4" w:space="0" w:color="CBD5E1"/>
            </w:tcBorders>
            <w:shd w:fill="0F172A"/>
          </w:tcPr>
          <w:p>
            <w:pPr>
              <w:pStyle w:val="Normal"/>
              <w:widowControl w:val="false"/>
              <w:spacing w:before="0" w:after="0"/>
              <w:jc w:val="right"/>
              <w:rPr/>
            </w:pPr>
            <w:r>
              <w:rPr>
                <w:rFonts w:ascii="Calibri" w:hAnsi="Calibri"/>
                <w:b/>
                <w:color w:val="FFFFFF"/>
                <w:sz w:val="18"/>
              </w:rPr>
              <w:t>LCM Audios Optimized Stack</w:t>
            </w:r>
          </w:p>
        </w:tc>
        <w:tc>
          <w:tcPr>
            <w:tcW w:w="2483" w:type="dxa"/>
            <w:tcBorders>
              <w:top w:val="single" w:sz="4" w:space="0" w:color="CBD5E1"/>
              <w:bottom w:val="single" w:sz="4" w:space="0" w:color="CBD5E1"/>
            </w:tcBorders>
            <w:shd w:fill="0F172A"/>
          </w:tcPr>
          <w:p>
            <w:pPr>
              <w:pStyle w:val="Normal"/>
              <w:widowControl w:val="false"/>
              <w:spacing w:before="0" w:after="0"/>
              <w:jc w:val="right"/>
              <w:rPr/>
            </w:pPr>
            <w:r>
              <w:rPr>
                <w:rFonts w:ascii="Calibri" w:hAnsi="Calibri"/>
                <w:b/>
                <w:color w:val="FFFFFF"/>
                <w:sz w:val="18"/>
              </w:rPr>
              <w:t>Net Monthly Savings</w:t>
            </w:r>
          </w:p>
        </w:tc>
      </w:tr>
      <w:tr>
        <w:trPr/>
        <w:tc>
          <w:tcPr>
            <w:tcW w:w="2484" w:type="dxa"/>
            <w:tcBorders>
              <w:top w:val="single" w:sz="4" w:space="0" w:color="CBD5E1"/>
              <w:bottom w:val="single" w:sz="4" w:space="0" w:color="CBD5E1"/>
            </w:tcBorders>
            <w:shd w:fill="FFFFFF"/>
            <w:tcMar>
              <w:top w:w="80" w:type="dxa"/>
              <w:bottom w:w="80" w:type="dxa"/>
            </w:tcMar>
          </w:tcPr>
          <w:p>
            <w:pPr>
              <w:pStyle w:val="Normal"/>
              <w:widowControl w:val="false"/>
              <w:spacing w:before="0" w:after="0"/>
              <w:jc w:val="left"/>
              <w:rPr/>
            </w:pPr>
            <w:r>
              <w:rPr>
                <w:rFonts w:ascii="Calibri" w:hAnsi="Calibri"/>
                <w:b/>
                <w:color w:val="0F172A"/>
                <w:sz w:val="18"/>
              </w:rPr>
              <w:t>Audio &amp; Image Hosting</w:t>
            </w:r>
          </w:p>
        </w:tc>
        <w:tc>
          <w:tcPr>
            <w:tcW w:w="2484" w:type="dxa"/>
            <w:tcBorders>
              <w:top w:val="single" w:sz="4" w:space="0" w:color="CBD5E1"/>
              <w:bottom w:val="single" w:sz="4" w:space="0" w:color="CBD5E1"/>
            </w:tcBorders>
            <w:shd w:fill="FFFFFF"/>
            <w:tcMar>
              <w:top w:w="80" w:type="dxa"/>
              <w:bottom w:w="80" w:type="dxa"/>
            </w:tcMar>
          </w:tcPr>
          <w:p>
            <w:pPr>
              <w:pStyle w:val="Normal"/>
              <w:widowControl w:val="false"/>
              <w:spacing w:before="0" w:after="0"/>
              <w:jc w:val="right"/>
              <w:rPr/>
            </w:pPr>
            <w:r>
              <w:rPr>
                <w:rFonts w:ascii="Calibri" w:hAnsi="Calibri"/>
                <w:color w:val="334155"/>
                <w:sz w:val="18"/>
              </w:rPr>
              <w:t>$120.00 / mo (Cloudinary/AWS S3)</w:t>
            </w:r>
          </w:p>
        </w:tc>
        <w:tc>
          <w:tcPr>
            <w:tcW w:w="2484" w:type="dxa"/>
            <w:tcBorders>
              <w:top w:val="single" w:sz="4" w:space="0" w:color="CBD5E1"/>
              <w:bottom w:val="single" w:sz="4" w:space="0" w:color="CBD5E1"/>
            </w:tcBorders>
            <w:shd w:fill="FFFFFF"/>
            <w:tcMar>
              <w:top w:w="80" w:type="dxa"/>
              <w:bottom w:w="80" w:type="dxa"/>
            </w:tcMar>
          </w:tcPr>
          <w:p>
            <w:pPr>
              <w:pStyle w:val="Normal"/>
              <w:widowControl w:val="false"/>
              <w:spacing w:before="0" w:after="0"/>
              <w:jc w:val="right"/>
              <w:rPr/>
            </w:pPr>
            <w:r>
              <w:rPr>
                <w:rFonts w:ascii="Calibri" w:hAnsi="Calibri"/>
                <w:color w:val="334155"/>
                <w:sz w:val="18"/>
              </w:rPr>
              <w:t>$0.00 / mo (Cloudflare R2 Free Tier)</w:t>
            </w:r>
          </w:p>
        </w:tc>
        <w:tc>
          <w:tcPr>
            <w:tcW w:w="2483" w:type="dxa"/>
            <w:tcBorders>
              <w:top w:val="single" w:sz="4" w:space="0" w:color="CBD5E1"/>
              <w:bottom w:val="single" w:sz="4" w:space="0" w:color="CBD5E1"/>
            </w:tcBorders>
            <w:shd w:fill="FFFFFF"/>
            <w:tcMar>
              <w:top w:w="80" w:type="dxa"/>
              <w:bottom w:w="80" w:type="dxa"/>
            </w:tcMar>
          </w:tcPr>
          <w:p>
            <w:pPr>
              <w:pStyle w:val="Normal"/>
              <w:widowControl w:val="false"/>
              <w:spacing w:before="0" w:after="0"/>
              <w:jc w:val="right"/>
              <w:rPr/>
            </w:pPr>
            <w:r>
              <w:rPr>
                <w:rFonts w:ascii="Calibri" w:hAnsi="Calibri"/>
                <w:color w:val="334155"/>
                <w:sz w:val="18"/>
              </w:rPr>
              <w:t>$120.00 / month</w:t>
            </w:r>
          </w:p>
        </w:tc>
      </w:tr>
      <w:tr>
        <w:trPr/>
        <w:tc>
          <w:tcPr>
            <w:tcW w:w="2484" w:type="dxa"/>
            <w:tcBorders>
              <w:top w:val="single" w:sz="4" w:space="0" w:color="CBD5E1"/>
              <w:bottom w:val="single" w:sz="4" w:space="0" w:color="CBD5E1"/>
            </w:tcBorders>
            <w:shd w:fill="F8FAFC"/>
            <w:tcMar>
              <w:top w:w="80" w:type="dxa"/>
              <w:bottom w:w="80" w:type="dxa"/>
            </w:tcMar>
          </w:tcPr>
          <w:p>
            <w:pPr>
              <w:pStyle w:val="Normal"/>
              <w:widowControl w:val="false"/>
              <w:spacing w:before="0" w:after="0"/>
              <w:jc w:val="left"/>
              <w:rPr/>
            </w:pPr>
            <w:r>
              <w:rPr>
                <w:rFonts w:ascii="Calibri" w:hAnsi="Calibri"/>
                <w:b/>
                <w:color w:val="0F172A"/>
                <w:sz w:val="18"/>
              </w:rPr>
              <w:t>Relational Database</w:t>
            </w:r>
          </w:p>
        </w:tc>
        <w:tc>
          <w:tcPr>
            <w:tcW w:w="2484" w:type="dxa"/>
            <w:tcBorders>
              <w:top w:val="single" w:sz="4" w:space="0" w:color="CBD5E1"/>
              <w:bottom w:val="single" w:sz="4" w:space="0" w:color="CBD5E1"/>
            </w:tcBorders>
            <w:shd w:fill="F8FAFC"/>
            <w:tcMar>
              <w:top w:w="80" w:type="dxa"/>
              <w:bottom w:w="80" w:type="dxa"/>
            </w:tcMar>
          </w:tcPr>
          <w:p>
            <w:pPr>
              <w:pStyle w:val="Normal"/>
              <w:widowControl w:val="false"/>
              <w:spacing w:before="0" w:after="0"/>
              <w:jc w:val="right"/>
              <w:rPr/>
            </w:pPr>
            <w:r>
              <w:rPr>
                <w:rFonts w:ascii="Calibri" w:hAnsi="Calibri"/>
                <w:color w:val="334155"/>
                <w:sz w:val="18"/>
              </w:rPr>
              <w:t>$25.00 / mo (AWS RDS PostgreSQL)</w:t>
            </w:r>
          </w:p>
        </w:tc>
        <w:tc>
          <w:tcPr>
            <w:tcW w:w="2484" w:type="dxa"/>
            <w:tcBorders>
              <w:top w:val="single" w:sz="4" w:space="0" w:color="CBD5E1"/>
              <w:bottom w:val="single" w:sz="4" w:space="0" w:color="CBD5E1"/>
            </w:tcBorders>
            <w:shd w:fill="F8FAFC"/>
            <w:tcMar>
              <w:top w:w="80" w:type="dxa"/>
              <w:bottom w:w="80" w:type="dxa"/>
            </w:tcMar>
          </w:tcPr>
          <w:p>
            <w:pPr>
              <w:pStyle w:val="Normal"/>
              <w:widowControl w:val="false"/>
              <w:spacing w:before="0" w:after="0"/>
              <w:jc w:val="right"/>
              <w:rPr/>
            </w:pPr>
            <w:r>
              <w:rPr>
                <w:rFonts w:ascii="Calibri" w:hAnsi="Calibri"/>
                <w:color w:val="334155"/>
                <w:sz w:val="18"/>
              </w:rPr>
              <w:t>$0.00 / mo (Neon Serverless PostgreSQL)</w:t>
            </w:r>
          </w:p>
        </w:tc>
        <w:tc>
          <w:tcPr>
            <w:tcW w:w="2483" w:type="dxa"/>
            <w:tcBorders>
              <w:top w:val="single" w:sz="4" w:space="0" w:color="CBD5E1"/>
              <w:bottom w:val="single" w:sz="4" w:space="0" w:color="CBD5E1"/>
            </w:tcBorders>
            <w:shd w:fill="F8FAFC"/>
            <w:tcMar>
              <w:top w:w="80" w:type="dxa"/>
              <w:bottom w:w="80" w:type="dxa"/>
            </w:tcMar>
          </w:tcPr>
          <w:p>
            <w:pPr>
              <w:pStyle w:val="Normal"/>
              <w:widowControl w:val="false"/>
              <w:spacing w:before="0" w:after="0"/>
              <w:jc w:val="right"/>
              <w:rPr/>
            </w:pPr>
            <w:r>
              <w:rPr>
                <w:rFonts w:ascii="Calibri" w:hAnsi="Calibri"/>
                <w:color w:val="334155"/>
                <w:sz w:val="18"/>
              </w:rPr>
              <w:t>$25.00 / month</w:t>
            </w:r>
          </w:p>
        </w:tc>
      </w:tr>
      <w:tr>
        <w:trPr/>
        <w:tc>
          <w:tcPr>
            <w:tcW w:w="2484" w:type="dxa"/>
            <w:tcBorders>
              <w:top w:val="single" w:sz="4" w:space="0" w:color="CBD5E1"/>
              <w:bottom w:val="single" w:sz="4" w:space="0" w:color="CBD5E1"/>
            </w:tcBorders>
            <w:shd w:fill="FFFFFF"/>
            <w:tcMar>
              <w:top w:w="80" w:type="dxa"/>
              <w:bottom w:w="80" w:type="dxa"/>
            </w:tcMar>
          </w:tcPr>
          <w:p>
            <w:pPr>
              <w:pStyle w:val="Normal"/>
              <w:widowControl w:val="false"/>
              <w:spacing w:before="0" w:after="0"/>
              <w:jc w:val="left"/>
              <w:rPr/>
            </w:pPr>
            <w:r>
              <w:rPr>
                <w:rFonts w:ascii="Calibri" w:hAnsi="Calibri"/>
                <w:b/>
                <w:color w:val="0F172A"/>
                <w:sz w:val="18"/>
              </w:rPr>
              <w:t>Application Backend</w:t>
            </w:r>
          </w:p>
        </w:tc>
        <w:tc>
          <w:tcPr>
            <w:tcW w:w="2484" w:type="dxa"/>
            <w:tcBorders>
              <w:top w:val="single" w:sz="4" w:space="0" w:color="CBD5E1"/>
              <w:bottom w:val="single" w:sz="4" w:space="0" w:color="CBD5E1"/>
            </w:tcBorders>
            <w:shd w:fill="FFFFFF"/>
            <w:tcMar>
              <w:top w:w="80" w:type="dxa"/>
              <w:bottom w:w="80" w:type="dxa"/>
            </w:tcMar>
          </w:tcPr>
          <w:p>
            <w:pPr>
              <w:pStyle w:val="Normal"/>
              <w:widowControl w:val="false"/>
              <w:spacing w:before="0" w:after="0"/>
              <w:jc w:val="right"/>
              <w:rPr/>
            </w:pPr>
            <w:r>
              <w:rPr>
                <w:rFonts w:ascii="Calibri" w:hAnsi="Calibri"/>
                <w:color w:val="334155"/>
                <w:sz w:val="18"/>
              </w:rPr>
              <w:t>$15.00 / mo (Heroku/DigitalOcean)</w:t>
            </w:r>
          </w:p>
        </w:tc>
        <w:tc>
          <w:tcPr>
            <w:tcW w:w="2484" w:type="dxa"/>
            <w:tcBorders>
              <w:top w:val="single" w:sz="4" w:space="0" w:color="CBD5E1"/>
              <w:bottom w:val="single" w:sz="4" w:space="0" w:color="CBD5E1"/>
            </w:tcBorders>
            <w:shd w:fill="FFFFFF"/>
            <w:tcMar>
              <w:top w:w="80" w:type="dxa"/>
              <w:bottom w:w="80" w:type="dxa"/>
            </w:tcMar>
          </w:tcPr>
          <w:p>
            <w:pPr>
              <w:pStyle w:val="Normal"/>
              <w:widowControl w:val="false"/>
              <w:spacing w:before="0" w:after="0"/>
              <w:jc w:val="right"/>
              <w:rPr/>
            </w:pPr>
            <w:r>
              <w:rPr>
                <w:rFonts w:ascii="Calibri" w:hAnsi="Calibri"/>
                <w:color w:val="334155"/>
                <w:sz w:val="18"/>
              </w:rPr>
              <w:t>$0.00 / mo (Render / Railway Free/Starter)</w:t>
            </w:r>
          </w:p>
        </w:tc>
        <w:tc>
          <w:tcPr>
            <w:tcW w:w="2483" w:type="dxa"/>
            <w:tcBorders>
              <w:top w:val="single" w:sz="4" w:space="0" w:color="CBD5E1"/>
              <w:bottom w:val="single" w:sz="4" w:space="0" w:color="CBD5E1"/>
            </w:tcBorders>
            <w:shd w:fill="FFFFFF"/>
            <w:tcMar>
              <w:top w:w="80" w:type="dxa"/>
              <w:bottom w:w="80" w:type="dxa"/>
            </w:tcMar>
          </w:tcPr>
          <w:p>
            <w:pPr>
              <w:pStyle w:val="Normal"/>
              <w:widowControl w:val="false"/>
              <w:spacing w:before="0" w:after="0"/>
              <w:jc w:val="right"/>
              <w:rPr/>
            </w:pPr>
            <w:r>
              <w:rPr>
                <w:rFonts w:ascii="Calibri" w:hAnsi="Calibri"/>
                <w:color w:val="334155"/>
                <w:sz w:val="18"/>
              </w:rPr>
              <w:t>$15.00 / month</w:t>
            </w:r>
          </w:p>
        </w:tc>
      </w:tr>
      <w:tr>
        <w:trPr/>
        <w:tc>
          <w:tcPr>
            <w:tcW w:w="2484" w:type="dxa"/>
            <w:tcBorders>
              <w:top w:val="single" w:sz="4" w:space="0" w:color="CBD5E1"/>
              <w:bottom w:val="single" w:sz="4" w:space="0" w:color="CBD5E1"/>
            </w:tcBorders>
            <w:shd w:fill="F8FAFC"/>
            <w:tcMar>
              <w:top w:w="80" w:type="dxa"/>
              <w:bottom w:w="80" w:type="dxa"/>
            </w:tcMar>
          </w:tcPr>
          <w:p>
            <w:pPr>
              <w:pStyle w:val="Normal"/>
              <w:widowControl w:val="false"/>
              <w:spacing w:before="0" w:after="0"/>
              <w:jc w:val="left"/>
              <w:rPr/>
            </w:pPr>
            <w:r>
              <w:rPr>
                <w:rFonts w:ascii="Calibri" w:hAnsi="Calibri"/>
                <w:b/>
                <w:color w:val="0F172A"/>
                <w:sz w:val="18"/>
              </w:rPr>
              <w:t>Push Notifications</w:t>
            </w:r>
          </w:p>
        </w:tc>
        <w:tc>
          <w:tcPr>
            <w:tcW w:w="2484" w:type="dxa"/>
            <w:tcBorders>
              <w:top w:val="single" w:sz="4" w:space="0" w:color="CBD5E1"/>
              <w:bottom w:val="single" w:sz="4" w:space="0" w:color="CBD5E1"/>
            </w:tcBorders>
            <w:shd w:fill="F8FAFC"/>
            <w:tcMar>
              <w:top w:w="80" w:type="dxa"/>
              <w:bottom w:w="80" w:type="dxa"/>
            </w:tcMar>
          </w:tcPr>
          <w:p>
            <w:pPr>
              <w:pStyle w:val="Normal"/>
              <w:widowControl w:val="false"/>
              <w:spacing w:before="0" w:after="0"/>
              <w:jc w:val="right"/>
              <w:rPr/>
            </w:pPr>
            <w:r>
              <w:rPr>
                <w:rFonts w:ascii="Calibri" w:hAnsi="Calibri"/>
                <w:color w:val="334155"/>
                <w:sz w:val="18"/>
              </w:rPr>
              <w:t>$10.00 / mo (OneSignal Pro)</w:t>
            </w:r>
          </w:p>
        </w:tc>
        <w:tc>
          <w:tcPr>
            <w:tcW w:w="2484" w:type="dxa"/>
            <w:tcBorders>
              <w:top w:val="single" w:sz="4" w:space="0" w:color="CBD5E1"/>
              <w:bottom w:val="single" w:sz="4" w:space="0" w:color="CBD5E1"/>
            </w:tcBorders>
            <w:shd w:fill="F8FAFC"/>
            <w:tcMar>
              <w:top w:w="80" w:type="dxa"/>
              <w:bottom w:w="80" w:type="dxa"/>
            </w:tcMar>
          </w:tcPr>
          <w:p>
            <w:pPr>
              <w:pStyle w:val="Normal"/>
              <w:widowControl w:val="false"/>
              <w:spacing w:before="0" w:after="0"/>
              <w:jc w:val="right"/>
              <w:rPr/>
            </w:pPr>
            <w:r>
              <w:rPr>
                <w:rFonts w:ascii="Calibri" w:hAnsi="Calibri"/>
                <w:color w:val="334155"/>
                <w:sz w:val="18"/>
              </w:rPr>
              <w:t>$0.00 / mo (Firebase Cloud Messaging)</w:t>
            </w:r>
          </w:p>
        </w:tc>
        <w:tc>
          <w:tcPr>
            <w:tcW w:w="2483" w:type="dxa"/>
            <w:tcBorders>
              <w:top w:val="single" w:sz="4" w:space="0" w:color="CBD5E1"/>
              <w:bottom w:val="single" w:sz="4" w:space="0" w:color="CBD5E1"/>
            </w:tcBorders>
            <w:shd w:fill="F8FAFC"/>
            <w:tcMar>
              <w:top w:w="80" w:type="dxa"/>
              <w:bottom w:w="80" w:type="dxa"/>
            </w:tcMar>
          </w:tcPr>
          <w:p>
            <w:pPr>
              <w:pStyle w:val="Normal"/>
              <w:widowControl w:val="false"/>
              <w:spacing w:before="0" w:after="0"/>
              <w:jc w:val="right"/>
              <w:rPr/>
            </w:pPr>
            <w:r>
              <w:rPr>
                <w:rFonts w:ascii="Calibri" w:hAnsi="Calibri"/>
                <w:color w:val="334155"/>
                <w:sz w:val="18"/>
              </w:rPr>
              <w:t>$10.00 / month</w:t>
            </w:r>
          </w:p>
        </w:tc>
      </w:tr>
      <w:tr>
        <w:trPr/>
        <w:tc>
          <w:tcPr>
            <w:tcW w:w="2484" w:type="dxa"/>
            <w:tcBorders>
              <w:top w:val="single" w:sz="4" w:space="0" w:color="CBD5E1"/>
              <w:bottom w:val="single" w:sz="4" w:space="0" w:color="CBD5E1"/>
            </w:tcBorders>
            <w:shd w:fill="FFFFFF"/>
            <w:tcMar>
              <w:top w:w="80" w:type="dxa"/>
              <w:bottom w:w="80" w:type="dxa"/>
            </w:tcMar>
          </w:tcPr>
          <w:p>
            <w:pPr>
              <w:pStyle w:val="Normal"/>
              <w:widowControl w:val="false"/>
              <w:spacing w:before="0" w:after="0"/>
              <w:jc w:val="left"/>
              <w:rPr/>
            </w:pPr>
            <w:r>
              <w:rPr>
                <w:rFonts w:ascii="Calibri" w:hAnsi="Calibri"/>
                <w:b/>
                <w:color w:val="0F172A"/>
                <w:sz w:val="18"/>
              </w:rPr>
              <w:t>SSL Certificates</w:t>
            </w:r>
          </w:p>
        </w:tc>
        <w:tc>
          <w:tcPr>
            <w:tcW w:w="2484" w:type="dxa"/>
            <w:tcBorders>
              <w:top w:val="single" w:sz="4" w:space="0" w:color="CBD5E1"/>
              <w:bottom w:val="single" w:sz="4" w:space="0" w:color="CBD5E1"/>
            </w:tcBorders>
            <w:shd w:fill="FFFFFF"/>
            <w:tcMar>
              <w:top w:w="80" w:type="dxa"/>
              <w:bottom w:w="80" w:type="dxa"/>
            </w:tcMar>
          </w:tcPr>
          <w:p>
            <w:pPr>
              <w:pStyle w:val="Normal"/>
              <w:widowControl w:val="false"/>
              <w:spacing w:before="0" w:after="0"/>
              <w:jc w:val="right"/>
              <w:rPr/>
            </w:pPr>
            <w:r>
              <w:rPr>
                <w:rFonts w:ascii="Calibri" w:hAnsi="Calibri"/>
                <w:color w:val="334155"/>
                <w:sz w:val="18"/>
              </w:rPr>
              <w:t>$10.00 / mo (Commercial SSL)</w:t>
            </w:r>
          </w:p>
        </w:tc>
        <w:tc>
          <w:tcPr>
            <w:tcW w:w="2484" w:type="dxa"/>
            <w:tcBorders>
              <w:top w:val="single" w:sz="4" w:space="0" w:color="CBD5E1"/>
              <w:bottom w:val="single" w:sz="4" w:space="0" w:color="CBD5E1"/>
            </w:tcBorders>
            <w:shd w:fill="FFFFFF"/>
            <w:tcMar>
              <w:top w:w="80" w:type="dxa"/>
              <w:bottom w:w="80" w:type="dxa"/>
            </w:tcMar>
          </w:tcPr>
          <w:p>
            <w:pPr>
              <w:pStyle w:val="Normal"/>
              <w:widowControl w:val="false"/>
              <w:spacing w:before="0" w:after="0"/>
              <w:jc w:val="right"/>
              <w:rPr/>
            </w:pPr>
            <w:r>
              <w:rPr>
                <w:rFonts w:ascii="Calibri" w:hAnsi="Calibri"/>
                <w:color w:val="334155"/>
                <w:sz w:val="18"/>
              </w:rPr>
              <w:t>$0.00 / mo (Let's Encrypt / Certbot)</w:t>
            </w:r>
          </w:p>
        </w:tc>
        <w:tc>
          <w:tcPr>
            <w:tcW w:w="2483" w:type="dxa"/>
            <w:tcBorders>
              <w:top w:val="single" w:sz="4" w:space="0" w:color="CBD5E1"/>
              <w:bottom w:val="single" w:sz="4" w:space="0" w:color="CBD5E1"/>
            </w:tcBorders>
            <w:shd w:fill="FFFFFF"/>
            <w:tcMar>
              <w:top w:w="80" w:type="dxa"/>
              <w:bottom w:w="80" w:type="dxa"/>
            </w:tcMar>
          </w:tcPr>
          <w:p>
            <w:pPr>
              <w:pStyle w:val="Normal"/>
              <w:widowControl w:val="false"/>
              <w:spacing w:before="0" w:after="0"/>
              <w:jc w:val="right"/>
              <w:rPr/>
            </w:pPr>
            <w:r>
              <w:rPr>
                <w:rFonts w:ascii="Calibri" w:hAnsi="Calibri"/>
                <w:color w:val="334155"/>
                <w:sz w:val="18"/>
              </w:rPr>
              <w:t>$10.00 / month</w:t>
            </w:r>
          </w:p>
        </w:tc>
      </w:tr>
      <w:tr>
        <w:trPr/>
        <w:tc>
          <w:tcPr>
            <w:tcW w:w="2484" w:type="dxa"/>
            <w:tcBorders>
              <w:top w:val="single" w:sz="4" w:space="0" w:color="CBD5E1"/>
              <w:bottom w:val="single" w:sz="4" w:space="0" w:color="CBD5E1"/>
            </w:tcBorders>
            <w:shd w:fill="F8FAFC"/>
            <w:tcMar>
              <w:top w:w="80" w:type="dxa"/>
              <w:bottom w:w="80" w:type="dxa"/>
            </w:tcMar>
          </w:tcPr>
          <w:p>
            <w:pPr>
              <w:pStyle w:val="Normal"/>
              <w:widowControl w:val="false"/>
              <w:spacing w:before="0" w:after="0"/>
              <w:jc w:val="left"/>
              <w:rPr/>
            </w:pPr>
            <w:r>
              <w:rPr>
                <w:rFonts w:ascii="Calibri" w:hAnsi="Calibri"/>
                <w:b/>
                <w:color w:val="0F172A"/>
                <w:sz w:val="18"/>
              </w:rPr>
              <w:t>TOTAL RUNNING OVERHEAD</w:t>
            </w:r>
          </w:p>
        </w:tc>
        <w:tc>
          <w:tcPr>
            <w:tcW w:w="2484" w:type="dxa"/>
            <w:tcBorders>
              <w:top w:val="single" w:sz="4" w:space="0" w:color="CBD5E1"/>
              <w:bottom w:val="single" w:sz="4" w:space="0" w:color="CBD5E1"/>
            </w:tcBorders>
            <w:shd w:fill="F8FAFC"/>
            <w:tcMar>
              <w:top w:w="80" w:type="dxa"/>
              <w:bottom w:w="80" w:type="dxa"/>
            </w:tcMar>
          </w:tcPr>
          <w:p>
            <w:pPr>
              <w:pStyle w:val="Normal"/>
              <w:widowControl w:val="false"/>
              <w:spacing w:before="0" w:after="0"/>
              <w:jc w:val="right"/>
              <w:rPr/>
            </w:pPr>
            <w:r>
              <w:rPr>
                <w:rFonts w:ascii="Calibri" w:hAnsi="Calibri"/>
                <w:color w:val="334155"/>
                <w:sz w:val="18"/>
              </w:rPr>
              <w:t>$180.00 / month (~$2,160/year)</w:t>
            </w:r>
          </w:p>
        </w:tc>
        <w:tc>
          <w:tcPr>
            <w:tcW w:w="2484" w:type="dxa"/>
            <w:tcBorders>
              <w:top w:val="single" w:sz="4" w:space="0" w:color="CBD5E1"/>
              <w:bottom w:val="single" w:sz="4" w:space="0" w:color="CBD5E1"/>
            </w:tcBorders>
            <w:shd w:fill="F8FAFC"/>
            <w:tcMar>
              <w:top w:w="80" w:type="dxa"/>
              <w:bottom w:w="80" w:type="dxa"/>
            </w:tcMar>
          </w:tcPr>
          <w:p>
            <w:pPr>
              <w:pStyle w:val="Normal"/>
              <w:widowControl w:val="false"/>
              <w:spacing w:before="0" w:after="0"/>
              <w:jc w:val="right"/>
              <w:rPr/>
            </w:pPr>
            <w:r>
              <w:rPr>
                <w:rFonts w:ascii="Calibri" w:hAnsi="Calibri"/>
                <w:color w:val="334155"/>
                <w:sz w:val="18"/>
              </w:rPr>
              <w:t>$0.00 / month</w:t>
            </w:r>
          </w:p>
        </w:tc>
        <w:tc>
          <w:tcPr>
            <w:tcW w:w="2483" w:type="dxa"/>
            <w:tcBorders>
              <w:top w:val="single" w:sz="4" w:space="0" w:color="CBD5E1"/>
              <w:bottom w:val="single" w:sz="4" w:space="0" w:color="CBD5E1"/>
            </w:tcBorders>
            <w:shd w:fill="F8FAFC"/>
            <w:tcMar>
              <w:top w:w="80" w:type="dxa"/>
              <w:bottom w:w="80" w:type="dxa"/>
            </w:tcMar>
          </w:tcPr>
          <w:p>
            <w:pPr>
              <w:pStyle w:val="Normal"/>
              <w:widowControl w:val="false"/>
              <w:spacing w:before="0" w:after="0"/>
              <w:jc w:val="right"/>
              <w:rPr/>
            </w:pPr>
            <w:r>
              <w:rPr>
                <w:rFonts w:ascii="Calibri" w:hAnsi="Calibri"/>
                <w:color w:val="334155"/>
                <w:sz w:val="18"/>
              </w:rPr>
              <w:t>$180.00 / mo (100% Savings)</w:t>
            </w:r>
          </w:p>
        </w:tc>
      </w:tr>
    </w:tbl>
    <w:p>
      <w:pPr>
        <w:pStyle w:val="Normal"/>
        <w:spacing w:before="0" w:after="160"/>
        <w:rPr/>
      </w:pPr>
      <w:r>
        <w:rPr/>
      </w:r>
    </w:p>
    <w:p>
      <w:pPr>
        <w:pStyle w:val="Normal"/>
        <w:keepNext w:val="true"/>
        <w:spacing w:before="200" w:after="60"/>
        <w:rPr/>
      </w:pPr>
      <w:r>
        <w:rPr>
          <w:rFonts w:ascii="Calibri" w:hAnsi="Calibri"/>
          <w:b/>
          <w:color w:val="1E3A8A"/>
          <w:sz w:val="22"/>
        </w:rPr>
        <w:t>7.2 AWS Production Deployment Blueprint</w:t>
      </w:r>
    </w:p>
    <w:p>
      <w:pPr>
        <w:pStyle w:val="Normal"/>
        <w:spacing w:lineRule="auto" w:line="276" w:before="0" w:after="80"/>
        <w:rPr/>
      </w:pPr>
      <w:r>
        <w:rPr>
          <w:rFonts w:ascii="Calibri" w:hAnsi="Calibri"/>
          <w:color w:val="334155"/>
          <w:sz w:val="20"/>
        </w:rPr>
        <w:t>For dedicated enterprise hosting under audios.lifechangerstouch.org, a complete production deployment architecture has been documented and prepared:</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Host Instance: </w:t>
      </w:r>
      <w:r>
        <w:rPr>
          <w:rFonts w:ascii="Calibri" w:hAnsi="Calibri"/>
          <w:color w:val="334155"/>
          <w:sz w:val="19"/>
        </w:rPr>
        <w:t>Ubuntu 22.04 / 24.04 LTS on AWS EC2 or Lightsail with UFW firewall protection.</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Reverse Proxy: </w:t>
      </w:r>
      <w:r>
        <w:rPr>
          <w:rFonts w:ascii="Calibri" w:hAnsi="Calibri"/>
          <w:color w:val="334155"/>
          <w:sz w:val="19"/>
        </w:rPr>
        <w:t>Nginx reverse proxy with SSL termination, Gzip compression, and optimized proxy buffers.</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Process Management: </w:t>
      </w:r>
      <w:r>
        <w:rPr>
          <w:rFonts w:ascii="Calibri" w:hAnsi="Calibri"/>
          <w:color w:val="334155"/>
          <w:sz w:val="19"/>
        </w:rPr>
        <w:t>PM2 process manager running clustered Node.js workers with automated restart and log rotation.</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Free SSL Automation: </w:t>
      </w:r>
      <w:r>
        <w:rPr>
          <w:rFonts w:ascii="Calibri" w:hAnsi="Calibri"/>
          <w:color w:val="334155"/>
          <w:sz w:val="19"/>
        </w:rPr>
        <w:t>Automated TLS renewal via Certbot (certbot --nginx -d audios.lifechangerstouch.org).</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Database Persistence: </w:t>
      </w:r>
      <w:r>
        <w:rPr>
          <w:rFonts w:ascii="Calibri" w:hAnsi="Calibri"/>
          <w:color w:val="334155"/>
          <w:sz w:val="19"/>
        </w:rPr>
        <w:t>Local or cloud PostgreSQL instance with connection pooling and automated backups.</w:t>
      </w:r>
    </w:p>
    <w:p>
      <w:pPr>
        <w:pStyle w:val="Normal"/>
        <w:keepNext w:val="true"/>
        <w:spacing w:before="280" w:after="80"/>
        <w:rPr/>
      </w:pPr>
      <w:r>
        <w:rPr>
          <w:rFonts w:ascii="Calibri" w:hAnsi="Calibri"/>
          <w:b/>
          <w:color w:val="0F172A"/>
          <w:sz w:val="27"/>
        </w:rPr>
        <w:t>8. Quality Assurance &amp; Performance Metrics</w:t>
      </w:r>
    </w:p>
    <w:p>
      <w:pPr>
        <w:pStyle w:val="Normal"/>
        <w:spacing w:lineRule="auto" w:line="276" w:before="0" w:after="80"/>
        <w:rPr/>
      </w:pPr>
      <w:r>
        <w:rPr>
          <w:rFonts w:ascii="Calibri" w:hAnsi="Calibri"/>
          <w:color w:val="334155"/>
          <w:sz w:val="20"/>
        </w:rPr>
        <w:t>The complete platform has been systematically verified using automated test runners and performance profiling:</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Public Endpoints Health Check: </w:t>
      </w:r>
      <w:r>
        <w:rPr>
          <w:rFonts w:ascii="Calibri" w:hAnsi="Calibri"/>
          <w:color w:val="334155"/>
          <w:sz w:val="19"/>
        </w:rPr>
        <w:t>All public endpoints verified with 200 OK responses.</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Security &amp; RBAC Enforcement: </w:t>
      </w:r>
      <w:r>
        <w:rPr>
          <w:rFonts w:ascii="Calibri" w:hAnsi="Calibri"/>
          <w:color w:val="334155"/>
          <w:sz w:val="19"/>
        </w:rPr>
        <w:t>Enforced 401 Unauthorized for unauthenticated requests and 403 Forbidden for non-admin tokens on administrative routes.</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Super Admin Authentication: </w:t>
      </w:r>
      <w:r>
        <w:rPr>
          <w:rFonts w:ascii="Calibri" w:hAnsi="Calibri"/>
          <w:color w:val="334155"/>
          <w:sz w:val="19"/>
        </w:rPr>
        <w:t>Token issuance and session auto-validation verified.</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Ministers &amp; Categories CRUD: </w:t>
      </w:r>
      <w:r>
        <w:rPr>
          <w:rFonts w:ascii="Calibri" w:hAnsi="Calibri"/>
          <w:color w:val="334155"/>
          <w:sz w:val="19"/>
        </w:rPr>
        <w:t>Create, Read, Update, Delete with persistent storage verification verified.</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Media Tracks &amp; Instant Tier Toggle: </w:t>
      </w:r>
      <w:r>
        <w:rPr>
          <w:rFonts w:ascii="Calibri" w:hAnsi="Calibri"/>
          <w:color w:val="334155"/>
          <w:sz w:val="19"/>
        </w:rPr>
        <w:t>Premium track creation, quick Free/Locked tier toggle with { isPremium: boolean }, and metadata updates verified.</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Analytics &amp; Covenant Ledger: </w:t>
      </w:r>
      <w:r>
        <w:rPr>
          <w:rFonts w:ascii="Calibri" w:hAnsi="Calibri"/>
          <w:color w:val="334155"/>
          <w:sz w:val="19"/>
        </w:rPr>
        <w:t>Authenticated metric read and Paystack transaction logging verified.</w:t>
      </w:r>
    </w:p>
    <w:p>
      <w:pPr>
        <w:pStyle w:val="ListBullet"/>
        <w:numPr>
          <w:ilvl w:val="0"/>
          <w:numId w:val="1"/>
        </w:numPr>
        <w:spacing w:lineRule="auto" w:line="276" w:before="0" w:after="60"/>
        <w:contextualSpacing/>
        <w:rPr/>
      </w:pPr>
      <w:r>
        <w:rPr>
          <w:rFonts w:ascii="Calibri" w:hAnsi="Calibri"/>
          <w:b/>
          <w:color w:val="0F172A"/>
          <w:sz w:val="19"/>
        </w:rPr>
        <w:t xml:space="preserve">• </w:t>
      </w:r>
      <w:r>
        <w:rPr>
          <w:rFonts w:ascii="Calibri" w:hAnsi="Calibri"/>
          <w:b/>
          <w:color w:val="0F172A"/>
          <w:sz w:val="19"/>
        </w:rPr>
        <w:t xml:space="preserve">Mobile Client Performance: </w:t>
      </w:r>
      <w:r>
        <w:rPr>
          <w:rFonts w:ascii="Calibri" w:hAnsi="Calibri"/>
          <w:color w:val="334155"/>
          <w:sz w:val="19"/>
        </w:rPr>
        <w:t>Constant 60 FPS fast scrolling across 50,000 tracks; instant cold boot (&lt; 0.1s); sub-100ms playback initiation; under 95 MB RAM footprint; and a 23.5 MB compiled release binary.</w:t>
      </w:r>
    </w:p>
    <w:p>
      <w:pPr>
        <w:pStyle w:val="Normal"/>
        <w:keepNext w:val="true"/>
        <w:spacing w:before="280" w:after="80"/>
        <w:rPr/>
      </w:pPr>
      <w:r>
        <w:rPr>
          <w:rFonts w:ascii="Calibri" w:hAnsi="Calibri"/>
          <w:b/>
          <w:color w:val="0F172A"/>
          <w:sz w:val="27"/>
        </w:rPr>
        <w:t>9. Strategic Roadmap &amp; Expansion Recommendations</w:t>
      </w:r>
    </w:p>
    <w:p>
      <w:pPr>
        <w:pStyle w:val="ListBullet"/>
        <w:numPr>
          <w:ilvl w:val="0"/>
          <w:numId w:val="1"/>
        </w:numPr>
        <w:spacing w:lineRule="auto" w:line="276" w:before="0" w:after="60"/>
        <w:contextualSpacing/>
        <w:rPr/>
      </w:pPr>
      <w:r>
        <w:rPr>
          <w:rFonts w:ascii="Calibri" w:hAnsi="Calibri"/>
          <w:b/>
          <w:color w:val="0F172A"/>
          <w:sz w:val="19"/>
        </w:rPr>
        <w:t xml:space="preserve">1. Apple App Store &amp; Google Play Store Submission: </w:t>
      </w:r>
      <w:r>
        <w:rPr>
          <w:rFonts w:ascii="Calibri" w:hAnsi="Calibri"/>
          <w:color w:val="334155"/>
          <w:sz w:val="19"/>
        </w:rPr>
        <w:t>Finalize production developer accounts and submit release builds for public distribution.</w:t>
      </w:r>
    </w:p>
    <w:p>
      <w:pPr>
        <w:pStyle w:val="ListBullet"/>
        <w:numPr>
          <w:ilvl w:val="0"/>
          <w:numId w:val="1"/>
        </w:numPr>
        <w:spacing w:lineRule="auto" w:line="276" w:before="0" w:after="60"/>
        <w:contextualSpacing/>
        <w:rPr/>
      </w:pPr>
      <w:r>
        <w:rPr>
          <w:rFonts w:ascii="Calibri" w:hAnsi="Calibri"/>
          <w:b/>
          <w:color w:val="0F172A"/>
          <w:sz w:val="19"/>
        </w:rPr>
        <w:t xml:space="preserve">2. CarPlay &amp; Android Auto Support: </w:t>
      </w:r>
      <w:r>
        <w:rPr>
          <w:rFonts w:ascii="Calibri" w:hAnsi="Calibri"/>
          <w:color w:val="334155"/>
          <w:sz w:val="19"/>
        </w:rPr>
        <w:t>Extend the audio service handler to allow worshippers to safely listen to messages while driving.</w:t>
      </w:r>
    </w:p>
    <w:p>
      <w:pPr>
        <w:pStyle w:val="ListBullet"/>
        <w:numPr>
          <w:ilvl w:val="0"/>
          <w:numId w:val="1"/>
        </w:numPr>
        <w:spacing w:lineRule="auto" w:line="276" w:before="0" w:after="60"/>
        <w:contextualSpacing/>
        <w:rPr/>
      </w:pPr>
      <w:r>
        <w:rPr>
          <w:rFonts w:ascii="Calibri" w:hAnsi="Calibri"/>
          <w:b/>
          <w:color w:val="0F172A"/>
          <w:sz w:val="19"/>
        </w:rPr>
        <w:t xml:space="preserve">3. Live Audio Streaming Gateway: </w:t>
      </w:r>
      <w:r>
        <w:rPr>
          <w:rFonts w:ascii="Calibri" w:hAnsi="Calibri"/>
          <w:color w:val="334155"/>
          <w:sz w:val="19"/>
        </w:rPr>
        <w:t>Enable live radio broadcasting of Sunday and mid-week church services directly inside the mobile app.</w:t>
      </w:r>
    </w:p>
    <w:p>
      <w:pPr>
        <w:pStyle w:val="ListBullet"/>
        <w:numPr>
          <w:ilvl w:val="0"/>
          <w:numId w:val="1"/>
        </w:numPr>
        <w:spacing w:lineRule="auto" w:line="276" w:before="0" w:after="60"/>
        <w:contextualSpacing/>
        <w:rPr/>
      </w:pPr>
      <w:r>
        <w:rPr>
          <w:rFonts w:ascii="Calibri" w:hAnsi="Calibri"/>
          <w:b/>
          <w:color w:val="0F172A"/>
          <w:sz w:val="19"/>
        </w:rPr>
        <w:t xml:space="preserve">4. Community Prayer Wall: </w:t>
      </w:r>
      <w:r>
        <w:rPr>
          <w:rFonts w:ascii="Calibri" w:hAnsi="Calibri"/>
          <w:color w:val="334155"/>
          <w:sz w:val="19"/>
        </w:rPr>
        <w:t>Allow devotees to submit prayer requests and have ministers or prayer teams pray and respond with audio blessings.</w:t>
      </w:r>
    </w:p>
    <w:p>
      <w:pPr>
        <w:pStyle w:val="Normal"/>
        <w:keepNext w:val="true"/>
        <w:spacing w:before="280" w:after="80"/>
        <w:rPr/>
      </w:pPr>
      <w:r>
        <w:rPr>
          <w:rFonts w:ascii="Calibri" w:hAnsi="Calibri"/>
          <w:b/>
          <w:color w:val="0F172A"/>
          <w:sz w:val="27"/>
        </w:rPr>
        <w:t>10. Conclusion &amp; Executive Sign-off</w:t>
      </w:r>
    </w:p>
    <w:p>
      <w:pPr>
        <w:pStyle w:val="Normal"/>
        <w:spacing w:lineRule="auto" w:line="276" w:before="0" w:after="80"/>
        <w:rPr/>
      </w:pPr>
      <w:r>
        <w:rPr>
          <w:rFonts w:ascii="Calibri" w:hAnsi="Calibri"/>
          <w:color w:val="334155"/>
          <w:sz w:val="20"/>
        </w:rPr>
        <w:t>The LCM Audios (Faith in Motion) ecosystem represents a complete, secure, and commercially viable digital media platform. With the 50,000-audio performance standard, interactive study notes, offline vault, enterprise backend security, Paystack partnership monetization, and zero-cost cloud architecture, the ministry possesses an industry-leading platform ready to touch lives globally.</w:t>
      </w:r>
    </w:p>
    <w:tbl>
      <w:tblPr>
        <w:tblW w:w="9936" w:type="dxa"/>
        <w:jc w:val="center"/>
        <w:tblInd w:w="0" w:type="dxa"/>
        <w:tblLayout w:type="fixed"/>
        <w:tblCellMar>
          <w:top w:w="100" w:type="dxa"/>
          <w:left w:w="120" w:type="dxa"/>
          <w:bottom w:w="100" w:type="dxa"/>
          <w:right w:w="120" w:type="dxa"/>
        </w:tblCellMar>
        <w:tblLook w:firstRow="1" w:noVBand="1" w:lastRow="0" w:firstColumn="1" w:lastColumn="0" w:noHBand="0" w:val="04a0"/>
      </w:tblPr>
      <w:tblGrid>
        <w:gridCol w:w="3312"/>
        <w:gridCol w:w="3312"/>
        <w:gridCol w:w="3312"/>
      </w:tblGrid>
      <w:tr>
        <w:trPr/>
        <w:tc>
          <w:tcPr>
            <w:tcW w:w="3312" w:type="dxa"/>
            <w:tcBorders>
              <w:top w:val="single" w:sz="4" w:space="0" w:color="CBD5E1"/>
              <w:bottom w:val="single" w:sz="4" w:space="0" w:color="CBD5E1"/>
            </w:tcBorders>
            <w:shd w:fill="0F172A"/>
          </w:tcPr>
          <w:p>
            <w:pPr>
              <w:pStyle w:val="Normal"/>
              <w:widowControl w:val="false"/>
              <w:spacing w:before="0" w:after="0"/>
              <w:rPr/>
            </w:pPr>
            <w:r>
              <w:rPr>
                <w:rFonts w:ascii="Calibri" w:hAnsi="Calibri"/>
                <w:b/>
                <w:color w:val="FFFFFF"/>
                <w:sz w:val="18"/>
              </w:rPr>
              <w:t>Milestone Component</w:t>
            </w:r>
          </w:p>
        </w:tc>
        <w:tc>
          <w:tcPr>
            <w:tcW w:w="3312" w:type="dxa"/>
            <w:tcBorders>
              <w:top w:val="single" w:sz="4" w:space="0" w:color="CBD5E1"/>
              <w:bottom w:val="single" w:sz="4" w:space="0" w:color="CBD5E1"/>
            </w:tcBorders>
            <w:shd w:fill="0F172A"/>
          </w:tcPr>
          <w:p>
            <w:pPr>
              <w:pStyle w:val="Normal"/>
              <w:widowControl w:val="false"/>
              <w:spacing w:before="0" w:after="0"/>
              <w:rPr/>
            </w:pPr>
            <w:r>
              <w:rPr>
                <w:rFonts w:ascii="Calibri" w:hAnsi="Calibri"/>
                <w:b/>
                <w:color w:val="FFFFFF"/>
                <w:sz w:val="18"/>
              </w:rPr>
              <w:t>Status</w:t>
            </w:r>
          </w:p>
        </w:tc>
        <w:tc>
          <w:tcPr>
            <w:tcW w:w="3312" w:type="dxa"/>
            <w:tcBorders>
              <w:top w:val="single" w:sz="4" w:space="0" w:color="CBD5E1"/>
              <w:bottom w:val="single" w:sz="4" w:space="0" w:color="CBD5E1"/>
            </w:tcBorders>
            <w:shd w:fill="0F172A"/>
          </w:tcPr>
          <w:p>
            <w:pPr>
              <w:pStyle w:val="Normal"/>
              <w:widowControl w:val="false"/>
              <w:spacing w:before="0" w:after="0"/>
              <w:rPr/>
            </w:pPr>
            <w:r>
              <w:rPr>
                <w:rFonts w:ascii="Calibri" w:hAnsi="Calibri"/>
                <w:b/>
                <w:color w:val="FFFFFF"/>
                <w:sz w:val="18"/>
              </w:rPr>
              <w:t>Technical &amp; Operational Certification</w:t>
            </w:r>
          </w:p>
        </w:tc>
      </w:tr>
      <w:tr>
        <w:trPr/>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b/>
                <w:color w:val="0F172A"/>
                <w:sz w:val="18"/>
              </w:rPr>
              <w:t>Mobile Client Application (Flutter)</w:t>
            </w:r>
          </w:p>
        </w:tc>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color w:val="334155"/>
                <w:sz w:val="18"/>
              </w:rPr>
              <w:t>Production Ready</w:t>
            </w:r>
          </w:p>
        </w:tc>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color w:val="334155"/>
                <w:sz w:val="18"/>
              </w:rPr>
              <w:t>Compiled Release APK (23.5 MB), 0 Lint Errors, 60 FPS</w:t>
            </w:r>
          </w:p>
        </w:tc>
      </w:tr>
      <w:tr>
        <w:trPr/>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rPr/>
            </w:pPr>
            <w:r>
              <w:rPr>
                <w:rFonts w:ascii="Calibri" w:hAnsi="Calibri"/>
                <w:b/>
                <w:color w:val="0F172A"/>
                <w:sz w:val="18"/>
              </w:rPr>
              <w:t>Web Admin Management Portal</w:t>
            </w:r>
          </w:p>
        </w:tc>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rPr/>
            </w:pPr>
            <w:r>
              <w:rPr>
                <w:rFonts w:ascii="Calibri" w:hAnsi="Calibri"/>
                <w:color w:val="334155"/>
                <w:sz w:val="18"/>
              </w:rPr>
              <w:t>Production Ready</w:t>
            </w:r>
          </w:p>
        </w:tc>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rPr/>
            </w:pPr>
            <w:r>
              <w:rPr>
                <w:rFonts w:ascii="Calibri" w:hAnsi="Calibri"/>
                <w:color w:val="334155"/>
                <w:sz w:val="18"/>
              </w:rPr>
              <w:t>8 Modules Verified, Responsive Mobile Drawer</w:t>
            </w:r>
          </w:p>
        </w:tc>
      </w:tr>
      <w:tr>
        <w:trPr/>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b/>
                <w:color w:val="0F172A"/>
                <w:sz w:val="18"/>
              </w:rPr>
              <w:t>Backend API &amp; HLS Transcoder</w:t>
            </w:r>
          </w:p>
        </w:tc>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color w:val="334155"/>
                <w:sz w:val="18"/>
              </w:rPr>
              <w:t>Production Ready</w:t>
            </w:r>
          </w:p>
        </w:tc>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color w:val="334155"/>
                <w:sz w:val="18"/>
              </w:rPr>
              <w:t>RBAC Protected, Rate Limited, 100% Tests Pass</w:t>
            </w:r>
          </w:p>
        </w:tc>
      </w:tr>
      <w:tr>
        <w:trPr/>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rPr/>
            </w:pPr>
            <w:r>
              <w:rPr>
                <w:rFonts w:ascii="Calibri" w:hAnsi="Calibri"/>
                <w:b/>
                <w:color w:val="0F172A"/>
                <w:sz w:val="18"/>
              </w:rPr>
              <w:t>Paystack Covenant Partner System</w:t>
            </w:r>
          </w:p>
        </w:tc>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rPr/>
            </w:pPr>
            <w:r>
              <w:rPr>
                <w:rFonts w:ascii="Calibri" w:hAnsi="Calibri"/>
                <w:color w:val="334155"/>
                <w:sz w:val="18"/>
              </w:rPr>
              <w:t>Production Ready</w:t>
            </w:r>
          </w:p>
        </w:tc>
        <w:tc>
          <w:tcPr>
            <w:tcW w:w="3312" w:type="dxa"/>
            <w:tcBorders>
              <w:top w:val="single" w:sz="4" w:space="0" w:color="CBD5E1"/>
              <w:bottom w:val="single" w:sz="4" w:space="0" w:color="CBD5E1"/>
            </w:tcBorders>
            <w:shd w:fill="F8FAFC"/>
            <w:tcMar>
              <w:top w:w="80" w:type="dxa"/>
              <w:bottom w:w="80" w:type="dxa"/>
            </w:tcMar>
          </w:tcPr>
          <w:p>
            <w:pPr>
              <w:pStyle w:val="Normal"/>
              <w:widowControl w:val="false"/>
              <w:spacing w:before="0" w:after="0"/>
              <w:rPr/>
            </w:pPr>
            <w:r>
              <w:rPr>
                <w:rFonts w:ascii="Calibri" w:hAnsi="Calibri"/>
                <w:color w:val="334155"/>
                <w:sz w:val="18"/>
              </w:rPr>
              <w:t>₦</w:t>
            </w:r>
            <w:r>
              <w:rPr>
                <w:rFonts w:ascii="Calibri" w:hAnsi="Calibri"/>
                <w:color w:val="334155"/>
                <w:sz w:val="18"/>
              </w:rPr>
              <w:t>2,500/mo &amp; ₦24,000/yr Auto-Billing Verified</w:t>
            </w:r>
          </w:p>
        </w:tc>
      </w:tr>
      <w:tr>
        <w:trPr/>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b/>
                <w:color w:val="0F172A"/>
                <w:sz w:val="18"/>
              </w:rPr>
              <w:t>Cloud Hosting &amp; Media Pipeline</w:t>
            </w:r>
          </w:p>
        </w:tc>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color w:val="334155"/>
                <w:sz w:val="18"/>
              </w:rPr>
              <w:t>Production Ready</w:t>
            </w:r>
          </w:p>
        </w:tc>
        <w:tc>
          <w:tcPr>
            <w:tcW w:w="3312" w:type="dxa"/>
            <w:tcBorders>
              <w:top w:val="single" w:sz="4" w:space="0" w:color="CBD5E1"/>
              <w:bottom w:val="single" w:sz="4" w:space="0" w:color="CBD5E1"/>
            </w:tcBorders>
            <w:shd w:fill="FFFFFF"/>
            <w:tcMar>
              <w:top w:w="80" w:type="dxa"/>
              <w:bottom w:w="80" w:type="dxa"/>
            </w:tcMar>
          </w:tcPr>
          <w:p>
            <w:pPr>
              <w:pStyle w:val="Normal"/>
              <w:widowControl w:val="false"/>
              <w:spacing w:before="0" w:after="0"/>
              <w:rPr/>
            </w:pPr>
            <w:r>
              <w:rPr>
                <w:rFonts w:ascii="Calibri" w:hAnsi="Calibri"/>
                <w:color w:val="334155"/>
                <w:sz w:val="18"/>
              </w:rPr>
              <w:t>Cloudflare R2 ($0 Egress) + AWS Deployment Blueprint</w:t>
            </w:r>
          </w:p>
        </w:tc>
      </w:tr>
    </w:tbl>
    <w:p>
      <w:pPr>
        <w:pStyle w:val="Normal"/>
        <w:spacing w:before="0" w:after="160"/>
        <w:rPr/>
      </w:pPr>
      <w:r>
        <w:rPr/>
      </w:r>
    </w:p>
    <w:p>
      <w:pPr>
        <w:pStyle w:val="Normal"/>
        <w:keepNext w:val="true"/>
        <w:spacing w:before="280" w:after="40"/>
        <w:rPr/>
      </w:pPr>
      <w:r>
        <w:rPr>
          <w:i/>
        </w:rPr>
        <w:t>Respectfully submitted,</w:t>
        <w:br/>
      </w:r>
      <w:r>
        <w:rPr>
          <w:b/>
          <w:bCs/>
          <w:i/>
        </w:rPr>
        <w:t>Pastor</w:t>
      </w:r>
      <w:r>
        <w:rPr>
          <w:i/>
        </w:rPr>
        <w:t xml:space="preserve"> </w:t>
      </w:r>
      <w:r>
        <w:rPr>
          <w:b/>
          <w:color w:val="0F172A"/>
          <w:sz w:val="22"/>
        </w:rPr>
        <w:t xml:space="preserve">Emmanuel </w:t>
      </w:r>
      <w:r>
        <w:rPr>
          <w:b/>
          <w:color w:val="0F172A"/>
          <w:sz w:val="22"/>
        </w:rPr>
        <w:t>Obinezu</w:t>
      </w:r>
      <w:r>
        <w:rPr>
          <w:b/>
          <w:color w:val="0F172A"/>
          <w:sz w:val="22"/>
        </w:rPr>
        <w:br/>
      </w:r>
      <w:r>
        <w:rPr>
          <w:color w:val="64748B"/>
          <w:sz w:val="19"/>
        </w:rPr>
        <w:t>Lead Software Engineer &amp; Technical Project Lead</w:t>
        <w:br/>
        <w:t>LCM Media Technology Division</w:t>
        <w:br/>
        <w:t>Life Changers Touch International</w:t>
      </w:r>
    </w:p>
    <w:sectPr>
      <w:footerReference w:type="default" r:id="rId3"/>
      <w:type w:val="nextPage"/>
      <w:pgSz w:w="12240" w:h="15840"/>
      <w:pgMar w:left="1152" w:right="1152" w:gutter="0" w:header="0" w:top="1152" w:footer="720" w:bottom="1152"/>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Fonts w:ascii="Calibri" w:hAnsi="Calibri"/>
        <w:color w:val="94A3B8"/>
        <w:sz w:val="17"/>
      </w:rPr>
      <w:t>LCM Audios • Executive Architecture &amp; Operations Report • Page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6"/>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Application>LibreOffice/7.3.2.2$Windows_X86_64 LibreOffice_project/49f2b1bff42cfccbd8f788c8dc32c1c309559be0</Application>
  <AppVersion>15.0000</AppVersion>
  <Pages>7</Pages>
  <Words>2384</Words>
  <Characters>14993</Characters>
  <CharactersWithSpaces>17108</CharactersWithSpaces>
  <Paragraphs>213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2026-09-25T09:26:38Z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