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5D47D06D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University (September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2020</w:t>
            </w:r>
            <w:r w:rsidR="007407C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 –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goal is to produce general rules of thumb for the best invasive pest management strategies, and for the budgetary balance between management and surveillance. I will use these rules of thumb to create an open-source tool for Canadian forests in collaboration with other lab members and Canadian government agencies, including Natural Resources Canada- Canadian Forest Service (NRCan-CFS), and the Canadian Food Inspection Agency (CFIA).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2BEE712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has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time. My study system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wa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 invasive forest pests, where human transport (via firewood and analogous mechanisms)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leads to largescale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generalities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across species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4F67E3C6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Eve McDonald-Madden Lab, University of Queensland (February 2018-May 2018)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44AEA98E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Tierra Co. (February 2020-</w:t>
            </w:r>
            <w:r w:rsidR="00341E5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Dec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77777777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STEMM Diversity @ McGill (September 2017-November 2017)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  <w:proofErr w:type="gramEnd"/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167930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LaTeX</w:t>
            </w:r>
            <w:r w:rsidR="00BC750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(good),</w:t>
            </w:r>
            <w:r w:rsidR="00A21F8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MATLAB (good),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0C03075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GUROBI,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QGIS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ArcGIS, 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RStudio,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SAS, MATLAB,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Hub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Open Science Framework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Google Drive/OneDrive/Dropbox, Mendeley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43C28B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2F30EE8" w14:textId="585C058E" w:rsidR="008111EC" w:rsidRPr="00B6184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B6184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B6184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Davies, T. J., &amp; Leung, B. </w:t>
            </w:r>
            <w:r w:rsidRPr="00115E1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 unifying phylogenetic model of amplification and dilution effects of host biodiversity on pest establishmen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t.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</w:p>
          <w:p w14:paraId="718FC1F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1A302" w14:textId="77777777" w:rsidR="008111EC" w:rsidRPr="00921F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Helmus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 .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R., De Bona, S., &amp;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Risk of cashing out the global invasion credit: An emerging agricultural pest in the U.S. heralds a new era of invasive species impacts. </w:t>
            </w:r>
            <w:r w:rsidRPr="00921FA3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prep. </w:t>
            </w:r>
          </w:p>
          <w:p w14:paraId="46A7621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49A6D90" w14:textId="330F7073" w:rsidR="00915A84" w:rsidRPr="003A418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="00915A84"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</w:t>
            </w:r>
            <w:r w:rsidR="003A4181"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  <w:r w:rsidR="003A418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9C6056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  <w:r w:rsidR="00562C00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Preprint</w:t>
            </w:r>
            <w:r w:rsidR="00915A8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:</w:t>
            </w:r>
            <w:r w:rsidR="00915A84" w:rsidRPr="00915A84">
              <w:rPr>
                <w:rFonts w:ascii="Gill Sans MT" w:hAnsi="Gill Sans MT"/>
                <w:color w:val="333333"/>
                <w:sz w:val="22"/>
                <w:szCs w:val="22"/>
                <w:shd w:val="clear" w:color="auto" w:fill="FFFFFF"/>
                <w:lang w:val="en-CA"/>
              </w:rPr>
              <w:t xml:space="preserve"> </w:t>
            </w:r>
            <w:hyperlink r:id="rId5" w:history="1">
              <w:r w:rsidR="00915A84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https://doi.org/10.1101/2021.04.24.441210</w:t>
              </w:r>
            </w:hyperlink>
          </w:p>
          <w:p w14:paraId="5C00E229" w14:textId="552D523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0A61D4DF" w14:textId="63759C12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A.J.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proofErr w:type="gram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,C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Moodley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P.J.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Species on the move: Stowaways and contaminants cause the greatest economic impacts. </w:t>
            </w:r>
            <w:r w:rsidR="00FB7692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revision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ogical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Invasions.</w:t>
            </w:r>
            <w:r w:rsidR="00915A8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6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https://doi.org/10.21203/rs.3.rs-440305/v1</w:t>
              </w:r>
            </w:hyperlink>
          </w:p>
          <w:p w14:paraId="6AE6C722" w14:textId="77777777" w:rsidR="003A4181" w:rsidRDefault="003A4181" w:rsidP="00D522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7CC626E8" w14:textId="1125FB04" w:rsidR="00D52234" w:rsidRDefault="00D52234" w:rsidP="00D522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 w:rsidR="00FB7692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review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Biological Invasions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3A418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7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https://doi.org/10.21203/rs.3.rs-300416/v1</w:t>
              </w:r>
            </w:hyperlink>
          </w:p>
          <w:p w14:paraId="68C6AFBA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31F695F5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Ahmed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D. </w:t>
            </w:r>
            <w:r w:rsidRPr="00FB7692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R.,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Renault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C.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 &amp;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7B5F8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Modelling the damage costs of invasive alien species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="00FB7692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3A418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8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https://doi.org/10.21203/rs.3.rs-380351/v1</w:t>
              </w:r>
            </w:hyperlink>
          </w:p>
          <w:p w14:paraId="45EF833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DC50C18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Crystal-Ornelas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R.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7B5F8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Cuthbert,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R. N.,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P. 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J.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Angulo,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Kramer,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Ballesteros-Mejia,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Leroy,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Leung,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B.,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López-López,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29562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F6304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7777777" w:rsidR="008111EC" w:rsidRPr="00084A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lastRenderedPageBreak/>
              <w:t>Hudgins, E.J.,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084AA3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(2019). 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 new baseline for countrywide α-diversity and species distributions: illustration using &gt;6000 plant species in Panama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Ecological Applications (2019) 29(3): </w:t>
            </w:r>
            <w:r w:rsidRPr="001F6FD2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e01866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1A3A2AA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7777777" w:rsidR="008111EC" w:rsidRPr="007763D5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Predatory </w:t>
            </w:r>
            <w:proofErr w:type="spellStart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od in response to the presence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of conspecifics and predation risk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F9D74C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Citizen science surveys elucidate key foraging and nesting habitat for two endangered marine turtle species within </w:t>
            </w:r>
          </w:p>
          <w:p w14:paraId="7BB17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the Republic of Maldives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84B9DDC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3190FE93" w14:textId="229EF5D8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*equivalent contribution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E0F6353" w14:textId="77777777" w:rsidR="00E47F9E" w:rsidRDefault="00E47F9E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0B9E477" w14:textId="1A7BE7D1" w:rsidR="008111EC" w:rsidRPr="00E47F9E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E47F9E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Presented at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</w:t>
            </w:r>
            <w:r w:rsidR="008D5E1D" w:rsidRP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​International Association for Landscape Ecology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– North America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conference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April 12</w:t>
            </w:r>
            <w:r w:rsidR="002C4E0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2021, in the organised symposium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“Forecasting Biological Invasions”.</w:t>
            </w:r>
          </w:p>
          <w:p w14:paraId="7A886C34" w14:textId="77777777" w:rsidR="00B35F45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67E90C9" w14:textId="45020BB8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proofErr w:type="gramStart"/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1E07AF5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6B1982F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9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5BE3A51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4741D320" w14:textId="5EA4CCFB" w:rsidR="00FB7692" w:rsidRDefault="00FB769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Student Development Theory in Higher Education Workshop (</w:t>
            </w:r>
          </w:p>
          <w:p w14:paraId="6B49F7D6" w14:textId="5840C139" w:rsidR="000A6DA6" w:rsidRDefault="000A6DA6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Cross-Cultural Competency Workshop (April 20-21, 2021)</w:t>
            </w:r>
          </w:p>
          <w:p w14:paraId="7D65814E" w14:textId="38F92AF8" w:rsidR="005714A0" w:rsidRDefault="005714A0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Effective Communication and De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-E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scalation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Skills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Workshop 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gramEnd"/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April 15-16, 2021)</w:t>
            </w:r>
          </w:p>
          <w:p w14:paraId="5F35D91B" w14:textId="4FA23CEA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061D54C4" w14:textId="45CE5942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Carleton Indigenous Cultural Awareness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Worksop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(February 19, 2021)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71B2404D" w14:textId="4CC2963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7C3FED10" w14:textId="4A8F1E3C" w:rsidR="00341E52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6F87D071" w14:textId="18CB5066" w:rsidR="00341E52" w:rsidRDefault="00341E5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Urban Forestry &amp; Urban Greening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129F60B4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EAE1AE6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</w:t>
            </w:r>
            <w:proofErr w:type="gram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proofErr w:type="gramEnd"/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205C1FF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6B7F98CB" w14:textId="33BE2347" w:rsidR="00771924" w:rsidRPr="00575739" w:rsidRDefault="0077192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A6DA6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C4E01"/>
    <w:rsid w:val="002D613B"/>
    <w:rsid w:val="00323CFB"/>
    <w:rsid w:val="00334B2C"/>
    <w:rsid w:val="00341E52"/>
    <w:rsid w:val="00343BC2"/>
    <w:rsid w:val="00397015"/>
    <w:rsid w:val="003A4181"/>
    <w:rsid w:val="003B3E33"/>
    <w:rsid w:val="003D306E"/>
    <w:rsid w:val="003F6805"/>
    <w:rsid w:val="00452AFA"/>
    <w:rsid w:val="004544E7"/>
    <w:rsid w:val="0045656D"/>
    <w:rsid w:val="004928E3"/>
    <w:rsid w:val="00496DAF"/>
    <w:rsid w:val="004A46C3"/>
    <w:rsid w:val="004F2E8C"/>
    <w:rsid w:val="00543EE5"/>
    <w:rsid w:val="005522E1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1427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07CE"/>
    <w:rsid w:val="007448EE"/>
    <w:rsid w:val="00771924"/>
    <w:rsid w:val="007763D5"/>
    <w:rsid w:val="00780B7D"/>
    <w:rsid w:val="007954D2"/>
    <w:rsid w:val="00797CA3"/>
    <w:rsid w:val="007B5F8B"/>
    <w:rsid w:val="007E3BB1"/>
    <w:rsid w:val="00811080"/>
    <w:rsid w:val="008111EC"/>
    <w:rsid w:val="008324F8"/>
    <w:rsid w:val="00841347"/>
    <w:rsid w:val="00844728"/>
    <w:rsid w:val="008556F5"/>
    <w:rsid w:val="00861340"/>
    <w:rsid w:val="008706EB"/>
    <w:rsid w:val="00876ABC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C6056"/>
    <w:rsid w:val="009F7B62"/>
    <w:rsid w:val="00A1451A"/>
    <w:rsid w:val="00A21F85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5F45"/>
    <w:rsid w:val="00B36409"/>
    <w:rsid w:val="00B42657"/>
    <w:rsid w:val="00B43AB2"/>
    <w:rsid w:val="00B4412A"/>
    <w:rsid w:val="00B60E92"/>
    <w:rsid w:val="00B61842"/>
    <w:rsid w:val="00B73A00"/>
    <w:rsid w:val="00BA4E8A"/>
    <w:rsid w:val="00BB6143"/>
    <w:rsid w:val="00BC750B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B6786"/>
    <w:rsid w:val="00DC323E"/>
    <w:rsid w:val="00DF52EF"/>
    <w:rsid w:val="00E47F9E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426E4"/>
    <w:rsid w:val="00F56625"/>
    <w:rsid w:val="00F74022"/>
    <w:rsid w:val="00F91F40"/>
    <w:rsid w:val="00FA186C"/>
    <w:rsid w:val="00FB7692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03/rs.3.rs-380351/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1203/rs.3.rs-300416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203/rs.3.rs-440305/v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01/2021.04.24.4412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beagle.qcb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2248</Words>
  <Characters>12885</Characters>
  <Application>Microsoft Office Word</Application>
  <DocSecurity>0</DocSecurity>
  <Lines>226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2</cp:revision>
  <cp:lastPrinted>2021-04-28T19:09:00Z</cp:lastPrinted>
  <dcterms:created xsi:type="dcterms:W3CDTF">2021-06-21T17:58:00Z</dcterms:created>
  <dcterms:modified xsi:type="dcterms:W3CDTF">2021-06-21T17:58:00Z</dcterms:modified>
</cp:coreProperties>
</file>