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91"/>
        <w:tblW w:w="103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8"/>
        <w:gridCol w:w="7951"/>
        <w:gridCol w:w="113"/>
      </w:tblGrid>
      <w:tr w:rsidR="008111EC" w14:paraId="38719FE2" w14:textId="77777777" w:rsidTr="008111EC">
        <w:trPr>
          <w:gridAfter w:val="1"/>
          <w:wAfter w:w="113" w:type="dxa"/>
          <w:trHeight w:val="396"/>
        </w:trPr>
        <w:tc>
          <w:tcPr>
            <w:tcW w:w="10209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</w:tcPr>
          <w:p w14:paraId="673A08D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bidi="en-US"/>
              </w:rPr>
              <w:t>Emma J. Hudgins, PhD</w:t>
            </w:r>
          </w:p>
        </w:tc>
      </w:tr>
      <w:tr w:rsidR="008111EC" w14:paraId="2FF66F8A" w14:textId="77777777" w:rsidTr="008111EC">
        <w:trPr>
          <w:gridAfter w:val="1"/>
          <w:wAfter w:w="113" w:type="dxa"/>
          <w:trHeight w:val="1445"/>
        </w:trPr>
        <w:tc>
          <w:tcPr>
            <w:tcW w:w="10209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</w:tcPr>
          <w:p w14:paraId="7A0F660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3BCA454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Department of Biology, Carleton University</w:t>
            </w:r>
          </w:p>
          <w:p w14:paraId="59D199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1-514-245-2054    </w:t>
            </w:r>
          </w:p>
          <w:p w14:paraId="5901619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emma.hudgins@carleton.ca</w:t>
            </w:r>
          </w:p>
          <w:p w14:paraId="250A566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Twitter/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:@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emmajhudgins</w:t>
            </w:r>
            <w:proofErr w:type="spellEnd"/>
          </w:p>
          <w:p w14:paraId="18A1276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ejhudgins.com</w:t>
            </w:r>
          </w:p>
          <w:p w14:paraId="797246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</w:p>
        </w:tc>
      </w:tr>
      <w:tr w:rsidR="008111EC" w14:paraId="619AC07B" w14:textId="77777777" w:rsidTr="008111EC">
        <w:trPr>
          <w:trHeight w:val="172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21BCB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5551086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Current Appointment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BB338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B5788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Carleton University (September 2020)</w:t>
            </w:r>
          </w:p>
          <w:p w14:paraId="74DE61E8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Position: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Postdoctoral Fellow</w:t>
            </w:r>
          </w:p>
          <w:p w14:paraId="125EF353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FRQNT B3X ($90,000)</w:t>
            </w:r>
          </w:p>
          <w:p w14:paraId="5FA97C4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Principal Investigator: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Prof. Joseph Bennett</w:t>
            </w:r>
          </w:p>
          <w:p w14:paraId="70A4D17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Project Description: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295628" w:rsidRP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 </w:t>
            </w:r>
            <w:r w:rsid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My 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goal is to produce general rules of thumb for the best invasive pest management strategies, and for the budgetary balance between management and surveillance. I will use these rules of thumb to create an open-source tool for Canadian forests in collaboration with other lab members and Canadian government agencies, including Natural Resources Canada- Canadian Forest Service (NRCan-CFS), and the Canadian Food Inspection Agency (CFIA).</w:t>
            </w:r>
          </w:p>
          <w:p w14:paraId="0412D5A5" w14:textId="638140EE" w:rsidR="00295628" w:rsidRP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8111EC" w14:paraId="310152A7" w14:textId="77777777" w:rsidTr="008111EC">
        <w:trPr>
          <w:trHeight w:val="7776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D7089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71AE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Education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3595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2C7666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2016 – September 2020)</w:t>
            </w:r>
          </w:p>
          <w:p w14:paraId="46B1058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PhD in Biology</w:t>
            </w:r>
          </w:p>
          <w:p w14:paraId="102E63D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5EB8E760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CGS-D ($105,000)</w:t>
            </w:r>
          </w:p>
          <w:p w14:paraId="769137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3C0BEDD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I aimed to build general multispecies models for the various stages of species invasions that are applicable at the large scales.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My research has focused on both a more descriptive understanding the initial establishment and dispersal phases of invasions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nd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delineating the impacts caused by species across space and time, to more prescriptive analyses of optimal management practices to control invasive spread and limit economic losses. I am interested in uncovering broad generalities that emerge across species in spite of their idiosyncrasies, as a consequence of anthropogenic processes. My current study system is invasive forest pests, where human transport (via firewood and analogous mechanisms) is the main source of these largescale generalities. </w:t>
            </w:r>
          </w:p>
          <w:p w14:paraId="30B11D9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5C7F4D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2015 – August 2016)</w:t>
            </w:r>
          </w:p>
          <w:p w14:paraId="330848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MSc in Biology</w:t>
            </w:r>
          </w:p>
          <w:p w14:paraId="5FDF92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1F12D114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CGS-M ($17,500)</w:t>
            </w:r>
          </w:p>
          <w:p w14:paraId="2FEBB21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001C4E04" w14:textId="77777777" w:rsidR="008111EC" w:rsidRPr="000E002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Same as above</w:t>
            </w:r>
            <w:r w:rsidRPr="002D613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Fast-tracked to PhD after 1yr)</w:t>
            </w:r>
          </w:p>
          <w:p w14:paraId="58E996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368BF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(August 2011- May 2015)</w:t>
            </w:r>
          </w:p>
          <w:p w14:paraId="0BA5569C" w14:textId="77777777" w:rsidR="008111EC" w:rsidRPr="007E3BB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Bachelor of Science,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Biological, Biomedical and Life Sciences: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Biology, Minor Environment</w:t>
            </w:r>
          </w:p>
          <w:p w14:paraId="60F84F26" w14:textId="77777777" w:rsidR="008111EC" w:rsidRP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Graduating CGPA: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3.97 (First Class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Dean’s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List)</w:t>
            </w:r>
          </w:p>
        </w:tc>
      </w:tr>
      <w:tr w:rsidR="008111EC" w14:paraId="55B7C754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ACC8F1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499FE3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Teaching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BB02F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B6D75EE" w14:textId="4F67E3C6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Independent Study Supervisor 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ENSC 4901 – Directed Studies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proofErr w:type="spellStart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Chibudom</w:t>
            </w:r>
            <w:proofErr w:type="spellEnd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Orji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Shujin</w:t>
            </w:r>
            <w:proofErr w:type="spellEnd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Chen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Winter 2021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2151E7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E359F9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Mentor 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5512 – Advances in Applied Ecology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4A3896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7EF0E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373 -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Biometry (Fall 2015, 2016, 2017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2018,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</w:t>
            </w:r>
          </w:p>
          <w:p w14:paraId="290126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C2270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ENVR 202 – The Evolving Earth (Winter 2015, 2016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2017,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</w:t>
            </w:r>
          </w:p>
          <w:p w14:paraId="40383F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F3A5E9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Undergraduate TA - </w:t>
            </w:r>
            <w:r w:rsidRPr="006D2B4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308 – Ecological Dynamics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 (Winter 2015)</w:t>
            </w:r>
          </w:p>
          <w:p w14:paraId="4630B5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83F9C8F" w14:textId="77777777" w:rsidTr="008111EC">
        <w:trPr>
          <w:trHeight w:val="3634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666D4E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20297A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 xml:space="preserve">Academic </w:t>
            </w:r>
          </w:p>
          <w:p w14:paraId="287FE30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D35D1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4B3C1D2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Eve McDonald-Madden Lab, University of Queensland (February 2018-May 2018)-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Visiting Scholar</w:t>
            </w:r>
          </w:p>
          <w:p w14:paraId="1F1F5B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10038CE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Brian Leung Lab, McGill (September 2014-May 2015)-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Researcher</w:t>
            </w:r>
          </w:p>
          <w:p w14:paraId="508FF7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E1C79B7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71DCC">
              <w:rPr>
                <w:rFonts w:ascii="Arial" w:hAnsi="Arial" w:cs="Arial"/>
                <w:b/>
                <w:sz w:val="22"/>
                <w:szCs w:val="22"/>
              </w:rPr>
              <w:t>Canadian Rivers Institute (CRI), University of New Brunswick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71DCC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671DCC">
              <w:rPr>
                <w:rFonts w:ascii="Arial" w:hAnsi="Arial" w:cs="Arial"/>
                <w:b/>
                <w:bCs/>
                <w:sz w:val="22"/>
                <w:szCs w:val="22"/>
              </w:rPr>
              <w:t>May 2012 – September 2015)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Summer Student (3 NSERC USRAs)</w:t>
            </w:r>
          </w:p>
          <w:p w14:paraId="657636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30B1342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Anthony Ricciardi Lab, Redpath Museum, McGill (January 2014-May 2014)-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study student</w:t>
            </w:r>
          </w:p>
          <w:p w14:paraId="5AEE89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C25266B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David 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Green Lab,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Redpath Museum,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McGill (January 2013-May 2013)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wet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lab volunteer</w:t>
            </w:r>
          </w:p>
        </w:tc>
      </w:tr>
      <w:tr w:rsidR="008111EC" w14:paraId="072A7F0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B65CA9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B19652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84B989C" w14:textId="44AEA98E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Tierra Co. (February 2020-</w:t>
            </w:r>
            <w:r w:rsidR="00341E52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Dec 2020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 -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Statistical Consultant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</w:p>
        </w:tc>
      </w:tr>
      <w:tr w:rsidR="008111EC" w14:paraId="60D4B8FF" w14:textId="77777777" w:rsidTr="008111EC">
        <w:trPr>
          <w:trHeight w:val="72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457E7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B6500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Service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CC5F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1739FAD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Carleton Biology Department Board (Sept 2020-Current)-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Alternate postdoc representative</w:t>
            </w:r>
          </w:p>
          <w:p w14:paraId="0BC1806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96786A6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2019-Sept 2020)-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Social Media Representative</w:t>
            </w:r>
          </w:p>
          <w:p w14:paraId="33A54D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79F92E4" w14:textId="77777777" w:rsidR="008111EC" w:rsidRPr="000F76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Faculty of Science Committee on Equity and Climate, McGill University (September 2019-Current)-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Graduate student representative</w:t>
            </w:r>
          </w:p>
          <w:p w14:paraId="6FD335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BD448C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Postgraduate Students Society of McGill University Equity Committee (September 2017 – May 2020)-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Biology Graduate Student Representative</w:t>
            </w:r>
          </w:p>
          <w:p w14:paraId="3BFB676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6BBC61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Biology Department Day and Equity Workshop (3 events from 2017-2019)-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Co-organizer</w:t>
            </w:r>
          </w:p>
          <w:p w14:paraId="5CAC60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C10A511" w14:textId="77777777" w:rsidR="008111EC" w:rsidRPr="004F2E8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STEMM Diversity @ McGill (September 2017-November 2017)0 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Volunteer</w:t>
            </w:r>
          </w:p>
          <w:p w14:paraId="0599660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8EAEC4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Equity in STEMM Working Group (January 2016-September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Co-founder</w:t>
            </w:r>
          </w:p>
          <w:p w14:paraId="17768D2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A11B7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2017-August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lastRenderedPageBreak/>
              <w:t>Equity and Diversity Representative</w:t>
            </w:r>
          </w:p>
          <w:p w14:paraId="54AF36C3" w14:textId="77777777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C15DE68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C9E68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6B9DA55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Skills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DD658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D8BF0C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Programming Languages: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 (excellent), Python (very good), bash/shell (very good), CSS (good), Markdown (good), C/C++ (basic).</w:t>
            </w:r>
          </w:p>
          <w:p w14:paraId="5CA1309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ED16446" w14:textId="1527A7C1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Software: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QGIS</w:t>
            </w:r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ArcGIS, </w:t>
            </w:r>
            <w:r w:rsidR="00D5223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RStudio,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SAS, MATLAB, GitHub</w:t>
            </w:r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Open Science Framework</w:t>
            </w:r>
            <w:r w:rsidR="00D5223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Google Drive/OneDrive/Dropbox, Mendeley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200A8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E472C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Quantitative methods: </w:t>
            </w:r>
            <w:r w:rsidRPr="007041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Routine use of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GLMM, GAM, Boosted Regression Trees, Bayesian methods, simulation modelling, Latin Hypercube sampling,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Nelder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6B8DD55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B3D440A" w14:textId="1F610D8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Field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Techniques</w:t>
            </w: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386815B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276F8813" w14:textId="77777777" w:rsidTr="008111EC">
        <w:trPr>
          <w:trHeight w:val="567"/>
        </w:trPr>
        <w:tc>
          <w:tcPr>
            <w:tcW w:w="225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01F5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</w:p>
        </w:tc>
        <w:tc>
          <w:tcPr>
            <w:tcW w:w="806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417D44" w14:textId="5B6DB30F" w:rsidR="008111EC" w:rsidRPr="005522E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Language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s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: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English (native)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and French (conversational)</w:t>
            </w:r>
          </w:p>
        </w:tc>
      </w:tr>
      <w:tr w:rsidR="008111EC" w14:paraId="2283241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AF5D7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11638278" w14:textId="3452B6D0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43C28B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2F30EE8" w14:textId="585C058E" w:rsidR="008111EC" w:rsidRPr="00B6184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B61842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 w:rsidRPr="00B61842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Davies, T. J., &amp; Leung, B. </w:t>
            </w:r>
            <w:r w:rsidRPr="00115E1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 unifying phylogenetic model of amplification and dilution effects of host biodiversity on pest establishmen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t.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In prep.</w:t>
            </w:r>
          </w:p>
          <w:p w14:paraId="718FC1F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1A302" w14:textId="77777777" w:rsidR="008111EC" w:rsidRPr="00921FA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  <w:lang w:val="en-CA"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Helmus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M .R., De Bona, S., &amp;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Risk of cashing out the global invasion credit: An emerging agricultural pest in the U.S. heralds a new era of invasive species impacts. </w:t>
            </w:r>
            <w:r w:rsidRPr="00921FA3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In prep. </w:t>
            </w:r>
          </w:p>
          <w:p w14:paraId="46A7621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E69CD97" w14:textId="3A639D73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J.,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Estimating damage to urban trees from US invasive forest pests. 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In prep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.</w:t>
            </w:r>
          </w:p>
          <w:p w14:paraId="5C00E229" w14:textId="2950588D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0A61D4DF" w14:textId="78E08505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Turbelin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A.J.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,C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Pr="00D52234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Moodley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D.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P.J.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et al.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val="en-CA" w:bidi="en-US"/>
              </w:rPr>
              <w:t xml:space="preserve">. 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Species on the move: Stowaways and contaminants cause the greatest economic impacts. </w:t>
            </w:r>
            <w:r w:rsidRP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Submitted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P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Biol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ogical</w:t>
            </w:r>
            <w:r w:rsidRP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Invasions.</w:t>
            </w:r>
          </w:p>
          <w:p w14:paraId="122AFEA4" w14:textId="1677832B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</w:p>
          <w:p w14:paraId="7CC626E8" w14:textId="2C913447" w:rsidR="00D52234" w:rsidRPr="00D52234" w:rsidRDefault="00D52234" w:rsidP="00D5223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Ahmed, D.A.*, </w:t>
            </w:r>
            <w:r w:rsidRPr="00D52234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E.J.*,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R.N.*, </w:t>
            </w: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Kourantidou</w:t>
            </w:r>
            <w:proofErr w:type="spellEnd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M., </w:t>
            </w: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et al.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Managing biological invasions: the cost of inaction. </w:t>
            </w:r>
            <w:r w:rsidRP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Submitted</w:t>
            </w:r>
            <w:r w:rsidR="007448EE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P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Biological Invasions</w:t>
            </w:r>
            <w:r w:rsidR="007448EE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</w:p>
          <w:p w14:paraId="68C6AFBA" w14:textId="77777777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28F1239A" w14:textId="1F67B63B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Ahmed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D. Hudgins, E.J.,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R.,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Renault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D.,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Bonnaud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E.,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 &amp;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 w:rsidRPr="007B5F8B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Modelling the damage costs of invasive alien species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r w:rsid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Resubmitted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 Biological Invasions.</w:t>
            </w:r>
          </w:p>
          <w:p w14:paraId="45EF833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1089BEA2" w14:textId="0DC50C18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Crystal-Ornelas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R.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Pr="007B5F8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Cuthbert,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R. N.,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P. J.,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Fantle-Lepczyk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J.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Angulo,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E.,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Kramer,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Ballesteros-Mejia,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L.,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Leroy,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B.,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Leung,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B.,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López-López,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E.,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&amp;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Economic costs of biological invasions within North America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r w:rsidR="0029562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press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Neobiota</w:t>
            </w:r>
            <w:proofErr w:type="spellEnd"/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</w:p>
          <w:p w14:paraId="0F6304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4B720AF" w14:textId="77777777" w:rsidR="008111EC" w:rsidRPr="00084AA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</w:pP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A.M., &amp; Leung, B. Comparing generalized to customized models for United States invasive forest pests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. Ecological Applications (2020) </w:t>
            </w:r>
            <w:r w:rsidRPr="00084AA3"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  <w:t>30 (1), e01988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606DD07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6FE4090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lastRenderedPageBreak/>
              <w:t xml:space="preserve">Leung, B.,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Potapova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A., &amp; Ruiz-Jaen, M. (2019). </w:t>
            </w:r>
            <w:r w:rsidRPr="0099055F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 new baseline for countrywide α-diversity and species distributions: illustration using &gt;6000 plant species in Panama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Ecological Applications (2019) 29(3): </w:t>
            </w:r>
            <w:r w:rsidRPr="001F6FD2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e01866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1A3A2AA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44841B6B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Corrigendum: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</w:t>
            </w:r>
            <w:r w:rsidRPr="0099055F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Ecology Letters (2018) 21(11): 1752-1754.</w:t>
            </w:r>
          </w:p>
          <w:p w14:paraId="1B1CB9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7FCB7BA" w14:textId="77777777" w:rsidR="008111EC" w:rsidRPr="007763D5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 Ecology Letters (2017) 20(4): 426-435.</w:t>
            </w:r>
          </w:p>
          <w:p w14:paraId="752139B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6B088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J.C., </w:t>
            </w: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.J.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Dick, J.T.A., &amp; Ricciardi, A.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Predatory </w:t>
            </w:r>
            <w:proofErr w:type="spellStart"/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of an invasive amphip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od in response to the presence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of conspecifics and predation risk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Canadian Journal of Fisheries and Aquatic Sciences (2017) 75(1): 131-140</w:t>
            </w:r>
          </w:p>
          <w:p w14:paraId="0D7696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0F9D74C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Hudgins, J., </w:t>
            </w: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.J.,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Ali, K., &amp; Mancini, A.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Citizen science surveys elucidate key foraging and nesting habitat for two endangered marine turtle species within </w:t>
            </w:r>
          </w:p>
          <w:p w14:paraId="7BB17C2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the Republic of Maldives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Herpetology Notes (2017) 10: 463-471.</w:t>
            </w:r>
          </w:p>
          <w:p w14:paraId="684B9DDC" w14:textId="77777777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3190FE93" w14:textId="229EF5D8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*equivalent contribution</w:t>
            </w:r>
          </w:p>
        </w:tc>
      </w:tr>
      <w:tr w:rsidR="008111EC" w14:paraId="239558D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9C26F8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33E1BB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Oral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70B9E47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67E90C9" w14:textId="77777777" w:rsidR="008111EC" w:rsidRPr="00162ACE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&amp;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World Conference on Natural Resource Modelling, May 23</w:t>
            </w:r>
            <w:r w:rsidRPr="0062752D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2019 (International Conference – Graduate work). 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  <w:t>Winner – Best Student Presentation.</w:t>
            </w:r>
          </w:p>
          <w:p w14:paraId="608523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B731B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&amp;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How to get meaningful results from opportunistic photo-ID data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February 2nd, 2019. (International Conference - Side project).</w:t>
            </w:r>
          </w:p>
          <w:p w14:paraId="04FC03D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32C2366" w14:textId="77777777" w:rsidR="008111EC" w:rsidRPr="00BA4E8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E.J.*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BA4E8A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pests.</w:t>
            </w:r>
            <w:r w:rsidRPr="00BA4E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Quebec Centre for Biodiversity Science Symposium, December 12th, 2018 (Regional Conference - Graduate work).</w:t>
            </w:r>
          </w:p>
          <w:p w14:paraId="5F56E7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3EEC0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8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- Graduate work).</w:t>
            </w:r>
          </w:p>
          <w:p w14:paraId="196DE95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89CD8F7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Mathematics of Biological Systems Management conference, University of Melbourne, April 6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– Graduate work)</w:t>
            </w:r>
          </w:p>
          <w:p w14:paraId="243C3DF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6221C7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invited seminar – Graduate work)</w:t>
            </w:r>
          </w:p>
          <w:p w14:paraId="55AA3AF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EA44794" w14:textId="77777777" w:rsidR="008111EC" w:rsidRPr="008C05C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Determining abundance, apparent survival, and temporary emigration for hawksbill turtles using opportunistic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photo-ID data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 in the Republic of Maldives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International Sea Turtle Symposium,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lastRenderedPageBreak/>
              <w:t>February 18th, 2018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(International Conference - Side project).</w:t>
            </w:r>
          </w:p>
          <w:p w14:paraId="7F5AE7A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D7611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15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(Regional Conference - Graduate work).</w:t>
            </w:r>
          </w:p>
          <w:p w14:paraId="158F92E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04597A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Ecology and Evolution Lunches series, Nov 23</w:t>
            </w:r>
            <w:r w:rsidRPr="004F2E8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, 2017. (Departmental invited seminar - Graduate work).</w:t>
            </w:r>
          </w:p>
          <w:p w14:paraId="01E96CD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7300836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The effect of host diversity on the establishment of United States invasive forest pests.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Presented at the McGill Conservation, Ecology, Evolution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retreat, April 8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(Departmental Conference - Graduate work).</w:t>
            </w:r>
          </w:p>
          <w:p w14:paraId="75BE4C2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07C726D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16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(Regional Conference - Graduate work).</w:t>
            </w:r>
          </w:p>
          <w:p w14:paraId="613E75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4332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11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(International Conference - Graduate work).</w:t>
            </w:r>
          </w:p>
          <w:p w14:paraId="2A58FE1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7F9D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Centre for Applied Mathematics in Biology of Medicine End-Of-Year Symposium. April 28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(Provincial working group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39D980C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682D54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McGill’s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Symposium, April 15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(McGill Undergraduate Symposium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2E0C3A5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627725A" w14:textId="77777777" w:rsidR="008111EC" w:rsidRPr="001137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J.C.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1137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Dick, J.T.A. &amp; Ricciardi, A.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Predatory behavior of an invasive amphipod (Gammarus </w:t>
            </w:r>
            <w:proofErr w:type="spellStart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pulex</w:t>
            </w:r>
            <w:proofErr w:type="spellEnd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) in the presence of fish cues and conspecifics.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Paper presented at the Canadian Aquatic Invasive Species Network Annual General Meeting, Gatineau, Ontario. April 2014.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(National Conference – Independent Study Project work).</w:t>
            </w:r>
          </w:p>
          <w:p w14:paraId="525AB08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89CA06" w14:textId="1E07AF5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presenting author</w:t>
            </w:r>
          </w:p>
          <w:p w14:paraId="7C31F51D" w14:textId="6D9D2463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3C615D0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37DFA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0311747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Poster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4FAD4BC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63FD4C7" w14:textId="77777777" w:rsidR="008111EC" w:rsidRPr="008324F8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E.J.*,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Davies, T.J., Leung, B.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A unifying phylogenetic model for the effect of host phylogenetic diversity on invasive pest establishment.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Poster presented at the British Ecological Society Festival of Ecology. Dec 14-18</w:t>
            </w:r>
            <w:r w:rsidRPr="00084AA3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2020. (International Conference – Graduate work).</w:t>
            </w:r>
          </w:p>
          <w:p w14:paraId="19D2A07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06315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Poster presented at Natural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Resouces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Canada’s Forest Pest Management Forum, December 3-5</w:t>
            </w:r>
            <w:r w:rsidRPr="00C63B3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2019 (National Conference – Graduate work).</w:t>
            </w:r>
          </w:p>
          <w:p w14:paraId="342B7E6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039DC1E4" w14:textId="6B1982FA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presenting author</w:t>
            </w:r>
          </w:p>
          <w:p w14:paraId="5623F4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40C88E64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E3AFB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7C6F1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6229E2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91975C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 J.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 xml:space="preserve">Networking with gators: My trip to Fort Lauderdale.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January 26, 2018. Quebec Centre of Biodiversity Science Blog “Le Beagle”, </w:t>
            </w:r>
            <w:hyperlink r:id="rId5" w:history="1">
              <w:r w:rsidRPr="005911F4">
                <w:rPr>
                  <w:rStyle w:val="Hyperlink"/>
                  <w:rFonts w:ascii="Arial" w:hAnsi="Arial" w:cs="Arial"/>
                  <w:sz w:val="22"/>
                  <w:szCs w:val="22"/>
                  <w:lang w:bidi="en-US"/>
                </w:rPr>
                <w:t>https://lebeagle.qcbs.ca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</w:p>
        </w:tc>
      </w:tr>
      <w:tr w:rsidR="008111EC" w14:paraId="21874DBD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0B5B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73B4FC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Workshops/ Training/</w:t>
            </w:r>
          </w:p>
          <w:p w14:paraId="014D547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Journal Clubs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0EADD29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D73B1C9" w14:textId="18430C26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Geomatics and Landscape Ecology Laboratory Friday Discussion Group (Sept 2020-)</w:t>
            </w:r>
          </w:p>
          <w:p w14:paraId="5F35D91B" w14:textId="4FA23CEA" w:rsidR="00452AFA" w:rsidRDefault="00452AFA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Responding to Disclosures of Sexual Violence Workshop (March 16-18, 2021)</w:t>
            </w:r>
          </w:p>
          <w:p w14:paraId="061D54C4" w14:textId="45CE5942" w:rsidR="00452AFA" w:rsidRDefault="00452AFA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Carleton Indigenous Cultural Awareness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Worksop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(February 19, 2021)</w:t>
            </w:r>
          </w:p>
          <w:p w14:paraId="1A7838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InvaCost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 (November 12-15, 2019)</w:t>
            </w:r>
          </w:p>
          <w:p w14:paraId="111601F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QCBS R Markdown Workshop (March 5, 2019)</w:t>
            </w:r>
          </w:p>
          <w:p w14:paraId="14569948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Conservation, Ecology, Evolution,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Discussion Group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(September 2017- September 2019)</w:t>
            </w:r>
          </w:p>
          <w:p w14:paraId="5943213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Organismal Seminar Series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(September 2015-September 2020)</w:t>
            </w:r>
          </w:p>
          <w:p w14:paraId="7F5F294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MARXAN Decision Support Tool Workshop (March 7-8, 2018)</w:t>
            </w:r>
          </w:p>
          <w:p w14:paraId="00C070C1" w14:textId="0E57E4D8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57042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Gender Summit North America 2017</w:t>
            </w:r>
          </w:p>
          <w:p w14:paraId="71B2404D" w14:textId="4CC29633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Statistics and Biology Exchange Group (S-BEX) (Winter 2015-Winter 2017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)</w:t>
            </w:r>
          </w:p>
          <w:p w14:paraId="5E59BFE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Joint </w:t>
            </w:r>
            <w:proofErr w:type="spellStart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NIMBioS</w:t>
            </w:r>
            <w:proofErr w:type="spellEnd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-MBI-CAMBAM Summer School (Summer 2017)</w:t>
            </w:r>
          </w:p>
          <w:p w14:paraId="34242F4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IGSF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Feminist Pedagogy Workshop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(October 2016)</w:t>
            </w:r>
          </w:p>
          <w:p w14:paraId="6B368444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Quebec Centre for Biodiversity Science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Data Visualization Workshop (Spring 2016)</w:t>
            </w:r>
          </w:p>
          <w:p w14:paraId="3C95C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59ED2AF6" w14:textId="77777777" w:rsidR="008111EC" w:rsidRPr="00D66C5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D66C5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Reviewer for:</w:t>
            </w:r>
          </w:p>
          <w:p w14:paraId="60F97539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Applied Vegetation Science</w:t>
            </w:r>
          </w:p>
          <w:p w14:paraId="5D12F222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Biological Invasions</w:t>
            </w:r>
          </w:p>
          <w:p w14:paraId="3ADFE7C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Diversity and Distributions</w:t>
            </w:r>
          </w:p>
          <w:p w14:paraId="3ACCA16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Ecology Letters</w:t>
            </w:r>
          </w:p>
          <w:p w14:paraId="5759B966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Forests</w:t>
            </w:r>
          </w:p>
          <w:p w14:paraId="282A5FFD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Applied Ecology</w:t>
            </w:r>
          </w:p>
          <w:p w14:paraId="7CB12FE5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Biogeography</w:t>
            </w:r>
          </w:p>
          <w:p w14:paraId="34874CD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Ecology</w:t>
            </w:r>
          </w:p>
          <w:p w14:paraId="459CB10C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Management of Biological Invasions</w:t>
            </w:r>
          </w:p>
          <w:p w14:paraId="2740EF61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Nature Conservation</w:t>
            </w:r>
          </w:p>
          <w:p w14:paraId="7C3FED10" w14:textId="4A8F1E3C" w:rsidR="00341E52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Royal Society Open Science</w:t>
            </w:r>
          </w:p>
          <w:p w14:paraId="6F87D071" w14:textId="18CB5066" w:rsidR="00341E52" w:rsidRDefault="00341E52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Urban Forestry &amp; Urban Greening</w:t>
            </w:r>
          </w:p>
          <w:p w14:paraId="3B6A0A3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172A9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Editorial Duties:</w:t>
            </w:r>
          </w:p>
          <w:p w14:paraId="09C99C54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Frontiers in Insect Science – Invasive Insect Species (Review Editor)</w:t>
            </w:r>
          </w:p>
          <w:p w14:paraId="167F0248" w14:textId="77777777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7FE44A76" w14:textId="77777777" w:rsidTr="008111EC">
        <w:trPr>
          <w:trHeight w:val="70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EBE0D5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13DA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Certifications and Licensures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0BE4D9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FB31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PADI Open Water Diver </w:t>
            </w:r>
          </w:p>
          <w:p w14:paraId="234E84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Lab Safety Course (WHMIS)</w:t>
            </w:r>
          </w:p>
          <w:p w14:paraId="1645DF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Pleasure Craft Operator’s Card</w:t>
            </w:r>
          </w:p>
          <w:p w14:paraId="11AAA98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Backpack Electrofishing Certificate</w:t>
            </w:r>
          </w:p>
          <w:p w14:paraId="5B379F3A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1915A6E0" w14:textId="77777777" w:rsidTr="008111EC">
        <w:trPr>
          <w:trHeight w:val="251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4097B43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2ACAB6D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proofErr w:type="spellStart"/>
            <w:r w:rsidRPr="00AF355D"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Honours</w:t>
            </w:r>
            <w:proofErr w:type="spellEnd"/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3DD55FE6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DCCD5D1" w14:textId="129F60B4" w:rsidR="008111EC" w:rsidRPr="00452A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FRQNT B3X Postdoctoral Scholarship (2020)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– $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90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,000</w:t>
            </w:r>
            <w:r w:rsidR="00452AFA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CAD</w:t>
            </w:r>
          </w:p>
          <w:p w14:paraId="763395E7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Best Student Presentation Prize – World Conference on Natural Resource Modelling (2019)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USD</w:t>
            </w:r>
          </w:p>
          <w:p w14:paraId="340ABD19" w14:textId="7EAE1AE6" w:rsidR="008111EC" w:rsidRPr="00452A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Graduate Mobility Award (McGill 2018)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$858</w:t>
            </w:r>
            <w:r w:rsidR="00452AFA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CAD</w:t>
            </w:r>
          </w:p>
          <w:p w14:paraId="1B053D6E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NSERC Michael Smith Foreign Study Supplement (McGill 2018) - 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$6,000 CAD</w:t>
            </w:r>
          </w:p>
          <w:p w14:paraId="3312542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NSERC Alexander Graham Bell CGS-D (McGill 2017) - $105,000 CAD</w:t>
            </w:r>
          </w:p>
          <w:p w14:paraId="6133B9B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Quebec Centre for Biodiversity Science Excellence Award (QCBS 2016, 2018)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- $755, $988 CAD</w:t>
            </w:r>
          </w:p>
          <w:p w14:paraId="6B7F98CB" w14:textId="416384DA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Biology GREAT Travel Award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(2016)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CAD</w:t>
            </w:r>
          </w:p>
        </w:tc>
      </w:tr>
    </w:tbl>
    <w:p w14:paraId="03681D59" w14:textId="77777777" w:rsidR="00D57225" w:rsidRDefault="00D57225"/>
    <w:sectPr w:rsidR="00D57225" w:rsidSect="009555EF"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32213"/>
    <w:rsid w:val="0003364B"/>
    <w:rsid w:val="0004284F"/>
    <w:rsid w:val="00084AA3"/>
    <w:rsid w:val="00094732"/>
    <w:rsid w:val="000B791B"/>
    <w:rsid w:val="000E0023"/>
    <w:rsid w:val="000F4A7F"/>
    <w:rsid w:val="000F703E"/>
    <w:rsid w:val="000F76FA"/>
    <w:rsid w:val="0011378B"/>
    <w:rsid w:val="00115E1D"/>
    <w:rsid w:val="00136604"/>
    <w:rsid w:val="00154B8B"/>
    <w:rsid w:val="00162ACE"/>
    <w:rsid w:val="001B66CD"/>
    <w:rsid w:val="001C5EEB"/>
    <w:rsid w:val="001E751C"/>
    <w:rsid w:val="001F6FD2"/>
    <w:rsid w:val="00202172"/>
    <w:rsid w:val="0020285B"/>
    <w:rsid w:val="00205FB5"/>
    <w:rsid w:val="00210129"/>
    <w:rsid w:val="002260DB"/>
    <w:rsid w:val="00247B20"/>
    <w:rsid w:val="00271FF9"/>
    <w:rsid w:val="00281E84"/>
    <w:rsid w:val="00293EC2"/>
    <w:rsid w:val="00295628"/>
    <w:rsid w:val="002D613B"/>
    <w:rsid w:val="00323CFB"/>
    <w:rsid w:val="00334B2C"/>
    <w:rsid w:val="00341E52"/>
    <w:rsid w:val="00343BC2"/>
    <w:rsid w:val="00397015"/>
    <w:rsid w:val="003B3E33"/>
    <w:rsid w:val="003D306E"/>
    <w:rsid w:val="003F6805"/>
    <w:rsid w:val="00452AFA"/>
    <w:rsid w:val="004544E7"/>
    <w:rsid w:val="0045656D"/>
    <w:rsid w:val="00496DAF"/>
    <w:rsid w:val="004A46C3"/>
    <w:rsid w:val="004F2E8C"/>
    <w:rsid w:val="00543EE5"/>
    <w:rsid w:val="005522E1"/>
    <w:rsid w:val="0057042A"/>
    <w:rsid w:val="00575739"/>
    <w:rsid w:val="00577E43"/>
    <w:rsid w:val="005822E6"/>
    <w:rsid w:val="005840F5"/>
    <w:rsid w:val="005932B5"/>
    <w:rsid w:val="005C2DCC"/>
    <w:rsid w:val="005D6654"/>
    <w:rsid w:val="005E1427"/>
    <w:rsid w:val="00614D9D"/>
    <w:rsid w:val="00622739"/>
    <w:rsid w:val="00626EBA"/>
    <w:rsid w:val="0062752D"/>
    <w:rsid w:val="006479D4"/>
    <w:rsid w:val="00671DCC"/>
    <w:rsid w:val="00676042"/>
    <w:rsid w:val="006A55C0"/>
    <w:rsid w:val="006D2B4B"/>
    <w:rsid w:val="00703545"/>
    <w:rsid w:val="00704156"/>
    <w:rsid w:val="00707869"/>
    <w:rsid w:val="007249DC"/>
    <w:rsid w:val="007448EE"/>
    <w:rsid w:val="007763D5"/>
    <w:rsid w:val="00780B7D"/>
    <w:rsid w:val="007954D2"/>
    <w:rsid w:val="00797CA3"/>
    <w:rsid w:val="007B5F8B"/>
    <w:rsid w:val="007E3BB1"/>
    <w:rsid w:val="00811080"/>
    <w:rsid w:val="008111EC"/>
    <w:rsid w:val="008324F8"/>
    <w:rsid w:val="00841347"/>
    <w:rsid w:val="00844728"/>
    <w:rsid w:val="008556F5"/>
    <w:rsid w:val="00861340"/>
    <w:rsid w:val="00876ABC"/>
    <w:rsid w:val="008A38BC"/>
    <w:rsid w:val="008C05CB"/>
    <w:rsid w:val="008D4259"/>
    <w:rsid w:val="00921FA3"/>
    <w:rsid w:val="00922C85"/>
    <w:rsid w:val="009555EF"/>
    <w:rsid w:val="009822E0"/>
    <w:rsid w:val="00984A68"/>
    <w:rsid w:val="0099055F"/>
    <w:rsid w:val="00997E86"/>
    <w:rsid w:val="009F7B62"/>
    <w:rsid w:val="00A1451A"/>
    <w:rsid w:val="00A24ADF"/>
    <w:rsid w:val="00A576FD"/>
    <w:rsid w:val="00AA594A"/>
    <w:rsid w:val="00AA607B"/>
    <w:rsid w:val="00AB3017"/>
    <w:rsid w:val="00AB4DDE"/>
    <w:rsid w:val="00AD654C"/>
    <w:rsid w:val="00AE07FF"/>
    <w:rsid w:val="00AF1D6E"/>
    <w:rsid w:val="00AF355D"/>
    <w:rsid w:val="00B03850"/>
    <w:rsid w:val="00B36409"/>
    <w:rsid w:val="00B43AB2"/>
    <w:rsid w:val="00B4412A"/>
    <w:rsid w:val="00B60E92"/>
    <w:rsid w:val="00B61842"/>
    <w:rsid w:val="00B73A00"/>
    <w:rsid w:val="00BA4E8A"/>
    <w:rsid w:val="00BB6143"/>
    <w:rsid w:val="00C165BA"/>
    <w:rsid w:val="00C33695"/>
    <w:rsid w:val="00C564FD"/>
    <w:rsid w:val="00C66F31"/>
    <w:rsid w:val="00C67CE4"/>
    <w:rsid w:val="00C7260E"/>
    <w:rsid w:val="00D00D01"/>
    <w:rsid w:val="00D23BC3"/>
    <w:rsid w:val="00D30332"/>
    <w:rsid w:val="00D433B5"/>
    <w:rsid w:val="00D52234"/>
    <w:rsid w:val="00D57225"/>
    <w:rsid w:val="00D66C52"/>
    <w:rsid w:val="00D726D7"/>
    <w:rsid w:val="00DB6786"/>
    <w:rsid w:val="00DC323E"/>
    <w:rsid w:val="00DF52EF"/>
    <w:rsid w:val="00E5222D"/>
    <w:rsid w:val="00EA17BE"/>
    <w:rsid w:val="00EA7827"/>
    <w:rsid w:val="00EB0A47"/>
    <w:rsid w:val="00EB0CFE"/>
    <w:rsid w:val="00ED6B27"/>
    <w:rsid w:val="00ED6C8C"/>
    <w:rsid w:val="00EE7D65"/>
    <w:rsid w:val="00EF0BA5"/>
    <w:rsid w:val="00EF510A"/>
    <w:rsid w:val="00F31F37"/>
    <w:rsid w:val="00F56625"/>
    <w:rsid w:val="00F74022"/>
    <w:rsid w:val="00F91F40"/>
    <w:rsid w:val="00FA186C"/>
    <w:rsid w:val="00FD20EE"/>
    <w:rsid w:val="00FE6ACE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beagle.qcbs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9</cp:revision>
  <cp:lastPrinted>2019-09-19T17:51:00Z</cp:lastPrinted>
  <dcterms:created xsi:type="dcterms:W3CDTF">2021-01-11T19:16:00Z</dcterms:created>
  <dcterms:modified xsi:type="dcterms:W3CDTF">2021-03-19T15:32:00Z</dcterms:modified>
</cp:coreProperties>
</file>