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6AF6" w14:textId="31BDB1D5" w:rsidR="000D4C8A" w:rsidRDefault="000D4C8A" w:rsidP="000D4C8A">
      <w:pPr>
        <w:pStyle w:val="Heading1"/>
      </w:pPr>
      <w:r>
        <w:t>Objective</w:t>
      </w:r>
    </w:p>
    <w:p w14:paraId="46763410" w14:textId="755E4F00" w:rsidR="000D4C8A" w:rsidRPr="000D4C8A" w:rsidRDefault="000D4C8A" w:rsidP="000D4C8A">
      <w:r>
        <w:t>Overall objective is to minimize the cost of the pilot scale CLC system</w:t>
      </w:r>
      <w:r w:rsidR="00DE0C14">
        <w:t xml:space="preserve">, considering a total annualized cost (TAC). </w:t>
      </w:r>
    </w:p>
    <w:p w14:paraId="47C085FA" w14:textId="33D9FD55" w:rsidR="005A4B63" w:rsidRDefault="000D4C8A" w:rsidP="000D4C8A">
      <w:pPr>
        <w:pStyle w:val="Heading2"/>
      </w:pPr>
      <w:r>
        <w:t>Reduction</w:t>
      </w:r>
    </w:p>
    <w:p w14:paraId="06DE0A0B" w14:textId="3F82850C" w:rsidR="000D4C8A" w:rsidRPr="0075582E" w:rsidRDefault="00977FD5">
      <w:pPr>
        <w:rPr>
          <w:color w:val="4EA72E" w:themeColor="accent6"/>
        </w:rPr>
      </w:pPr>
      <w:r>
        <w:t>Costs: capital (</w:t>
      </w:r>
      <w:r w:rsidRPr="000A42D6">
        <w:rPr>
          <w:color w:val="4EA72E" w:themeColor="accent6"/>
        </w:rPr>
        <w:t xml:space="preserve">reactor </w:t>
      </w:r>
      <w:r>
        <w:t xml:space="preserve">and </w:t>
      </w:r>
      <w:r w:rsidRPr="000F11BD">
        <w:rPr>
          <w:color w:val="4EA72E" w:themeColor="accent6"/>
        </w:rPr>
        <w:t>cost of treatment of OC</w:t>
      </w:r>
      <w:r>
        <w:t xml:space="preserve">), </w:t>
      </w:r>
      <w:r w:rsidRPr="00BA7086">
        <w:rPr>
          <w:color w:val="4EA72E" w:themeColor="accent6"/>
        </w:rPr>
        <w:t>fuel</w:t>
      </w:r>
      <w:r>
        <w:t xml:space="preserve">, </w:t>
      </w:r>
      <w:r w:rsidRPr="0075582E">
        <w:rPr>
          <w:color w:val="4EA72E" w:themeColor="accent6"/>
        </w:rPr>
        <w:t>pressure drop (</w:t>
      </w:r>
      <w:r w:rsidR="00D15395" w:rsidRPr="0075582E">
        <w:rPr>
          <w:color w:val="4EA72E" w:themeColor="accent6"/>
        </w:rPr>
        <w:t>fan</w:t>
      </w:r>
      <w:r w:rsidRPr="0075582E">
        <w:rPr>
          <w:color w:val="4EA72E" w:themeColor="accent6"/>
        </w:rPr>
        <w:t>)</w:t>
      </w:r>
    </w:p>
    <w:p w14:paraId="56FC57F0" w14:textId="328E9E55" w:rsidR="00977FD5" w:rsidRPr="0075582E" w:rsidRDefault="00977FD5">
      <w:pPr>
        <w:rPr>
          <w:color w:val="4EA72E" w:themeColor="accent6"/>
        </w:rPr>
      </w:pPr>
      <w:r>
        <w:t xml:space="preserve">Profits (or avoided costs): </w:t>
      </w:r>
      <w:r w:rsidRPr="0075582E">
        <w:rPr>
          <w:color w:val="4EA72E" w:themeColor="accent6"/>
        </w:rPr>
        <w:t>cost of CO2 avoided</w:t>
      </w:r>
      <w:r w:rsidR="009031F0">
        <w:rPr>
          <w:color w:val="4EA72E" w:themeColor="accent6"/>
        </w:rPr>
        <w:t>, heat</w:t>
      </w:r>
    </w:p>
    <w:p w14:paraId="4DC4997E" w14:textId="2625B451" w:rsidR="00A20C34" w:rsidRDefault="00A20C34" w:rsidP="00A20C34">
      <w:pPr>
        <w:pStyle w:val="Heading4"/>
      </w:pPr>
      <w:r>
        <w:t>Avoided CO2 emissions</w:t>
      </w:r>
    </w:p>
    <w:p w14:paraId="1A56BB30" w14:textId="42BB9EC5" w:rsidR="00987218" w:rsidRPr="00987218" w:rsidRDefault="008341BD" w:rsidP="00987218">
      <w:pPr>
        <w:rPr>
          <w:rFonts w:eastAsiaTheme="majorEastAsia" w:cstheme="majorBidi"/>
          <w:i/>
        </w:rPr>
      </w:pPr>
      <m:oMathPara>
        <m:oMath>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=110</m:t>
          </m:r>
          <m:f>
            <m:fPr>
              <m:ctrlPr>
                <w:rPr>
                  <w:rFonts w:ascii="Cambria Math" w:hAnsi="Cambria Math"/>
                  <w:i/>
                </w:rPr>
              </m:ctrlPr>
            </m:fPr>
            <m:num>
              <m:r>
                <w:rPr>
                  <w:rFonts w:ascii="Cambria Math" w:hAnsi="Cambria Math"/>
                </w:rPr>
                <m:t>$</m:t>
              </m:r>
              <m:r>
                <w:rPr>
                  <w:rFonts w:ascii="Cambria Math" w:hAnsi="Cambria Math"/>
                </w:rPr>
                <m:t>CAD</m:t>
              </m:r>
            </m:num>
            <m:den>
              <m:r>
                <w:rPr>
                  <w:rFonts w:ascii="Cambria Math" w:hAnsi="Cambria Math"/>
                </w:rPr>
                <m:t>tn</m:t>
              </m:r>
            </m:den>
          </m:f>
          <m:r>
            <w:rPr>
              <w:rFonts w:ascii="Cambria Math" w:hAnsi="Cambria Math"/>
            </w:rPr>
            <m:t>=110</m:t>
          </m:r>
          <m:f>
            <m:fPr>
              <m:ctrlPr>
                <w:rPr>
                  <w:rFonts w:ascii="Cambria Math" w:hAnsi="Cambria Math"/>
                  <w:i/>
                </w:rPr>
              </m:ctrlPr>
            </m:fPr>
            <m:num>
              <m:r>
                <w:rPr>
                  <w:rFonts w:ascii="Cambria Math" w:hAnsi="Cambria Math"/>
                </w:rPr>
                <m:t>CAD</m:t>
              </m:r>
            </m:num>
            <m:den>
              <m:r>
                <w:rPr>
                  <w:rFonts w:ascii="Cambria Math" w:hAnsi="Cambria Math"/>
                </w:rPr>
                <m:t>tn</m:t>
              </m:r>
            </m:den>
          </m:f>
          <m:r>
            <w:rPr>
              <w:rFonts w:ascii="Cambria Math" w:hAnsi="Cambria Math"/>
            </w:rPr>
            <m:t>×</m:t>
          </m:r>
          <m:f>
            <m:fPr>
              <m:ctrlPr>
                <w:rPr>
                  <w:rFonts w:ascii="Cambria Math" w:hAnsi="Cambria Math"/>
                  <w:i/>
                </w:rPr>
              </m:ctrlPr>
            </m:fPr>
            <m:num>
              <m:r>
                <w:rPr>
                  <w:rFonts w:ascii="Cambria Math" w:hAnsi="Cambria Math"/>
                </w:rPr>
                <m:t xml:space="preserve">1 </m:t>
              </m:r>
              <m:r>
                <w:rPr>
                  <w:rFonts w:ascii="Cambria Math" w:hAnsi="Cambria Math"/>
                </w:rPr>
                <m:t>tn</m:t>
              </m:r>
            </m:num>
            <m:den>
              <m:r>
                <w:rPr>
                  <w:rFonts w:ascii="Cambria Math" w:hAnsi="Cambria Math"/>
                </w:rPr>
                <m:t xml:space="preserve">1000 </m:t>
              </m:r>
              <m:r>
                <w:rPr>
                  <w:rFonts w:ascii="Cambria Math" w:hAnsi="Cambria Math"/>
                </w:rPr>
                <m:t>kg</m:t>
              </m:r>
            </m:den>
          </m:f>
          <m:r>
            <w:rPr>
              <w:rFonts w:ascii="Cambria Math" w:hAnsi="Cambria Math"/>
            </w:rPr>
            <m:t>×</m:t>
          </m:r>
          <m:f>
            <m:fPr>
              <m:ctrlPr>
                <w:rPr>
                  <w:rFonts w:ascii="Cambria Math" w:hAnsi="Cambria Math"/>
                  <w:i/>
                </w:rPr>
              </m:ctrlPr>
            </m:fPr>
            <m:num>
              <m:r>
                <w:rPr>
                  <w:rFonts w:ascii="Cambria Math" w:hAnsi="Cambria Math"/>
                </w:rPr>
                <m:t xml:space="preserve">0.04401 </m:t>
              </m:r>
              <m:r>
                <w:rPr>
                  <w:rFonts w:ascii="Cambria Math" w:hAnsi="Cambria Math"/>
                </w:rPr>
                <m:t>kg</m:t>
              </m:r>
            </m:num>
            <m:den>
              <m:r>
                <w:rPr>
                  <w:rFonts w:ascii="Cambria Math" w:hAnsi="Cambria Math"/>
                </w:rPr>
                <m:t>mol</m:t>
              </m:r>
              <m:r>
                <w:rPr>
                  <w:rFonts w:ascii="Cambria Math" w:hAnsi="Cambria Math"/>
                </w:rPr>
                <m:t xml:space="preserve"> </m:t>
              </m:r>
              <m:r>
                <w:rPr>
                  <w:rFonts w:ascii="Cambria Math" w:hAnsi="Cambria Math"/>
                </w:rPr>
                <m:t>CO</m:t>
              </m:r>
              <m:r>
                <w:rPr>
                  <w:rFonts w:ascii="Cambria Math" w:hAnsi="Cambria Math"/>
                </w:rPr>
                <m:t>2</m:t>
              </m:r>
            </m:den>
          </m:f>
          <m:r>
            <w:rPr>
              <w:rFonts w:ascii="Cambria Math" w:hAnsi="Cambria Math"/>
            </w:rPr>
            <m:t xml:space="preserve">=  0.00484 </m:t>
          </m:r>
          <m:f>
            <m:fPr>
              <m:ctrlPr>
                <w:rPr>
                  <w:rFonts w:ascii="Cambria Math" w:hAnsi="Cambria Math"/>
                  <w:i/>
                </w:rPr>
              </m:ctrlPr>
            </m:fPr>
            <m:num>
              <m:r>
                <w:rPr>
                  <w:rFonts w:ascii="Cambria Math" w:hAnsi="Cambria Math"/>
                </w:rPr>
                <m:t>$</m:t>
              </m:r>
            </m:num>
            <m:den>
              <m:r>
                <w:rPr>
                  <w:rFonts w:ascii="Cambria Math" w:hAnsi="Cambria Math"/>
                </w:rPr>
                <m:t>mol</m:t>
              </m:r>
            </m:den>
          </m:f>
        </m:oMath>
      </m:oMathPara>
    </w:p>
    <w:p w14:paraId="4E319345" w14:textId="4BB2D233" w:rsidR="00987218" w:rsidRDefault="00987218" w:rsidP="00987218">
      <w:r>
        <w:t>Taken from Ontario law for 2026 (</w:t>
      </w:r>
      <w:hyperlink r:id="rId9" w:anchor="BK21" w:history="1">
        <w:r w:rsidRPr="00B917D3">
          <w:rPr>
            <w:rStyle w:val="Hyperlink"/>
          </w:rPr>
          <w:t>https://www.ontario.ca/laws/regulation/190241#BK21</w:t>
        </w:r>
      </w:hyperlink>
      <w:r>
        <w:t xml:space="preserve"> Part III Section 11)</w:t>
      </w:r>
      <w:r w:rsidR="00807B75">
        <w:t xml:space="preserve"> also referenced in Gabriel’s ENMPC CLC paper</w:t>
      </w:r>
    </w:p>
    <w:p w14:paraId="1C134AA4" w14:textId="2C8FD0BD" w:rsidR="009031F0" w:rsidRDefault="009031F0" w:rsidP="009031F0">
      <w:pPr>
        <w:pStyle w:val="Heading4"/>
        <w:rPr>
          <w:rFonts w:eastAsiaTheme="minorEastAsia"/>
        </w:rPr>
      </w:pPr>
      <w:r>
        <w:rPr>
          <w:rFonts w:eastAsiaTheme="minorEastAsia"/>
        </w:rPr>
        <w:t>Heat</w:t>
      </w:r>
    </w:p>
    <w:p w14:paraId="6BA1F400" w14:textId="47E1D95C" w:rsidR="009031F0" w:rsidRPr="009031F0" w:rsidRDefault="009031F0" w:rsidP="009031F0">
      <w:r>
        <w:t>Same as below for oxidation</w:t>
      </w:r>
    </w:p>
    <w:p w14:paraId="30AA390B" w14:textId="23F02113" w:rsidR="00A20C34" w:rsidRDefault="00A20C34" w:rsidP="00A20C34">
      <w:pPr>
        <w:pStyle w:val="Heading4"/>
        <w:rPr>
          <w:rFonts w:eastAsiaTheme="minorEastAsia"/>
        </w:rPr>
      </w:pPr>
      <w:r>
        <w:rPr>
          <w:rFonts w:eastAsiaTheme="minorEastAsia"/>
        </w:rPr>
        <w:t>Pressure drop</w:t>
      </w:r>
    </w:p>
    <w:p w14:paraId="0D5B3B48" w14:textId="5713B366" w:rsidR="00A20C34" w:rsidRPr="00963CDC" w:rsidRDefault="008341BD" w:rsidP="00A20C34">
      <w:pPr>
        <w:rPr>
          <w:rFonts w:eastAsiaTheme="minorEastAsia"/>
        </w:rPr>
      </w:pPr>
      <m:oMathPara>
        <m:oMath>
          <m:sSub>
            <m:sSubPr>
              <m:ctrlPr>
                <w:rPr>
                  <w:rFonts w:ascii="Cambria Math" w:hAnsi="Cambria Math"/>
                  <w:i/>
                </w:rPr>
              </m:ctrlPr>
            </m:sSubPr>
            <m:e>
              <m:r>
                <w:rPr>
                  <w:rFonts w:ascii="Cambria Math" w:hAnsi="Cambria Math"/>
                </w:rPr>
                <m:t>ϕ</m:t>
              </m:r>
            </m:e>
            <m:sub>
              <m:r>
                <w:rPr>
                  <w:rFonts w:ascii="Cambria Math" w:hAnsi="Cambria Math"/>
                </w:rPr>
                <m:t>fan</m:t>
              </m:r>
              <m:r>
                <w:rPr>
                  <w:rFonts w:ascii="Cambria Math" w:hAnsi="Cambria Math"/>
                </w:rPr>
                <m:t>,</m:t>
              </m:r>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Q</m:t>
              </m:r>
              <m:r>
                <m:rPr>
                  <m:sty m:val="p"/>
                </m:rPr>
                <w:rPr>
                  <w:rFonts w:ascii="Cambria Math" w:hAnsi="Cambria Math"/>
                </w:rPr>
                <m:t>Δ</m:t>
              </m:r>
              <m:r>
                <w:rPr>
                  <w:rFonts w:ascii="Cambria Math" w:hAnsi="Cambria Math"/>
                </w:rPr>
                <m:t>P</m:t>
              </m:r>
            </m:num>
            <m:den>
              <m:sSub>
                <m:sSubPr>
                  <m:ctrlPr>
                    <w:rPr>
                      <w:rFonts w:ascii="Cambria Math" w:hAnsi="Cambria Math"/>
                      <w:i/>
                    </w:rPr>
                  </m:ctrlPr>
                </m:sSubPr>
                <m:e>
                  <m:r>
                    <w:rPr>
                      <w:rFonts w:ascii="Cambria Math" w:hAnsi="Cambria Math"/>
                    </w:rPr>
                    <m:t>η</m:t>
                  </m:r>
                </m:e>
                <m:sub>
                  <m:r>
                    <w:rPr>
                      <w:rFonts w:ascii="Cambria Math" w:hAnsi="Cambria Math"/>
                    </w:rPr>
                    <m:t>fan</m:t>
                  </m:r>
                </m:sub>
              </m:sSub>
            </m:den>
          </m:f>
          <m:sSub>
            <m:sSubPr>
              <m:ctrlPr>
                <w:rPr>
                  <w:rFonts w:ascii="Cambria Math" w:hAnsi="Cambria Math"/>
                  <w:i/>
                </w:rPr>
              </m:ctrlPr>
            </m:sSubPr>
            <m:e>
              <m:r>
                <w:rPr>
                  <w:rFonts w:ascii="Cambria Math" w:hAnsi="Cambria Math"/>
                </w:rPr>
                <m:t>τ</m:t>
              </m:r>
            </m:e>
            <m:sub>
              <m:r>
                <w:rPr>
                  <w:rFonts w:ascii="Cambria Math" w:hAnsi="Cambria Math"/>
                </w:rPr>
                <m:t>i</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e</m:t>
              </m:r>
            </m:sub>
          </m:sSub>
        </m:oMath>
      </m:oMathPara>
    </w:p>
    <w:p w14:paraId="4044C230" w14:textId="38EEC91F" w:rsidR="00963CDC" w:rsidRDefault="00963CDC" w:rsidP="00963CDC">
      <w:pPr>
        <w:pStyle w:val="Heading4"/>
      </w:pPr>
      <w:r>
        <w:t>OC</w:t>
      </w:r>
    </w:p>
    <w:p w14:paraId="7D3535FA" w14:textId="06A13CDE" w:rsidR="00963CDC" w:rsidRDefault="008341BD" w:rsidP="00963CDC">
      <w:pPr>
        <w:jc w:val="cente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OC</m:t>
            </m:r>
          </m:sub>
        </m:sSub>
        <m:r>
          <w:rPr>
            <w:rFonts w:ascii="Cambria Math" w:hAnsi="Cambria Math"/>
          </w:rPr>
          <m:t>=520</m:t>
        </m:r>
        <m:f>
          <m:fPr>
            <m:ctrlPr>
              <w:rPr>
                <w:rFonts w:ascii="Cambria Math" w:hAnsi="Cambria Math"/>
                <w:i/>
              </w:rPr>
            </m:ctrlPr>
          </m:fPr>
          <m:num>
            <m:r>
              <w:rPr>
                <w:rFonts w:ascii="Cambria Math" w:hAnsi="Cambria Math"/>
              </w:rPr>
              <m:t>$</m:t>
            </m:r>
            <m:r>
              <w:rPr>
                <w:rFonts w:ascii="Cambria Math" w:hAnsi="Cambria Math"/>
              </w:rPr>
              <m:t>USD</m:t>
            </m:r>
          </m:num>
          <m:den>
            <m:r>
              <w:rPr>
                <w:rFonts w:ascii="Cambria Math" w:hAnsi="Cambria Math"/>
              </w:rPr>
              <m:t>tn</m:t>
            </m:r>
          </m:den>
        </m:f>
      </m:oMath>
      <w:r w:rsidR="001143B2">
        <w:rPr>
          <w:rFonts w:eastAsiaTheme="minorEastAsia"/>
        </w:rPr>
        <w:t>, see below</w:t>
      </w:r>
    </w:p>
    <w:p w14:paraId="04DAD47F" w14:textId="36E6100E" w:rsidR="00826E17" w:rsidRDefault="00826E17" w:rsidP="00826E17">
      <w:pPr>
        <w:pStyle w:val="Heading4"/>
      </w:pPr>
      <w:commentRangeStart w:id="0"/>
      <w:r>
        <w:t>Fuel</w:t>
      </w:r>
      <w:commentRangeEnd w:id="0"/>
      <w:r w:rsidR="00B10E25">
        <w:rPr>
          <w:rStyle w:val="CommentReference"/>
          <w:sz w:val="22"/>
          <w:szCs w:val="22"/>
        </w:rPr>
        <w:commentReference w:id="0"/>
      </w:r>
    </w:p>
    <w:p w14:paraId="7A692C29" w14:textId="77777777" w:rsidR="001A039A" w:rsidRDefault="001A039A" w:rsidP="001A039A">
      <w:r>
        <w:t xml:space="preserve">Are there any N2-free biosyngas? </w:t>
      </w:r>
    </w:p>
    <w:p w14:paraId="2FD021D9" w14:textId="77777777" w:rsidR="001A039A" w:rsidRDefault="001A039A" w:rsidP="001A039A">
      <w:r>
        <w:t xml:space="preserve">From </w:t>
      </w:r>
      <w:hyperlink r:id="rId14" w:history="1">
        <w:r w:rsidRPr="00D45E19">
          <w:rPr>
            <w:rStyle w:val="Hyperlink"/>
          </w:rPr>
          <w:t>this paper</w:t>
        </w:r>
      </w:hyperlink>
      <w:r>
        <w:t xml:space="preserve"> the composition of their biogas is:</w:t>
      </w:r>
    </w:p>
    <w:p w14:paraId="5EAF4C89" w14:textId="77777777" w:rsidR="001A039A" w:rsidRDefault="001A039A" w:rsidP="001A039A">
      <w:pPr>
        <w:ind w:left="720"/>
      </w:pPr>
      <w:r>
        <w:t>H2: 42.92, CO: 45.33, CO2: 11.28, CH4: 0.4, C2H4: 0.01, C2H6: 0.06 (I think it’s reasonable to neglect C2H4 and C2H6 since we don’t have kinetics for these and their fraction is very low)</w:t>
      </w:r>
    </w:p>
    <w:p w14:paraId="06180149" w14:textId="77777777" w:rsidR="001A039A" w:rsidRDefault="001A039A" w:rsidP="001A039A">
      <w:r>
        <w:t>Can also look at Yin’s biomass pyrolysis gas (has some N2 though)</w:t>
      </w:r>
    </w:p>
    <w:p w14:paraId="61F5F501" w14:textId="77777777" w:rsidR="001A039A" w:rsidRDefault="001A039A" w:rsidP="001A039A">
      <w:r>
        <w:rPr>
          <w:b/>
          <w:bCs/>
        </w:rPr>
        <w:t>Idea</w:t>
      </w:r>
      <w:r>
        <w:t xml:space="preserve">: take a ballpark figure for the cost of “bio syngas” (any syngas that is derived from biomass, whether it’s air gasification or steam gasification) and examine the optimal designs over changes in fuel composition for the baseline cost. </w:t>
      </w:r>
    </w:p>
    <w:p w14:paraId="33C51D00" w14:textId="77777777" w:rsidR="001A039A" w:rsidRDefault="001A039A" w:rsidP="001A039A">
      <w:pPr>
        <w:ind w:left="720"/>
      </w:pPr>
      <w:r>
        <w:t>Note: at a glance, steam gasification (N2 free syngas) seems to be more expensive than air gasification, so unless I can find a cost figure for both types, it might not be the best comparison</w:t>
      </w:r>
    </w:p>
    <w:p w14:paraId="2BF66996" w14:textId="50FC83CB" w:rsidR="001A039A" w:rsidRPr="00D46803" w:rsidRDefault="001A039A" w:rsidP="001A039A">
      <w:r>
        <w:t xml:space="preserve">Cost of syngas: 0.23 </w:t>
      </w:r>
      <w:r w:rsidRPr="00E544B2">
        <w:t>€/Nm</w:t>
      </w:r>
      <w:r w:rsidRPr="00E544B2">
        <w:rPr>
          <w:vertAlign w:val="superscript"/>
        </w:rPr>
        <w:t>3</w:t>
      </w:r>
      <w:r>
        <w:rPr>
          <w:vertAlign w:val="subscript"/>
        </w:rPr>
        <w:t xml:space="preserve"> </w:t>
      </w:r>
      <w:r>
        <w:t>(20</w:t>
      </w:r>
      <w:r w:rsidR="00D52679">
        <w:t>11</w:t>
      </w:r>
      <w:r>
        <w:t xml:space="preserve">), </w:t>
      </w:r>
      <w:sdt>
        <w:sdtPr>
          <w:id w:val="27453619"/>
          <w:citation/>
        </w:sdtPr>
        <w:sdtEndPr/>
        <w:sdtContent>
          <w:r>
            <w:fldChar w:fldCharType="begin"/>
          </w:r>
          <w:r>
            <w:rPr>
              <w:lang w:val="en-US"/>
            </w:rPr>
            <w:instrText xml:space="preserve"> CITATION Tri11 \l 1033 </w:instrText>
          </w:r>
          <w:r>
            <w:fldChar w:fldCharType="separate"/>
          </w:r>
          <w:r w:rsidR="00A82481" w:rsidRPr="00A82481">
            <w:rPr>
              <w:noProof/>
              <w:lang w:val="en-US"/>
            </w:rPr>
            <w:t>[1]</w:t>
          </w:r>
          <w:r>
            <w:fldChar w:fldCharType="end"/>
          </w:r>
        </w:sdtContent>
      </w:sdt>
    </w:p>
    <w:p w14:paraId="273D5824" w14:textId="77777777" w:rsidR="001A039A" w:rsidRDefault="001A039A" w:rsidP="001A039A">
      <w:r>
        <w:lastRenderedPageBreak/>
        <w:tab/>
        <w:t>Note this figure is for a syngas that has N2</w:t>
      </w:r>
    </w:p>
    <w:p w14:paraId="6659EADE" w14:textId="5FE5645A" w:rsidR="005230F7" w:rsidRDefault="001A039A">
      <w:pPr>
        <w:rPr>
          <w:rFonts w:eastAsiaTheme="minorEastAsia"/>
        </w:rPr>
      </w:pPr>
      <w:r>
        <w:t>Converting this to 202</w:t>
      </w:r>
      <w:r w:rsidR="00D52679">
        <w:t>5</w:t>
      </w:r>
      <w:r>
        <w:t xml:space="preserve"> CAD and per m3</w:t>
      </w:r>
      <w:r w:rsidR="00D52679">
        <w:t>, assuming 1.35 inflation rate for</w:t>
      </w:r>
      <w:r>
        <w:t xml:space="preserve"> 20</w:t>
      </w:r>
      <w:r w:rsidR="00D52679">
        <w:t>11</w:t>
      </w:r>
      <w:r>
        <w:t xml:space="preserve"> Euro to 2025</w:t>
      </w:r>
      <w:r w:rsidR="00D52679">
        <w:t xml:space="preserve"> (based on online calculators) </w:t>
      </w:r>
      <w:r>
        <w:t xml:space="preserve">conversion rate CAD to euro: </w:t>
      </w:r>
      <m:oMath>
        <m:r>
          <w:rPr>
            <w:rFonts w:ascii="Cambria Math" w:hAnsi="Cambria Math"/>
          </w:rPr>
          <m:t>0.23</m:t>
        </m:r>
        <m:f>
          <m:fPr>
            <m:ctrlPr>
              <w:rPr>
                <w:rFonts w:ascii="Cambria Math" w:hAnsi="Cambria Math"/>
                <w:i/>
              </w:rPr>
            </m:ctrlPr>
          </m:fPr>
          <m:num>
            <m:r>
              <w:rPr>
                <w:rFonts w:ascii="Cambria Math" w:hAnsi="Cambria Math"/>
              </w:rPr>
              <m:t xml:space="preserve">2009€ </m:t>
            </m:r>
          </m:num>
          <m:den>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1.35 2025 euro</m:t>
            </m:r>
            <m:ctrlPr>
              <w:rPr>
                <w:rFonts w:ascii="Cambria Math" w:hAnsi="Cambria Math"/>
                <w:i/>
              </w:rPr>
            </m:ctrlPr>
          </m:num>
          <m:den>
            <m:r>
              <w:rPr>
                <w:rFonts w:ascii="Cambria Math" w:hAnsi="Cambria Math"/>
              </w:rPr>
              <m:t>1 2011 euro</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 CAD</m:t>
            </m:r>
            <m:ctrlPr>
              <w:rPr>
                <w:rFonts w:ascii="Cambria Math" w:hAnsi="Cambria Math"/>
                <w:i/>
              </w:rPr>
            </m:ctrlPr>
          </m:num>
          <m:den>
            <m:r>
              <w:rPr>
                <w:rFonts w:ascii="Cambria Math" w:hAnsi="Cambria Math"/>
              </w:rPr>
              <m:t>0.62 euro</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273.15</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m:t>
                </m:r>
              </m:sub>
            </m:sSub>
          </m:den>
        </m:f>
      </m:oMath>
      <w:r>
        <w:rPr>
          <w:rFonts w:eastAsiaTheme="minorEastAsia"/>
        </w:rPr>
        <w:t xml:space="preserve"> assuming T</w:t>
      </w:r>
      <w:r>
        <w:rPr>
          <w:rFonts w:eastAsiaTheme="minorEastAsia"/>
          <w:vertAlign w:val="subscript"/>
        </w:rPr>
        <w:t>in</w:t>
      </w:r>
      <w:r>
        <w:rPr>
          <w:rFonts w:eastAsiaTheme="minorEastAsia"/>
        </w:rPr>
        <w:t xml:space="preserve"> is the same as Yin, (1123 K), price of fuel is </w:t>
      </w:r>
      <m:oMath>
        <m:r>
          <w:rPr>
            <w:rFonts w:ascii="Cambria Math" w:eastAsiaTheme="minorEastAsia" w:hAnsi="Cambria Math"/>
          </w:rPr>
          <m:t>0.1217</m:t>
        </m:r>
        <m:f>
          <m:fPr>
            <m:ctrlPr>
              <w:rPr>
                <w:rFonts w:ascii="Cambria Math" w:eastAsiaTheme="minorEastAsia" w:hAnsi="Cambria Math"/>
                <w:i/>
              </w:rPr>
            </m:ctrlPr>
          </m:fPr>
          <m:num>
            <m:r>
              <w:rPr>
                <w:rFonts w:ascii="Cambria Math" w:eastAsiaTheme="minorEastAsia" w:hAnsi="Cambria Math"/>
              </w:rPr>
              <m:t>$CAD</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p>
    <w:p w14:paraId="4771A0FA" w14:textId="76573BF3" w:rsidR="002C3CB0" w:rsidRPr="0059210F" w:rsidRDefault="002C3CB0">
      <w:pPr>
        <w:rPr>
          <w:rFonts w:eastAsiaTheme="minorEastAsia"/>
        </w:rPr>
      </w:pPr>
      <w:r>
        <w:rPr>
          <w:rFonts w:eastAsiaTheme="minorEastAsia"/>
        </w:rPr>
        <w:t>Check</w:t>
      </w:r>
      <w:r w:rsidR="00367354">
        <w:rPr>
          <w:rFonts w:eastAsiaTheme="minorEastAsia"/>
        </w:rPr>
        <w:t xml:space="preserve">ing other sources: </w:t>
      </w:r>
      <w:r w:rsidR="009313EE">
        <w:rPr>
          <w:rFonts w:eastAsiaTheme="minorEastAsia"/>
        </w:rPr>
        <w:t xml:space="preserve">The </w:t>
      </w:r>
      <w:hyperlink r:id="rId15" w:history="1">
        <w:r w:rsidR="009313EE" w:rsidRPr="00510C52">
          <w:rPr>
            <w:rStyle w:val="Hyperlink"/>
            <w:rFonts w:eastAsiaTheme="minorEastAsia"/>
          </w:rPr>
          <w:t>Ontario Energy Board</w:t>
        </w:r>
      </w:hyperlink>
      <w:r w:rsidR="009313EE">
        <w:rPr>
          <w:rFonts w:eastAsiaTheme="minorEastAsia"/>
        </w:rPr>
        <w:t xml:space="preserve"> lists </w:t>
      </w:r>
      <w:r w:rsidR="00510C52">
        <w:rPr>
          <w:rFonts w:eastAsiaTheme="minorEastAsia"/>
        </w:rPr>
        <w:t xml:space="preserve">natural gas </w:t>
      </w:r>
      <w:r w:rsidR="009313EE">
        <w:rPr>
          <w:rFonts w:eastAsiaTheme="minorEastAsia"/>
        </w:rPr>
        <w:t>prices between</w:t>
      </w:r>
      <w:r w:rsidR="00510C52">
        <w:rPr>
          <w:rFonts w:eastAsiaTheme="minorEastAsia"/>
        </w:rPr>
        <w:t xml:space="preserve"> 10.5-19.7 </w:t>
      </w:r>
      <w:r w:rsidR="00510C52" w:rsidRPr="00510C52">
        <w:rPr>
          <w:rFonts w:eastAsiaTheme="minorEastAsia"/>
        </w:rPr>
        <w:t>¢/m</w:t>
      </w:r>
      <w:r w:rsidR="00510C52" w:rsidRPr="00510C52">
        <w:rPr>
          <w:rFonts w:eastAsiaTheme="minorEastAsia"/>
          <w:vertAlign w:val="superscript"/>
        </w:rPr>
        <w:t>3</w:t>
      </w:r>
      <w:r w:rsidR="0059210F">
        <w:rPr>
          <w:rFonts w:eastAsiaTheme="minorEastAsia"/>
        </w:rPr>
        <w:t>, so the estimated cost above seems reasonable.</w:t>
      </w:r>
    </w:p>
    <w:p w14:paraId="55D07ED2" w14:textId="5DC77F20" w:rsidR="000D4C8A" w:rsidRDefault="000D4C8A" w:rsidP="000D4C8A">
      <w:pPr>
        <w:pStyle w:val="Heading2"/>
      </w:pPr>
      <w:r>
        <w:t>Oxidation</w:t>
      </w:r>
    </w:p>
    <w:p w14:paraId="61563A87" w14:textId="712AEFF0" w:rsidR="00977FD5" w:rsidRDefault="00977FD5" w:rsidP="00977FD5">
      <w:r>
        <w:t>Costs: capital (</w:t>
      </w:r>
      <w:r w:rsidRPr="000A42D6">
        <w:rPr>
          <w:color w:val="4EA72E" w:themeColor="accent6"/>
        </w:rPr>
        <w:t xml:space="preserve">reactor </w:t>
      </w:r>
      <w:r>
        <w:t xml:space="preserve">and </w:t>
      </w:r>
      <w:r w:rsidRPr="000F11BD">
        <w:rPr>
          <w:color w:val="4EA72E" w:themeColor="accent6"/>
        </w:rPr>
        <w:t>cost of treatment of OC</w:t>
      </w:r>
      <w:r>
        <w:t xml:space="preserve">), </w:t>
      </w:r>
      <w:r w:rsidRPr="0075582E">
        <w:rPr>
          <w:color w:val="4EA72E" w:themeColor="accent6"/>
        </w:rPr>
        <w:t>pressure drop</w:t>
      </w:r>
    </w:p>
    <w:p w14:paraId="4B738334" w14:textId="04DA28F1" w:rsidR="001757A1" w:rsidRDefault="00977FD5" w:rsidP="00977FD5">
      <w:r>
        <w:t xml:space="preserve">Profits (or avoided costs): </w:t>
      </w:r>
      <w:r w:rsidRPr="0075582E">
        <w:rPr>
          <w:color w:val="4EA72E" w:themeColor="accent6"/>
        </w:rPr>
        <w:t>profit of energy</w:t>
      </w:r>
    </w:p>
    <w:p w14:paraId="0E5582B0" w14:textId="2B082655" w:rsidR="00590A3F" w:rsidRDefault="00590A3F" w:rsidP="009031F0">
      <w:pPr>
        <w:pStyle w:val="Heading3"/>
      </w:pPr>
      <w:r>
        <w:t>Energy</w:t>
      </w:r>
    </w:p>
    <w:p w14:paraId="489B9BD6" w14:textId="77777777" w:rsidR="009031F0" w:rsidRPr="009031F0" w:rsidRDefault="009031F0" w:rsidP="009031F0">
      <w:pPr>
        <w:pStyle w:val="Heading4"/>
      </w:pPr>
      <w:r w:rsidRPr="009031F0">
        <w:rPr>
          <w:rStyle w:val="Heading2Char"/>
          <w:rFonts w:asciiTheme="minorHAnsi" w:hAnsiTheme="minorHAnsi"/>
          <w:sz w:val="22"/>
          <w:szCs w:val="22"/>
        </w:rPr>
        <w:t>Sensible heat from outlet gas</w:t>
      </w:r>
    </w:p>
    <w:p w14:paraId="14B64F1D" w14:textId="77777777" w:rsidR="009031F0" w:rsidRPr="00181F0E" w:rsidRDefault="008341BD" w:rsidP="009031F0">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m:t>
          </m:r>
          <m:nary>
            <m:naryPr>
              <m:chr m:val="∑"/>
              <m:subHide m:val="1"/>
              <m:supHide m:val="1"/>
              <m:ctrlPr>
                <w:rPr>
                  <w:rFonts w:ascii="Cambria Math" w:hAnsi="Cambria Math"/>
                  <w:i/>
                </w:rPr>
              </m:ctrlPr>
            </m:naryPr>
            <m:sub/>
            <m:sup/>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O</m:t>
                          </m:r>
                          <m:r>
                            <w:rPr>
                              <w:rFonts w:ascii="Cambria Math" w:hAnsi="Cambria Math"/>
                            </w:rPr>
                            <m:t>2,</m:t>
                          </m:r>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e>
                  </m:d>
                  <m:sSub>
                    <m:sSubPr>
                      <m:ctrlPr>
                        <w:rPr>
                          <w:rFonts w:ascii="Cambria Math" w:hAnsi="Cambria Math"/>
                          <w:i/>
                        </w:rPr>
                      </m:ctrlPr>
                    </m:sSubPr>
                    <m:e>
                      <m:r>
                        <w:rPr>
                          <w:rFonts w:ascii="Cambria Math" w:hAnsi="Cambria Math"/>
                        </w:rPr>
                        <m:t>C</m:t>
                      </m:r>
                    </m:e>
                    <m:sub>
                      <m:r>
                        <w:rPr>
                          <w:rFonts w:ascii="Cambria Math" w:hAnsi="Cambria Math"/>
                        </w:rPr>
                        <m:t>p</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f</m:t>
                      </m:r>
                    </m:sub>
                  </m:sSub>
                </m:den>
              </m:f>
            </m:e>
          </m:nary>
        </m:oMath>
      </m:oMathPara>
    </w:p>
    <w:p w14:paraId="3105D45E" w14:textId="77777777" w:rsidR="009031F0" w:rsidRDefault="009031F0" w:rsidP="009031F0">
      <w:pPr>
        <w:rPr>
          <w:rFonts w:eastAsiaTheme="minorEastAsia"/>
        </w:rPr>
      </w:pPr>
      <w:r>
        <w:rPr>
          <w:rFonts w:eastAsiaTheme="minorEastAsia"/>
        </w:rPr>
        <w:t>Result: Average heat in W</w:t>
      </w:r>
    </w:p>
    <w:p w14:paraId="47B0E2E7" w14:textId="77777777" w:rsidR="009031F0" w:rsidRDefault="009031F0" w:rsidP="009031F0">
      <w:pPr>
        <w:pStyle w:val="Heading4"/>
        <w:rPr>
          <w:rFonts w:eastAsiaTheme="minorEastAsia"/>
        </w:rPr>
      </w:pPr>
      <w:r>
        <w:rPr>
          <w:rFonts w:eastAsiaTheme="minorEastAsia"/>
        </w:rPr>
        <w:t xml:space="preserve">Accumulated heat </w:t>
      </w:r>
    </w:p>
    <w:p w14:paraId="67FDA011" w14:textId="77777777" w:rsidR="009031F0" w:rsidRPr="00181F0E" w:rsidRDefault="008341BD" w:rsidP="009031F0">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nary>
            <m:naryPr>
              <m:chr m:val="∑"/>
              <m:subHide m:val="1"/>
              <m:supHide m:val="1"/>
              <m:ctrlPr>
                <w:rPr>
                  <w:rFonts w:ascii="Cambria Math" w:hAnsi="Cambria Math"/>
                  <w:i/>
                </w:rPr>
              </m:ctrlPr>
            </m:naryPr>
            <m:sub/>
            <m:sup/>
            <m:e>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L</m:t>
                  </m:r>
                  <m:sSub>
                    <m:sSubPr>
                      <m:ctrlPr>
                        <w:rPr>
                          <w:rFonts w:ascii="Cambria Math" w:hAnsi="Cambria Math"/>
                          <w:i/>
                        </w:rPr>
                      </m:ctrlPr>
                    </m:sSubPr>
                    <m:e>
                      <m:r>
                        <w:rPr>
                          <w:rFonts w:ascii="Cambria Math" w:hAnsi="Cambria Math"/>
                        </w:rPr>
                        <m:t>ρ</m:t>
                      </m:r>
                    </m:e>
                    <m:sub>
                      <m:r>
                        <w:rPr>
                          <w:rFonts w:ascii="Cambria Math" w:hAnsi="Cambria Math"/>
                        </w:rPr>
                        <m:t>s</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c</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b</m:t>
                          </m:r>
                        </m:sub>
                      </m:sSub>
                    </m:e>
                  </m:d>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C</m:t>
                      </m:r>
                    </m:e>
                    <m:sub>
                      <m:r>
                        <w:rPr>
                          <w:rFonts w:ascii="Cambria Math" w:hAnsi="Cambria Math"/>
                        </w:rPr>
                        <m:t>p</m:t>
                      </m:r>
                      <m:r>
                        <w:rPr>
                          <w:rFonts w:ascii="Cambria Math" w:hAnsi="Cambria Math"/>
                        </w:rPr>
                        <m:t>,</m:t>
                      </m:r>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f</m:t>
                      </m:r>
                    </m:sub>
                  </m:sSub>
                </m:den>
              </m:f>
            </m:e>
          </m:nary>
        </m:oMath>
      </m:oMathPara>
    </w:p>
    <w:p w14:paraId="07F29873" w14:textId="77777777" w:rsidR="009031F0" w:rsidRDefault="009031F0" w:rsidP="009031F0">
      <w:pPr>
        <w:rPr>
          <w:rFonts w:eastAsiaTheme="minorEastAsia"/>
        </w:rPr>
      </w:pPr>
      <w:r>
        <w:rPr>
          <w:rFonts w:eastAsiaTheme="minorEastAsia"/>
        </w:rPr>
        <w:t>Result: average heat in W</w:t>
      </w:r>
    </w:p>
    <w:p w14:paraId="00CF3951" w14:textId="0F7D632F" w:rsidR="009031F0" w:rsidRDefault="009031F0" w:rsidP="009031F0">
      <w:pPr>
        <w:rPr>
          <w:rFonts w:eastAsiaTheme="minorEastAsia"/>
        </w:rPr>
      </w:pPr>
      <w:r>
        <w:rPr>
          <w:rFonts w:eastAsiaTheme="minorEastAsia"/>
        </w:rPr>
        <w:t xml:space="preserve">Profit from heat: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a</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O</m:t>
            </m:r>
          </m:sub>
        </m:sSub>
      </m:oMath>
    </w:p>
    <w:p w14:paraId="28D67B1F" w14:textId="665CFA94" w:rsidR="009031F0" w:rsidRDefault="008341BD" w:rsidP="009031F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oMath>
      <w:r w:rsidR="009031F0">
        <w:rPr>
          <w:rFonts w:eastAsiaTheme="minorEastAsia"/>
        </w:rPr>
        <w:t xml:space="preserve"> is the </w:t>
      </w:r>
      <w:r w:rsidR="0090021E">
        <w:rPr>
          <w:rFonts w:eastAsiaTheme="minorEastAsia"/>
        </w:rPr>
        <w:t xml:space="preserve">(turbine) </w:t>
      </w:r>
      <w:r w:rsidR="009031F0">
        <w:rPr>
          <w:rFonts w:eastAsiaTheme="minorEastAsia"/>
        </w:rPr>
        <w:t>efficiency factor (will depend on outlet reactor temperatures)</w:t>
      </w:r>
    </w:p>
    <w:p w14:paraId="473E0B8F" w14:textId="77777777" w:rsidR="009031F0" w:rsidRDefault="009031F0" w:rsidP="009031F0">
      <w:pPr>
        <w:pStyle w:val="ListParagraph"/>
        <w:numPr>
          <w:ilvl w:val="0"/>
          <w:numId w:val="2"/>
        </w:numPr>
        <w:rPr>
          <w:rFonts w:eastAsiaTheme="minorEastAsia"/>
        </w:rPr>
      </w:pPr>
      <w:r>
        <w:rPr>
          <w:rFonts w:eastAsiaTheme="minorEastAsia"/>
        </w:rPr>
        <w:t xml:space="preserve">From </w:t>
      </w:r>
      <w:commentRangeStart w:id="1"/>
      <w:r>
        <w:rPr>
          <w:rFonts w:eastAsiaTheme="minorEastAsia"/>
        </w:rPr>
        <w:t>Spallina</w:t>
      </w:r>
      <w:commentRangeEnd w:id="1"/>
      <w:r>
        <w:rPr>
          <w:rStyle w:val="CommentReference"/>
          <w:rFonts w:eastAsiaTheme="minorEastAsia"/>
          <w:sz w:val="22"/>
          <w:szCs w:val="22"/>
        </w:rPr>
        <w:commentReference w:id="1"/>
      </w:r>
      <w:r>
        <w:rPr>
          <w:rFonts w:eastAsiaTheme="minorEastAsia"/>
        </w:rPr>
        <w:t xml:space="preserve">: </w:t>
      </w:r>
    </w:p>
    <w:p w14:paraId="324E543D" w14:textId="77777777" w:rsidR="009031F0" w:rsidRDefault="009031F0" w:rsidP="009031F0">
      <w:pPr>
        <w:pStyle w:val="ListParagraph"/>
        <w:numPr>
          <w:ilvl w:val="1"/>
          <w:numId w:val="2"/>
        </w:numPr>
        <w:rPr>
          <w:rFonts w:eastAsiaTheme="minorEastAsia"/>
        </w:rPr>
      </w:pPr>
      <w:r>
        <w:rPr>
          <w:rFonts w:eastAsiaTheme="minorEastAsia"/>
        </w:rPr>
        <w:t>For temps above 1000 C, the electric efficiency of NG fired CLC plants is 47-53%</w:t>
      </w:r>
    </w:p>
    <w:p w14:paraId="02027DE2" w14:textId="77777777" w:rsidR="009031F0" w:rsidRDefault="009031F0" w:rsidP="009031F0">
      <w:pPr>
        <w:pStyle w:val="ListParagraph"/>
        <w:numPr>
          <w:ilvl w:val="1"/>
          <w:numId w:val="2"/>
        </w:numPr>
        <w:rPr>
          <w:rFonts w:eastAsiaTheme="minorEastAsia"/>
        </w:rPr>
      </w:pPr>
      <w:r>
        <w:rPr>
          <w:rFonts w:eastAsiaTheme="minorEastAsia"/>
        </w:rPr>
        <w:t xml:space="preserve">Although this paper is for high pressure CLC, values fall around 0.4 so I will assume a value of </w:t>
      </w:r>
      <w:r w:rsidRPr="00B23CF5">
        <w:rPr>
          <w:rFonts w:eastAsiaTheme="minorEastAsia"/>
          <w:b/>
          <w:bCs/>
        </w:rPr>
        <w:t>0.4</w:t>
      </w:r>
    </w:p>
    <w:p w14:paraId="34A3F2C9" w14:textId="77777777" w:rsidR="009031F0" w:rsidRDefault="009031F0" w:rsidP="009031F0">
      <w:pPr>
        <w:pStyle w:val="ListParagraph"/>
        <w:numPr>
          <w:ilvl w:val="1"/>
          <w:numId w:val="2"/>
        </w:numPr>
        <w:rPr>
          <w:rFonts w:eastAsiaTheme="minorEastAsia"/>
        </w:rPr>
      </w:pPr>
      <w:commentRangeStart w:id="2"/>
      <w:r>
        <w:rPr>
          <w:rFonts w:eastAsiaTheme="minorEastAsia"/>
        </w:rPr>
        <w:t>Zerobin &amp; Proll</w:t>
      </w:r>
      <w:commentRangeEnd w:id="2"/>
      <w:r>
        <w:rPr>
          <w:rStyle w:val="CommentReference"/>
          <w:rFonts w:eastAsiaTheme="minorEastAsia"/>
          <w:sz w:val="22"/>
          <w:szCs w:val="22"/>
        </w:rPr>
        <w:commentReference w:id="2"/>
      </w:r>
      <w:r>
        <w:rPr>
          <w:rFonts w:eastAsiaTheme="minorEastAsia"/>
        </w:rPr>
        <w:t xml:space="preserve">: 0.38-0.4 net efficiency electric for atmospheric CLC </w:t>
      </w:r>
    </w:p>
    <w:p w14:paraId="306CF724" w14:textId="544C0CC7" w:rsidR="0090021E" w:rsidRPr="0090021E" w:rsidRDefault="008341BD" w:rsidP="0090021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oMath>
      <w:r w:rsidR="0090021E">
        <w:rPr>
          <w:rFonts w:eastAsiaTheme="minorEastAsia"/>
        </w:rPr>
        <w:t xml:space="preserve"> is an additional efficiency factor (assumed 0.7) to account for </w:t>
      </w:r>
      <w:r w:rsidR="00CC5642">
        <w:rPr>
          <w:rFonts w:eastAsiaTheme="minorEastAsia"/>
        </w:rPr>
        <w:t>not all of the generated heat being “useful” to the turbine</w:t>
      </w:r>
    </w:p>
    <w:p w14:paraId="70C92F05" w14:textId="518BCC48" w:rsidR="000F33F6" w:rsidRDefault="008341BD" w:rsidP="000F33F6">
      <w:pPr>
        <w:jc w:val="cente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=0.157</m:t>
        </m:r>
        <m:f>
          <m:fPr>
            <m:ctrlPr>
              <w:rPr>
                <w:rFonts w:ascii="Cambria Math" w:hAnsi="Cambria Math"/>
                <w:i/>
              </w:rPr>
            </m:ctrlPr>
          </m:fPr>
          <m:num>
            <m:r>
              <w:rPr>
                <w:rFonts w:ascii="Cambria Math" w:hAnsi="Cambria Math"/>
              </w:rPr>
              <m:t>$</m:t>
            </m:r>
            <m:r>
              <w:rPr>
                <w:rFonts w:ascii="Cambria Math" w:hAnsi="Cambria Math"/>
              </w:rPr>
              <m:t>CAD</m:t>
            </m:r>
          </m:num>
          <m:den>
            <m:r>
              <w:rPr>
                <w:rFonts w:ascii="Cambria Math" w:hAnsi="Cambria Math"/>
              </w:rPr>
              <m:t>kW</m:t>
            </m:r>
            <m:r>
              <w:rPr>
                <w:rFonts w:ascii="Cambria Math" w:hAnsi="Cambria Math"/>
              </w:rPr>
              <m:t>h</m:t>
            </m:r>
          </m:den>
        </m:f>
      </m:oMath>
      <w:r w:rsidR="000F33F6">
        <w:rPr>
          <w:rFonts w:eastAsiaTheme="minorEastAsia"/>
        </w:rPr>
        <w:t xml:space="preserve">  </w:t>
      </w:r>
      <w:sdt>
        <w:sdtPr>
          <w:rPr>
            <w:rFonts w:eastAsiaTheme="minorEastAsia"/>
          </w:rPr>
          <w:id w:val="1047644737"/>
          <w:citation/>
        </w:sdtPr>
        <w:sdtEndPr/>
        <w:sdtContent>
          <w:r w:rsidR="00D54D83">
            <w:rPr>
              <w:rFonts w:eastAsiaTheme="minorEastAsia"/>
            </w:rPr>
            <w:fldChar w:fldCharType="begin"/>
          </w:r>
          <w:r w:rsidR="00610D5C">
            <w:rPr>
              <w:rFonts w:eastAsiaTheme="minorEastAsia"/>
              <w:lang w:val="en-US"/>
            </w:rPr>
            <w:instrText xml:space="preserve">CITATION Ont \l 1033 </w:instrText>
          </w:r>
          <w:r w:rsidR="00D54D83">
            <w:rPr>
              <w:rFonts w:eastAsiaTheme="minorEastAsia"/>
            </w:rPr>
            <w:fldChar w:fldCharType="separate"/>
          </w:r>
          <w:r w:rsidR="00A82481" w:rsidRPr="00A82481">
            <w:rPr>
              <w:rFonts w:eastAsiaTheme="minorEastAsia"/>
              <w:noProof/>
              <w:lang w:val="en-US"/>
            </w:rPr>
            <w:t>[2]</w:t>
          </w:r>
          <w:r w:rsidR="00D54D83">
            <w:rPr>
              <w:rFonts w:eastAsiaTheme="minorEastAsia"/>
            </w:rPr>
            <w:fldChar w:fldCharType="end"/>
          </w:r>
        </w:sdtContent>
      </w:sdt>
      <w:r w:rsidR="006D04F7">
        <w:rPr>
          <w:rFonts w:eastAsiaTheme="minorEastAsia"/>
        </w:rPr>
        <w:t xml:space="preserve"> (mid-peak)</w:t>
      </w:r>
    </w:p>
    <w:p w14:paraId="65378F04" w14:textId="553A8FD9" w:rsidR="00590A3F" w:rsidRDefault="00590A3F" w:rsidP="00590A3F">
      <w:pPr>
        <w:pStyle w:val="Heading4"/>
        <w:rPr>
          <w:rFonts w:eastAsiaTheme="minorEastAsia"/>
        </w:rPr>
      </w:pPr>
      <w:r>
        <w:rPr>
          <w:rFonts w:eastAsiaTheme="minorEastAsia"/>
        </w:rPr>
        <w:t>Pressure drop</w:t>
      </w:r>
    </w:p>
    <w:p w14:paraId="0B697167" w14:textId="01A793BE" w:rsidR="00DC4D42" w:rsidRPr="009031F0" w:rsidRDefault="008341BD" w:rsidP="00DC4D42">
      <w:pPr>
        <w:rPr>
          <w:rFonts w:eastAsiaTheme="minorEastAsia"/>
        </w:rPr>
      </w:pPr>
      <m:oMathPara>
        <m:oMath>
          <m:sSub>
            <m:sSubPr>
              <m:ctrlPr>
                <w:rPr>
                  <w:rFonts w:ascii="Cambria Math" w:hAnsi="Cambria Math"/>
                  <w:i/>
                </w:rPr>
              </m:ctrlPr>
            </m:sSubPr>
            <m:e>
              <m:r>
                <w:rPr>
                  <w:rFonts w:ascii="Cambria Math" w:hAnsi="Cambria Math"/>
                </w:rPr>
                <m:t>ϕ</m:t>
              </m:r>
            </m:e>
            <m:sub>
              <m:r>
                <w:rPr>
                  <w:rFonts w:ascii="Cambria Math" w:hAnsi="Cambria Math"/>
                </w:rPr>
                <m:t>fan</m:t>
              </m:r>
              <m:r>
                <w:rPr>
                  <w:rFonts w:ascii="Cambria Math" w:hAnsi="Cambria Math"/>
                </w:rPr>
                <m:t>,</m:t>
              </m:r>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Q</m:t>
              </m:r>
              <m:r>
                <m:rPr>
                  <m:sty m:val="p"/>
                </m:rPr>
                <w:rPr>
                  <w:rFonts w:ascii="Cambria Math" w:hAnsi="Cambria Math"/>
                </w:rPr>
                <m:t>Δ</m:t>
              </m:r>
              <m:r>
                <w:rPr>
                  <w:rFonts w:ascii="Cambria Math" w:hAnsi="Cambria Math"/>
                </w:rPr>
                <m:t>P</m:t>
              </m:r>
            </m:num>
            <m:den>
              <m:sSub>
                <m:sSubPr>
                  <m:ctrlPr>
                    <w:rPr>
                      <w:rFonts w:ascii="Cambria Math" w:hAnsi="Cambria Math"/>
                      <w:i/>
                    </w:rPr>
                  </m:ctrlPr>
                </m:sSubPr>
                <m:e>
                  <m:r>
                    <w:rPr>
                      <w:rFonts w:ascii="Cambria Math" w:hAnsi="Cambria Math"/>
                    </w:rPr>
                    <m:t>η</m:t>
                  </m:r>
                </m:e>
                <m:sub>
                  <m:r>
                    <w:rPr>
                      <w:rFonts w:ascii="Cambria Math" w:hAnsi="Cambria Math"/>
                    </w:rPr>
                    <m:t>fan</m:t>
                  </m:r>
                </m:sub>
              </m:sSub>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oMath>
      </m:oMathPara>
    </w:p>
    <w:p w14:paraId="5FB23AE9" w14:textId="77777777" w:rsidR="009031F0" w:rsidRDefault="008341BD" w:rsidP="009031F0">
      <w:p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0.157</m:t>
            </m:r>
          </m:num>
          <m:den>
            <m:r>
              <w:rPr>
                <w:rFonts w:ascii="Cambria Math" w:hAnsi="Cambria Math"/>
              </w:rPr>
              <m:t>3.6</m:t>
            </m:r>
            <m:r>
              <w:rPr>
                <w:rFonts w:ascii="Cambria Math" w:hAnsi="Cambria Math"/>
              </w:rPr>
              <m:t>e</m:t>
            </m:r>
            <m:r>
              <w:rPr>
                <w:rFonts w:ascii="Cambria Math" w:hAnsi="Cambria Math"/>
              </w:rPr>
              <m:t>6</m:t>
            </m:r>
          </m:den>
        </m:f>
      </m:oMath>
      <w:r w:rsidR="009031F0">
        <w:rPr>
          <w:rFonts w:eastAsiaTheme="minorEastAsia"/>
        </w:rPr>
        <w:t xml:space="preserve"> is the cost of electricity, converted from 0.157 CAD/kWh to CAD/J</w:t>
      </w:r>
    </w:p>
    <w:p w14:paraId="538ADCDA" w14:textId="77777777" w:rsidR="009031F0" w:rsidRDefault="009031F0" w:rsidP="009031F0">
      <w:pPr>
        <w:rPr>
          <w:rFonts w:eastAsiaTheme="minorEastAsia"/>
        </w:rPr>
      </w:pPr>
      <w:r>
        <w:rPr>
          <w:rFonts w:eastAsiaTheme="minorEastAsia"/>
        </w:rPr>
        <w:lastRenderedPageBreak/>
        <w:t xml:space="preserve">Fan power to overcome pressure drop: </w:t>
      </w:r>
      <m:oMath>
        <m:f>
          <m:fPr>
            <m:ctrlPr>
              <w:rPr>
                <w:rFonts w:ascii="Cambria Math" w:eastAsiaTheme="minorEastAsia" w:hAnsi="Cambria Math"/>
                <w:i/>
              </w:rPr>
            </m:ctrlPr>
          </m:fPr>
          <m:num>
            <m:r>
              <w:rPr>
                <w:rFonts w:ascii="Cambria Math" w:eastAsiaTheme="minorEastAsia" w:hAnsi="Cambria Math"/>
              </w:rPr>
              <m:t>Q</m:t>
            </m:r>
            <m:r>
              <m:rPr>
                <m:sty m:val="p"/>
              </m:rPr>
              <w:rPr>
                <w:rFonts w:ascii="Cambria Math" w:eastAsiaTheme="minorEastAsia" w:hAnsi="Cambria Math"/>
              </w:rPr>
              <m:t>Δ</m:t>
            </m:r>
            <m:r>
              <w:rPr>
                <w:rFonts w:ascii="Cambria Math" w:eastAsiaTheme="minorEastAsia" w:hAnsi="Cambria Math"/>
              </w:rPr>
              <m:t>P</m:t>
            </m:r>
          </m:num>
          <m:den>
            <m:r>
              <w:rPr>
                <w:rFonts w:ascii="Cambria Math" w:eastAsiaTheme="minorEastAsia" w:hAnsi="Cambria Math"/>
              </w:rPr>
              <m:t>η</m:t>
            </m:r>
          </m:den>
        </m:f>
      </m:oMath>
      <w:r>
        <w:rPr>
          <w:rFonts w:eastAsiaTheme="minorEastAsia"/>
        </w:rPr>
        <w:t xml:space="preserve"> unit analysis: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 xml:space="preserve">m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kg</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eastAsiaTheme="minorEastAsia" w:hAnsi="Cambria Math"/>
          </w:rPr>
          <m:t>=W</m:t>
        </m:r>
      </m:oMath>
      <w:r>
        <w:rPr>
          <w:rFonts w:eastAsiaTheme="minorEastAsia"/>
        </w:rPr>
        <w:t xml:space="preserve"> </w:t>
      </w:r>
    </w:p>
    <w:p w14:paraId="114779BB" w14:textId="77777777" w:rsidR="009031F0" w:rsidRDefault="009031F0" w:rsidP="009031F0">
      <w:pPr>
        <w:rPr>
          <w:rFonts w:eastAsiaTheme="minorEastAsia"/>
        </w:rPr>
      </w:pPr>
      <w:r>
        <w:rPr>
          <w:rFonts w:eastAsiaTheme="minorEastAsia"/>
        </w:rPr>
        <w:t>Typical fan efficiency is 0.75 according to Prof. Bill Anderson ChE 572 course notes</w:t>
      </w:r>
    </w:p>
    <w:p w14:paraId="43AD0554" w14:textId="64890B88" w:rsidR="009031F0" w:rsidRPr="000F11BD" w:rsidRDefault="009031F0" w:rsidP="00DC4D42">
      <w:pPr>
        <w:rPr>
          <w:rFonts w:eastAsiaTheme="minorEastAsia"/>
        </w:rPr>
      </w:pPr>
      <w:r>
        <w:rPr>
          <w:rFonts w:eastAsiaTheme="minorEastAsia"/>
        </w:rPr>
        <w:t>Since flow rate is constant (we are not assuming any dynamic flow rate of profile, we can convert to J by multiplying by the total stage time)</w:t>
      </w:r>
    </w:p>
    <w:p w14:paraId="1AEAE441" w14:textId="77777777" w:rsidR="000F11BD" w:rsidRDefault="000F11BD" w:rsidP="000F11BD">
      <w:pPr>
        <w:pStyle w:val="Heading4"/>
      </w:pPr>
      <w:r>
        <w:t>OC</w:t>
      </w:r>
    </w:p>
    <w:p w14:paraId="62C0D652" w14:textId="117F43F5" w:rsidR="000F11BD" w:rsidRDefault="008341BD" w:rsidP="000F11BD">
      <w:pPr>
        <w:jc w:val="cente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OC</m:t>
            </m:r>
          </m:sub>
        </m:sSub>
        <m:r>
          <w:rPr>
            <w:rFonts w:ascii="Cambria Math" w:hAnsi="Cambria Math"/>
          </w:rPr>
          <m:t>=520</m:t>
        </m:r>
        <m:f>
          <m:fPr>
            <m:ctrlPr>
              <w:rPr>
                <w:rFonts w:ascii="Cambria Math" w:hAnsi="Cambria Math"/>
                <w:i/>
              </w:rPr>
            </m:ctrlPr>
          </m:fPr>
          <m:num>
            <m:r>
              <w:rPr>
                <w:rFonts w:ascii="Cambria Math" w:hAnsi="Cambria Math"/>
              </w:rPr>
              <m:t>$</m:t>
            </m:r>
            <m:r>
              <w:rPr>
                <w:rFonts w:ascii="Cambria Math" w:hAnsi="Cambria Math"/>
              </w:rPr>
              <m:t>USD</m:t>
            </m:r>
          </m:num>
          <m:den>
            <m:r>
              <w:rPr>
                <w:rFonts w:ascii="Cambria Math" w:hAnsi="Cambria Math"/>
              </w:rPr>
              <m:t>tn</m:t>
            </m:r>
          </m:den>
        </m:f>
      </m:oMath>
      <w:r w:rsidR="000F11BD">
        <w:rPr>
          <w:rFonts w:eastAsiaTheme="minorEastAsia"/>
        </w:rPr>
        <w:t xml:space="preserve"> </w:t>
      </w:r>
      <w:commentRangeStart w:id="3"/>
      <w:r w:rsidR="000F11BD">
        <w:rPr>
          <w:rFonts w:eastAsiaTheme="minorEastAsia"/>
        </w:rPr>
        <w:t>[</w:t>
      </w:r>
      <w:commentRangeEnd w:id="3"/>
      <w:r w:rsidR="00D03800">
        <w:rPr>
          <w:rStyle w:val="CommentReference"/>
          <w:rFonts w:eastAsiaTheme="minorEastAsia"/>
          <w:sz w:val="22"/>
          <w:szCs w:val="22"/>
        </w:rPr>
        <w:commentReference w:id="3"/>
      </w:r>
      <w:sdt>
        <w:sdtPr>
          <w:rPr>
            <w:rFonts w:eastAsiaTheme="minorEastAsia"/>
          </w:rPr>
          <w:id w:val="862866605"/>
          <w:citation/>
        </w:sdtPr>
        <w:sdtEndPr/>
        <w:sdtContent>
          <w:r w:rsidR="00D03800">
            <w:rPr>
              <w:rFonts w:eastAsiaTheme="minorEastAsia"/>
            </w:rPr>
            <w:fldChar w:fldCharType="begin"/>
          </w:r>
          <w:r w:rsidR="00D03800">
            <w:rPr>
              <w:rFonts w:eastAsiaTheme="minorEastAsia"/>
              <w:lang w:val="en-US"/>
            </w:rPr>
            <w:instrText xml:space="preserve"> CITATION Che15 \l 1033 </w:instrText>
          </w:r>
          <w:r w:rsidR="00D03800">
            <w:rPr>
              <w:rFonts w:eastAsiaTheme="minorEastAsia"/>
            </w:rPr>
            <w:fldChar w:fldCharType="separate"/>
          </w:r>
          <w:r w:rsidR="00A82481">
            <w:rPr>
              <w:rFonts w:eastAsiaTheme="minorEastAsia"/>
              <w:noProof/>
              <w:lang w:val="en-US"/>
            </w:rPr>
            <w:t xml:space="preserve"> </w:t>
          </w:r>
          <w:r w:rsidR="00A82481" w:rsidRPr="00A82481">
            <w:rPr>
              <w:rFonts w:eastAsiaTheme="minorEastAsia"/>
              <w:noProof/>
              <w:lang w:val="en-US"/>
            </w:rPr>
            <w:t>[3]</w:t>
          </w:r>
          <w:r w:rsidR="00D03800">
            <w:rPr>
              <w:rFonts w:eastAsiaTheme="minorEastAsia"/>
            </w:rPr>
            <w:fldChar w:fldCharType="end"/>
          </w:r>
        </w:sdtContent>
      </w:sdt>
    </w:p>
    <w:p w14:paraId="262727B3" w14:textId="5F7649D2" w:rsidR="00BE6D6A" w:rsidRDefault="00BE6D6A" w:rsidP="00BE6D6A">
      <w:pPr>
        <w:rPr>
          <w:rFonts w:eastAsiaTheme="minorEastAsia"/>
        </w:rPr>
      </w:pPr>
      <w:r>
        <w:rPr>
          <w:rFonts w:eastAsiaTheme="minorEastAsia"/>
        </w:rPr>
        <w:t xml:space="preserve">According to the authors’ estimation (not detailed in the publication), the production cost of the direct granulation method is </w:t>
      </w:r>
      <w:r w:rsidRPr="00BE6D6A">
        <w:rPr>
          <w:rFonts w:eastAsiaTheme="minorEastAsia"/>
          <w:b/>
          <w:bCs/>
        </w:rPr>
        <w:t>less than</w:t>
      </w:r>
      <w:r>
        <w:rPr>
          <w:rFonts w:eastAsiaTheme="minorEastAsia"/>
        </w:rPr>
        <w:t xml:space="preserve"> 520 USD/tn</w:t>
      </w:r>
    </w:p>
    <w:p w14:paraId="6E1EF77B" w14:textId="77777777" w:rsidR="009031F0" w:rsidRDefault="009031F0" w:rsidP="009031F0">
      <w:pPr>
        <w:rPr>
          <w:rFonts w:eastAsiaTheme="minorEastAsia"/>
        </w:rPr>
      </w:pPr>
      <w:r>
        <w:t xml:space="preserve">Note that the cost of the OC should only be considered for one of the two stages, since they share the same reactor. From cost parameters </w:t>
      </w:r>
      <m:oMath>
        <m:sSub>
          <m:sSubPr>
            <m:ctrlPr>
              <w:rPr>
                <w:rFonts w:ascii="Cambria Math" w:hAnsi="Cambria Math"/>
                <w:i/>
              </w:rPr>
            </m:ctrlPr>
          </m:sSubPr>
          <m:e>
            <m:r>
              <w:rPr>
                <w:rFonts w:ascii="Cambria Math" w:hAnsi="Cambria Math"/>
              </w:rPr>
              <m:t>P</m:t>
            </m:r>
          </m:e>
          <m:sub>
            <m:r>
              <w:rPr>
                <w:rFonts w:ascii="Cambria Math" w:hAnsi="Cambria Math"/>
              </w:rPr>
              <m:t>OC</m:t>
            </m:r>
          </m:sub>
        </m:sSub>
        <m:r>
          <w:rPr>
            <w:rFonts w:ascii="Cambria Math" w:hAnsi="Cambria Math"/>
          </w:rPr>
          <m:t>=520</m:t>
        </m:r>
        <m:f>
          <m:fPr>
            <m:ctrlPr>
              <w:rPr>
                <w:rFonts w:ascii="Cambria Math" w:hAnsi="Cambria Math"/>
                <w:i/>
              </w:rPr>
            </m:ctrlPr>
          </m:fPr>
          <m:num>
            <m:r>
              <w:rPr>
                <w:rFonts w:ascii="Cambria Math" w:hAnsi="Cambria Math"/>
              </w:rPr>
              <m:t>$USD</m:t>
            </m:r>
          </m:num>
          <m:den>
            <m:r>
              <w:rPr>
                <w:rFonts w:ascii="Cambria Math" w:hAnsi="Cambria Math"/>
              </w:rPr>
              <m:t>tn</m:t>
            </m:r>
          </m:den>
        </m:f>
      </m:oMath>
      <w:r>
        <w:rPr>
          <w:rFonts w:eastAsiaTheme="minorEastAsia"/>
        </w:rPr>
        <w:t xml:space="preserve"> the paper this is taken from is from 2014, so converting this number to $USD (dec 2025) </w:t>
      </w:r>
      <w:hyperlink r:id="rId16" w:history="1">
        <w:r w:rsidRPr="008B6026">
          <w:rPr>
            <w:rStyle w:val="Hyperlink"/>
            <w:rFonts w:eastAsiaTheme="minorEastAsia"/>
          </w:rPr>
          <w:t>(according to the US bureau of labor and statistics 1 (2014) = 1.39 (2025))</w:t>
        </w:r>
      </w:hyperlink>
      <w:r>
        <w:rPr>
          <w:rFonts w:eastAsiaTheme="minorEastAsia"/>
        </w:rPr>
        <w:t>, taking US-CAD conversion rate from Jan 20</w:t>
      </w:r>
      <w:r w:rsidRPr="008B6404">
        <w:rPr>
          <w:rFonts w:eastAsiaTheme="minorEastAsia"/>
          <w:vertAlign w:val="superscript"/>
        </w:rPr>
        <w:t>th</w:t>
      </w:r>
      <w:r>
        <w:rPr>
          <w:rFonts w:eastAsiaTheme="minorEastAsia"/>
        </w:rPr>
        <w:t xml:space="preserve"> 2025 and assuming a US ton (907.185 kg) we get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OC</m:t>
            </m:r>
          </m:sub>
        </m:sSub>
        <m:r>
          <w:rPr>
            <w:rFonts w:ascii="Cambria Math" w:eastAsiaTheme="minorEastAsia" w:hAnsi="Cambria Math"/>
          </w:rPr>
          <m:t>=520</m:t>
        </m:r>
        <m:f>
          <m:fPr>
            <m:ctrlPr>
              <w:rPr>
                <w:rFonts w:ascii="Cambria Math" w:eastAsiaTheme="minorEastAsia" w:hAnsi="Cambria Math"/>
                <w:i/>
              </w:rPr>
            </m:ctrlPr>
          </m:fPr>
          <m:num>
            <m:r>
              <w:rPr>
                <w:rFonts w:ascii="Cambria Math" w:eastAsiaTheme="minorEastAsia" w:hAnsi="Cambria Math"/>
              </w:rPr>
              <m:t>$2014 USD</m:t>
            </m:r>
          </m:num>
          <m:den>
            <m:r>
              <w:rPr>
                <w:rFonts w:ascii="Cambria Math" w:eastAsiaTheme="minorEastAsia" w:hAnsi="Cambria Math"/>
              </w:rPr>
              <m:t>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1.39 $USD 2025</m:t>
            </m:r>
          </m:num>
          <m:den>
            <m:r>
              <w:rPr>
                <w:rFonts w:ascii="Cambria Math" w:eastAsiaTheme="minorEastAsia" w:hAnsi="Cambria Math"/>
              </w:rPr>
              <m:t>$ USD 2014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1.38 $CAD</m:t>
            </m:r>
          </m:num>
          <m:den>
            <m:r>
              <w:rPr>
                <w:rFonts w:ascii="Cambria Math" w:eastAsiaTheme="minorEastAsia" w:hAnsi="Cambria Math"/>
              </w:rPr>
              <m:t>1 $USD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 tn</m:t>
            </m:r>
          </m:num>
          <m:den>
            <m:r>
              <w:rPr>
                <w:rFonts w:ascii="Cambria Math" w:eastAsiaTheme="minorEastAsia" w:hAnsi="Cambria Math"/>
              </w:rPr>
              <m:t>907.185 kg</m:t>
            </m:r>
          </m:den>
        </m:f>
        <m:r>
          <w:rPr>
            <w:rFonts w:ascii="Cambria Math" w:eastAsiaTheme="minorEastAsia" w:hAnsi="Cambria Math"/>
          </w:rPr>
          <m:t>=1.10</m:t>
        </m:r>
        <m:f>
          <m:fPr>
            <m:ctrlPr>
              <w:rPr>
                <w:rFonts w:ascii="Cambria Math" w:eastAsiaTheme="minorEastAsia" w:hAnsi="Cambria Math"/>
                <w:i/>
              </w:rPr>
            </m:ctrlPr>
          </m:fPr>
          <m:num>
            <m:r>
              <w:rPr>
                <w:rFonts w:ascii="Cambria Math" w:eastAsiaTheme="minorEastAsia" w:hAnsi="Cambria Math"/>
              </w:rPr>
              <m:t>$CAD</m:t>
            </m:r>
          </m:num>
          <m:den>
            <m:r>
              <w:rPr>
                <w:rFonts w:ascii="Cambria Math" w:eastAsiaTheme="minorEastAsia" w:hAnsi="Cambria Math"/>
              </w:rPr>
              <m:t>kg OC</m:t>
            </m:r>
          </m:den>
        </m:f>
      </m:oMath>
    </w:p>
    <w:p w14:paraId="72EFA1CC" w14:textId="77777777" w:rsidR="009031F0" w:rsidRDefault="009031F0" w:rsidP="00BE6D6A">
      <w:pPr>
        <w:rPr>
          <w:rFonts w:eastAsiaTheme="minorEastAsia"/>
        </w:rPr>
      </w:pPr>
    </w:p>
    <w:p w14:paraId="72B27FA9" w14:textId="0C2FD221" w:rsidR="007E1976" w:rsidRDefault="007A57F9" w:rsidP="000F11BD">
      <w:pPr>
        <w:jc w:val="center"/>
        <w:rPr>
          <w:rFonts w:eastAsiaTheme="minorEastAsia"/>
        </w:rPr>
      </w:pPr>
      <w:r>
        <w:rPr>
          <w:rFonts w:eastAsiaTheme="minorEastAsia"/>
        </w:rPr>
        <w:t xml:space="preserve">OC </w:t>
      </w:r>
      <w:commentRangeStart w:id="4"/>
      <w:r w:rsidR="007E1976">
        <w:rPr>
          <w:rFonts w:eastAsiaTheme="minorEastAsia"/>
        </w:rPr>
        <w:t>Re</w:t>
      </w:r>
      <w:r w:rsidR="005015FA">
        <w:rPr>
          <w:rFonts w:eastAsiaTheme="minorEastAsia"/>
        </w:rPr>
        <w:t>placement rate:</w:t>
      </w:r>
      <w:commentRangeEnd w:id="4"/>
      <w:r w:rsidR="00B10E25">
        <w:rPr>
          <w:rStyle w:val="CommentReference"/>
          <w:rFonts w:eastAsiaTheme="minorEastAsia"/>
          <w:sz w:val="22"/>
          <w:szCs w:val="22"/>
        </w:rPr>
        <w:commentReference w:id="4"/>
      </w:r>
    </w:p>
    <w:p w14:paraId="2AF40384" w14:textId="35976378" w:rsidR="00DB5932" w:rsidRDefault="00DB5932" w:rsidP="00DB5932">
      <w:pPr>
        <w:pStyle w:val="Heading5"/>
        <w:rPr>
          <w:rFonts w:eastAsiaTheme="minorEastAsia"/>
        </w:rPr>
      </w:pPr>
      <w:r>
        <w:rPr>
          <w:rFonts w:eastAsiaTheme="minorEastAsia"/>
        </w:rPr>
        <w:t>CLC Experiment</w:t>
      </w:r>
      <w:r w:rsidR="007A57F9">
        <w:rPr>
          <w:rFonts w:eastAsiaTheme="minorEastAsia"/>
        </w:rPr>
        <w:t>al Literature</w:t>
      </w:r>
    </w:p>
    <w:p w14:paraId="7E73CA6F" w14:textId="25537A87" w:rsidR="00F449B2" w:rsidRDefault="00F449B2" w:rsidP="00F449B2">
      <w:pPr>
        <w:rPr>
          <w:rFonts w:eastAsiaTheme="minorEastAsia"/>
        </w:rPr>
      </w:pPr>
      <w:commentRangeStart w:id="5"/>
      <w:r w:rsidRPr="00E267C5">
        <w:rPr>
          <w:rFonts w:eastAsiaTheme="minorEastAsia"/>
        </w:rPr>
        <w:t>Bao et al</w:t>
      </w:r>
      <w:commentRangeEnd w:id="5"/>
      <w:r w:rsidRPr="00E267C5">
        <w:rPr>
          <w:rStyle w:val="CommentReference"/>
          <w:rFonts w:eastAsiaTheme="minorEastAsia"/>
          <w:sz w:val="22"/>
          <w:szCs w:val="22"/>
        </w:rPr>
        <w:commentReference w:id="5"/>
      </w:r>
      <w:r w:rsidRPr="00E267C5">
        <w:rPr>
          <w:rFonts w:eastAsiaTheme="minorEastAsia"/>
        </w:rPr>
        <w:t>. observed moderate deactivation over 40 cycles in a fluidized bed system</w:t>
      </w:r>
      <w:r>
        <w:rPr>
          <w:rFonts w:eastAsiaTheme="minorEastAsia"/>
        </w:rPr>
        <w:t>.</w:t>
      </w:r>
      <w:r w:rsidR="00DB71F2">
        <w:rPr>
          <w:rFonts w:eastAsiaTheme="minorEastAsia"/>
        </w:rPr>
        <w:t xml:space="preserve"> </w:t>
      </w:r>
      <w:commentRangeStart w:id="6"/>
      <w:r w:rsidR="00DB71F2">
        <w:rPr>
          <w:rFonts w:eastAsiaTheme="minorEastAsia"/>
        </w:rPr>
        <w:t>Yan et al.</w:t>
      </w:r>
      <w:commentRangeEnd w:id="6"/>
      <w:r w:rsidR="00DB71F2">
        <w:rPr>
          <w:rStyle w:val="CommentReference"/>
          <w:rFonts w:eastAsiaTheme="minorEastAsia"/>
          <w:sz w:val="22"/>
          <w:szCs w:val="22"/>
        </w:rPr>
        <w:commentReference w:id="6"/>
      </w:r>
      <w:r w:rsidR="00DB71F2">
        <w:rPr>
          <w:rFonts w:eastAsiaTheme="minorEastAsia"/>
        </w:rPr>
        <w:t xml:space="preserve"> investigated packed bed CLC with red mud over 20 cycles</w:t>
      </w:r>
      <w:r w:rsidR="00F265DE">
        <w:rPr>
          <w:rFonts w:eastAsiaTheme="minorEastAsia"/>
        </w:rPr>
        <w:t>.</w:t>
      </w:r>
    </w:p>
    <w:p w14:paraId="4B771DC6" w14:textId="25992F64" w:rsidR="00E267C5" w:rsidRDefault="00E267C5" w:rsidP="00F449B2">
      <w:pPr>
        <w:rPr>
          <w:rFonts w:eastAsiaTheme="minorEastAsia"/>
        </w:rPr>
      </w:pPr>
      <w:commentRangeStart w:id="7"/>
      <w:r>
        <w:rPr>
          <w:rFonts w:eastAsiaTheme="minorEastAsia"/>
        </w:rPr>
        <w:t>Wang et al</w:t>
      </w:r>
      <w:commentRangeEnd w:id="7"/>
      <w:r w:rsidR="00D57DC4">
        <w:rPr>
          <w:rStyle w:val="CommentReference"/>
          <w:rFonts w:eastAsiaTheme="minorEastAsia"/>
          <w:sz w:val="22"/>
          <w:szCs w:val="22"/>
        </w:rPr>
        <w:commentReference w:id="7"/>
      </w:r>
      <w:r>
        <w:rPr>
          <w:rFonts w:eastAsiaTheme="minorEastAsia"/>
        </w:rPr>
        <w:t xml:space="preserve">: tested 2 types of red mud, one was stable for 50 cycles  (FB) and the other was less stable. </w:t>
      </w:r>
    </w:p>
    <w:p w14:paraId="6DD0E57B" w14:textId="1F3F217F" w:rsidR="00DB71F2" w:rsidRDefault="00DB71F2" w:rsidP="00F449B2">
      <w:pPr>
        <w:rPr>
          <w:rFonts w:eastAsiaTheme="minorEastAsia"/>
        </w:rPr>
      </w:pPr>
      <w:r>
        <w:rPr>
          <w:rFonts w:eastAsiaTheme="minorEastAsia"/>
        </w:rPr>
        <w:t>Assume operating 8000 hours/year. minimum 15 mins per reactive stage (0.25 h) two purge stages per cycle (say 15 min total). 1 cycle: 0.75 h (minimum!)</w:t>
      </w:r>
    </w:p>
    <w:p w14:paraId="73BFBE98" w14:textId="73699739" w:rsidR="00DB71F2" w:rsidRDefault="00DB71F2" w:rsidP="00F449B2">
      <w:pPr>
        <w:rPr>
          <w:rFonts w:eastAsiaTheme="minorEastAsia"/>
        </w:rPr>
      </w:pPr>
      <w:r>
        <w:rPr>
          <w:rFonts w:eastAsiaTheme="minorEastAsia"/>
        </w:rPr>
        <w:t>Cycle time (general): 2*t + 0.25 ([t] = h)</w:t>
      </w:r>
    </w:p>
    <w:p w14:paraId="4829F82C" w14:textId="30809611" w:rsidR="005A4B63" w:rsidRDefault="005A4B63" w:rsidP="00F449B2">
      <w:pPr>
        <w:rPr>
          <w:rFonts w:eastAsiaTheme="minorEastAsia"/>
        </w:rPr>
      </w:pPr>
      <w:r>
        <w:rPr>
          <w:rFonts w:eastAsiaTheme="minorEastAsia"/>
        </w:rPr>
        <w:t>Number of changes:</w:t>
      </w:r>
      <m:oMath>
        <m:f>
          <m:fPr>
            <m:ctrlPr>
              <w:rPr>
                <w:rFonts w:ascii="Cambria Math" w:eastAsiaTheme="minorEastAsia" w:hAnsi="Cambria Math"/>
                <w:i/>
              </w:rPr>
            </m:ctrlPr>
          </m:fPr>
          <m:num>
            <m:r>
              <w:rPr>
                <w:rFonts w:ascii="Cambria Math" w:eastAsiaTheme="minorEastAsia" w:hAnsi="Cambria Math"/>
              </w:rPr>
              <m:t>8000</m:t>
            </m:r>
          </m:num>
          <m:den>
            <m:d>
              <m:dPr>
                <m:ctrlPr>
                  <w:rPr>
                    <w:rFonts w:ascii="Cambria Math" w:eastAsiaTheme="minorEastAsia" w:hAnsi="Cambria Math"/>
                    <w:i/>
                  </w:rPr>
                </m:ctrlPr>
              </m:dPr>
              <m:e>
                <m:r>
                  <w:rPr>
                    <w:rFonts w:ascii="Cambria Math" w:eastAsiaTheme="minorEastAsia" w:hAnsi="Cambria Math"/>
                  </w:rPr>
                  <m:t>2t+0.25</m:t>
                </m:r>
              </m:e>
            </m:d>
            <m:r>
              <w:rPr>
                <w:rFonts w:ascii="Cambria Math" w:eastAsiaTheme="minorEastAsia" w:hAnsi="Cambria Math"/>
              </w:rPr>
              <m:t>40</m:t>
            </m:r>
          </m:den>
        </m:f>
      </m:oMath>
    </w:p>
    <w:p w14:paraId="107831E9" w14:textId="03622B9A" w:rsidR="00DB71F2" w:rsidRDefault="00DB71F2" w:rsidP="00F449B2">
      <w:pPr>
        <w:rPr>
          <w:rFonts w:eastAsiaTheme="minorEastAsia"/>
        </w:rPr>
      </w:pPr>
      <w:r>
        <w:rPr>
          <w:rFonts w:eastAsiaTheme="minorEastAsia"/>
        </w:rPr>
        <w:t>40 cycles: 40*0.75 = 30 hours</w:t>
      </w:r>
    </w:p>
    <w:p w14:paraId="7ACCEDAF" w14:textId="0B6FF395" w:rsidR="00DB71F2" w:rsidRDefault="00DB71F2" w:rsidP="00F449B2">
      <w:pPr>
        <w:rPr>
          <w:rFonts w:eastAsiaTheme="minorEastAsia"/>
        </w:rPr>
      </w:pPr>
      <w:r>
        <w:rPr>
          <w:rFonts w:eastAsiaTheme="minorEastAsia"/>
        </w:rPr>
        <w:t xml:space="preserve">8000/30 = 267 changes of the OC </w:t>
      </w:r>
    </w:p>
    <w:p w14:paraId="04D7186E" w14:textId="2EED59D5" w:rsidR="000F33F6" w:rsidRDefault="0038253A" w:rsidP="008376DE">
      <w:r>
        <w:t>Assuming 1100 s reduction, 3600 s oxidation, 900 s purge: 6500 s per cycle</w:t>
      </w:r>
    </w:p>
    <w:p w14:paraId="1625D05E" w14:textId="68B7EE42" w:rsidR="0038253A" w:rsidRPr="00DB5932" w:rsidRDefault="008341BD" w:rsidP="008376DE">
      <w:pPr>
        <w:rPr>
          <w:rFonts w:eastAsiaTheme="minorEastAsia"/>
        </w:rPr>
      </w:pPr>
      <m:oMathPara>
        <m:oMath>
          <m:f>
            <m:fPr>
              <m:ctrlPr>
                <w:rPr>
                  <w:rFonts w:ascii="Cambria Math" w:hAnsi="Cambria Math"/>
                  <w:i/>
                </w:rPr>
              </m:ctrlPr>
            </m:fPr>
            <m:num>
              <m:r>
                <w:rPr>
                  <w:rFonts w:ascii="Cambria Math" w:hAnsi="Cambria Math"/>
                </w:rPr>
                <m:t>8000</m:t>
              </m:r>
            </m:num>
            <m:den>
              <m:f>
                <m:fPr>
                  <m:ctrlPr>
                    <w:rPr>
                      <w:rFonts w:ascii="Cambria Math" w:hAnsi="Cambria Math"/>
                      <w:i/>
                    </w:rPr>
                  </m:ctrlPr>
                </m:fPr>
                <m:num>
                  <m:r>
                    <w:rPr>
                      <w:rFonts w:ascii="Cambria Math" w:hAnsi="Cambria Math"/>
                    </w:rPr>
                    <m:t>6500</m:t>
                  </m:r>
                </m:num>
                <m:den>
                  <m:r>
                    <w:rPr>
                      <w:rFonts w:ascii="Cambria Math" w:hAnsi="Cambria Math"/>
                    </w:rPr>
                    <m:t>3600</m:t>
                  </m:r>
                </m:den>
              </m:f>
              <m:r>
                <w:rPr>
                  <w:rFonts w:ascii="Cambria Math" w:hAnsi="Cambria Math"/>
                </w:rPr>
                <m:t>×40</m:t>
              </m:r>
            </m:den>
          </m:f>
          <m:r>
            <w:rPr>
              <w:rFonts w:ascii="Cambria Math" w:eastAsiaTheme="minorEastAsia" w:hAnsi="Cambria Math"/>
            </w:rPr>
            <m:t xml:space="preserve">=110 </m:t>
          </m:r>
          <m:r>
            <w:rPr>
              <w:rFonts w:ascii="Cambria Math" w:eastAsiaTheme="minorEastAsia" w:hAnsi="Cambria Math"/>
            </w:rPr>
            <m:t>c</m:t>
          </m:r>
          <m:r>
            <w:rPr>
              <w:rFonts w:ascii="Cambria Math" w:eastAsiaTheme="minorEastAsia" w:hAnsi="Cambria Math"/>
            </w:rPr>
            <m:t>h</m:t>
          </m:r>
          <m:r>
            <w:rPr>
              <w:rFonts w:ascii="Cambria Math" w:eastAsiaTheme="minorEastAsia" w:hAnsi="Cambria Math"/>
            </w:rPr>
            <m:t>anges</m:t>
          </m:r>
        </m:oMath>
      </m:oMathPara>
    </w:p>
    <w:p w14:paraId="1634B901" w14:textId="43CCE09C" w:rsidR="00DB5932" w:rsidRDefault="00DB5932" w:rsidP="00DB5932">
      <w:pPr>
        <w:pStyle w:val="Heading5"/>
      </w:pPr>
      <w:r>
        <w:t>CLC Optimization</w:t>
      </w:r>
      <w:r w:rsidR="007A57F9">
        <w:t>/Design</w:t>
      </w:r>
      <w:r>
        <w:t xml:space="preserve"> literature</w:t>
      </w:r>
    </w:p>
    <w:p w14:paraId="2248C295" w14:textId="5B55B30C" w:rsidR="00DB5932" w:rsidRDefault="00C22812" w:rsidP="00C22812">
      <w:pPr>
        <w:pStyle w:val="ListParagraph"/>
        <w:numPr>
          <w:ilvl w:val="0"/>
          <w:numId w:val="2"/>
        </w:numPr>
      </w:pPr>
      <w:r>
        <w:t xml:space="preserve">Kayden’s Optimal Design and Control paper assumes an OC lifetime of 5 years </w:t>
      </w:r>
      <w:sdt>
        <w:sdtPr>
          <w:id w:val="866180667"/>
          <w:citation/>
        </w:sdtPr>
        <w:sdtEndPr/>
        <w:sdtContent>
          <w:r w:rsidR="00FD003C">
            <w:fldChar w:fldCharType="begin"/>
          </w:r>
          <w:r w:rsidR="00FD003C">
            <w:rPr>
              <w:lang w:val="en-US"/>
            </w:rPr>
            <w:instrText xml:space="preserve"> CITATION Tof21 \l 1033 </w:instrText>
          </w:r>
          <w:r w:rsidR="00FD003C">
            <w:fldChar w:fldCharType="separate"/>
          </w:r>
          <w:r w:rsidR="00FD003C" w:rsidRPr="00FD003C">
            <w:rPr>
              <w:noProof/>
              <w:lang w:val="en-US"/>
            </w:rPr>
            <w:t>[4]</w:t>
          </w:r>
          <w:r w:rsidR="00FD003C">
            <w:fldChar w:fldCharType="end"/>
          </w:r>
        </w:sdtContent>
      </w:sdt>
      <w:r w:rsidR="0031102A">
        <w:t>.</w:t>
      </w:r>
      <w:r w:rsidR="00DB1637">
        <w:t xml:space="preserve"> this is synthetic material (also no indication of why she assumed 5 years)</w:t>
      </w:r>
    </w:p>
    <w:p w14:paraId="1BBE23DD" w14:textId="492C801D" w:rsidR="007A57F9" w:rsidRDefault="007A57F9" w:rsidP="00C22812">
      <w:pPr>
        <w:pStyle w:val="ListParagraph"/>
        <w:numPr>
          <w:ilvl w:val="0"/>
          <w:numId w:val="2"/>
        </w:numPr>
      </w:pPr>
      <w:r>
        <w:lastRenderedPageBreak/>
        <w:t>In a technoeconomic evaluation of CLC, a Nickel based OC (</w:t>
      </w:r>
      <w:r w:rsidR="00610E9E">
        <w:t xml:space="preserve">having the best physical stability) </w:t>
      </w:r>
      <w:r w:rsidR="005F20C1">
        <w:t>is assumed to have a lifetime of 10000 h (</w:t>
      </w:r>
      <w:r w:rsidR="005C582B">
        <w:t>&gt; 1yr)</w:t>
      </w:r>
      <w:r w:rsidR="00132B55">
        <w:t xml:space="preserve"> in fluidized bed</w:t>
      </w:r>
      <w:r w:rsidR="00DA06E0">
        <w:t xml:space="preserve"> </w:t>
      </w:r>
      <w:sdt>
        <w:sdtPr>
          <w:id w:val="-918787650"/>
          <w:citation/>
        </w:sdtPr>
        <w:sdtEndPr/>
        <w:sdtContent>
          <w:r w:rsidR="00DA06E0">
            <w:fldChar w:fldCharType="begin"/>
          </w:r>
          <w:r w:rsidR="00DA06E0">
            <w:rPr>
              <w:lang w:val="en-US"/>
            </w:rPr>
            <w:instrText xml:space="preserve"> CITATION Zhu18 \l 1033 </w:instrText>
          </w:r>
          <w:r w:rsidR="00DA06E0">
            <w:fldChar w:fldCharType="separate"/>
          </w:r>
          <w:r w:rsidR="00DA06E0" w:rsidRPr="00DA06E0">
            <w:rPr>
              <w:noProof/>
              <w:lang w:val="en-US"/>
            </w:rPr>
            <w:t>[5]</w:t>
          </w:r>
          <w:r w:rsidR="00DA06E0">
            <w:fldChar w:fldCharType="end"/>
          </w:r>
        </w:sdtContent>
      </w:sdt>
    </w:p>
    <w:p w14:paraId="33EE475E" w14:textId="3CD5D087" w:rsidR="00531635" w:rsidRDefault="00DC0D5E" w:rsidP="00DC0D5E">
      <w:pPr>
        <w:pStyle w:val="ListParagraph"/>
        <w:numPr>
          <w:ilvl w:val="1"/>
          <w:numId w:val="2"/>
        </w:numPr>
      </w:pPr>
      <w:r>
        <w:t>This same study mentions other experimental work (still fluidized bed)</w:t>
      </w:r>
      <w:r w:rsidR="00575F31">
        <w:t xml:space="preserve"> for ilmenite as a natural OC material</w:t>
      </w:r>
      <w:r w:rsidR="004B5584">
        <w:t xml:space="preserve">. </w:t>
      </w:r>
      <w:r w:rsidR="0031102A">
        <w:t>The experimental publication:</w:t>
      </w:r>
      <w:r w:rsidR="004B5584">
        <w:t xml:space="preserve"> </w:t>
      </w:r>
      <w:sdt>
        <w:sdtPr>
          <w:id w:val="1433009452"/>
          <w:citation/>
        </w:sdtPr>
        <w:sdtEndPr/>
        <w:sdtContent>
          <w:r w:rsidR="004B5584">
            <w:fldChar w:fldCharType="begin"/>
          </w:r>
          <w:r w:rsidR="004B5584">
            <w:rPr>
              <w:lang w:val="en-US"/>
            </w:rPr>
            <w:instrText xml:space="preserve"> CITATION Cua12 \l 1033 </w:instrText>
          </w:r>
          <w:r w:rsidR="004B5584">
            <w:fldChar w:fldCharType="separate"/>
          </w:r>
          <w:r w:rsidR="004B5584" w:rsidRPr="004B5584">
            <w:rPr>
              <w:noProof/>
              <w:lang w:val="en-US"/>
            </w:rPr>
            <w:t>[6]</w:t>
          </w:r>
          <w:r w:rsidR="004B5584">
            <w:fldChar w:fldCharType="end"/>
          </w:r>
        </w:sdtContent>
      </w:sdt>
      <w:r w:rsidR="0031102A">
        <w:t xml:space="preserve">. </w:t>
      </w:r>
      <w:sdt>
        <w:sdtPr>
          <w:id w:val="-1892884111"/>
          <w:citation/>
        </w:sdtPr>
        <w:sdtEndPr/>
        <w:sdtContent>
          <w:r w:rsidR="0031102A">
            <w:fldChar w:fldCharType="begin"/>
          </w:r>
          <w:r w:rsidR="0031102A">
            <w:rPr>
              <w:lang w:val="en-US"/>
            </w:rPr>
            <w:instrText xml:space="preserve"> CITATION Zhu18 \l 1033 </w:instrText>
          </w:r>
          <w:r w:rsidR="0031102A">
            <w:fldChar w:fldCharType="separate"/>
          </w:r>
          <w:r w:rsidR="0031102A" w:rsidRPr="0031102A">
            <w:rPr>
              <w:noProof/>
              <w:lang w:val="en-US"/>
            </w:rPr>
            <w:t>[5]</w:t>
          </w:r>
          <w:r w:rsidR="0031102A">
            <w:fldChar w:fldCharType="end"/>
          </w:r>
        </w:sdtContent>
      </w:sdt>
      <w:r w:rsidR="0031102A">
        <w:t xml:space="preserve"> implies that this experimental work </w:t>
      </w:r>
      <w:r w:rsidR="00816A41">
        <w:t xml:space="preserve">showed that ilmenite has a lifetime of 1315 h (I couldn’t find this </w:t>
      </w:r>
      <w:r w:rsidR="001C63F7">
        <w:t xml:space="preserve">figure </w:t>
      </w:r>
      <w:r w:rsidR="00816A41">
        <w:t xml:space="preserve">from the experimental paper from my initial search). But other papers </w:t>
      </w:r>
      <w:r w:rsidR="00CD4C9B">
        <w:t>also cite 1315-1600 h lifetime (FB</w:t>
      </w:r>
      <w:r w:rsidR="00056E6C">
        <w:t xml:space="preserve">) </w:t>
      </w:r>
      <w:r w:rsidR="002741E3">
        <w:t>for an Fe-based OC</w:t>
      </w:r>
      <w:r w:rsidR="00BC05C0">
        <w:t xml:space="preserve"> </w:t>
      </w:r>
      <w:sdt>
        <w:sdtPr>
          <w:id w:val="-704790930"/>
          <w:citation/>
        </w:sdtPr>
        <w:sdtEndPr/>
        <w:sdtContent>
          <w:r w:rsidR="00BC05C0">
            <w:fldChar w:fldCharType="begin"/>
          </w:r>
          <w:r w:rsidR="00BC05C0">
            <w:rPr>
              <w:lang w:val="en-US"/>
            </w:rPr>
            <w:instrText xml:space="preserve"> CITATION Fan18 \l 1033 </w:instrText>
          </w:r>
          <w:r w:rsidR="00BC05C0">
            <w:fldChar w:fldCharType="separate"/>
          </w:r>
          <w:r w:rsidR="00BC05C0" w:rsidRPr="00BC05C0">
            <w:rPr>
              <w:noProof/>
              <w:lang w:val="en-US"/>
            </w:rPr>
            <w:t>[7]</w:t>
          </w:r>
          <w:r w:rsidR="00BC05C0">
            <w:fldChar w:fldCharType="end"/>
          </w:r>
        </w:sdtContent>
      </w:sdt>
      <w:r w:rsidR="00BC05C0">
        <w:t xml:space="preserve">. </w:t>
      </w:r>
      <w:r w:rsidR="00D33598">
        <w:t>This corresponds to ~54-</w:t>
      </w:r>
      <w:r w:rsidR="005843FD">
        <w:t>66 day lifetime (5-7 OC changes per year)</w:t>
      </w:r>
      <w:r w:rsidR="00534710">
        <w:t>.</w:t>
      </w:r>
    </w:p>
    <w:p w14:paraId="7FF197D5" w14:textId="7AFD830F" w:rsidR="001542DE" w:rsidRPr="006B441D" w:rsidRDefault="001542DE" w:rsidP="001542DE">
      <w:pPr>
        <w:pStyle w:val="ListParagraph"/>
        <w:numPr>
          <w:ilvl w:val="2"/>
          <w:numId w:val="2"/>
        </w:numPr>
      </w:pPr>
      <w:r>
        <w:t xml:space="preserve">1315 h </w:t>
      </w:r>
      <w:r w:rsidR="00C22607">
        <w:t>seems to come</w:t>
      </w:r>
      <w:r>
        <w:t xml:space="preserve"> from </w:t>
      </w:r>
      <w:r w:rsidR="00567A35">
        <w:t>“</w:t>
      </w:r>
      <w:r w:rsidR="00567A35" w:rsidRPr="00567A35">
        <w:t xml:space="preserve">After 40 h of operation the attrition rate stabilized to a value of 0.076%/h. Furthermore, XRD analysis of fines showed that they are formed only by iron </w:t>
      </w:r>
      <w:commentRangeStart w:id="8"/>
      <w:r w:rsidR="00567A35" w:rsidRPr="00567A35">
        <w:t>oxide</w:t>
      </w:r>
      <w:r w:rsidR="00567A35">
        <w:t xml:space="preserve">”: </w:t>
      </w:r>
      <m:oMath>
        <m:f>
          <m:fPr>
            <m:ctrlPr>
              <w:rPr>
                <w:rFonts w:ascii="Cambria Math" w:hAnsi="Cambria Math"/>
                <w:i/>
              </w:rPr>
            </m:ctrlPr>
          </m:fPr>
          <m:num>
            <m:r>
              <w:rPr>
                <w:rFonts w:ascii="Cambria Math" w:hAnsi="Cambria Math"/>
              </w:rPr>
              <m:t>100</m:t>
            </m:r>
          </m:num>
          <m:den>
            <m:r>
              <w:rPr>
                <w:rFonts w:ascii="Cambria Math" w:hAnsi="Cambria Math"/>
              </w:rPr>
              <m:t>0.076</m:t>
            </m:r>
          </m:den>
        </m:f>
        <m:r>
          <w:rPr>
            <w:rFonts w:ascii="Cambria Math" w:hAnsi="Cambria Math"/>
          </w:rPr>
          <m:t xml:space="preserve">=1315 </m:t>
        </m:r>
        <m:r>
          <w:rPr>
            <w:rFonts w:ascii="Cambria Math" w:hAnsi="Cambria Math"/>
          </w:rPr>
          <m:t>h</m:t>
        </m:r>
      </m:oMath>
      <w:commentRangeEnd w:id="8"/>
      <w:r w:rsidR="006A3275" w:rsidRPr="006B441D">
        <w:rPr>
          <w:rStyle w:val="CommentReference"/>
          <w:sz w:val="22"/>
          <w:szCs w:val="22"/>
        </w:rPr>
        <w:commentReference w:id="8"/>
      </w:r>
    </w:p>
    <w:p w14:paraId="71CC9F18" w14:textId="644CD850" w:rsidR="006B441D" w:rsidRDefault="006B441D" w:rsidP="006B441D">
      <w:pPr>
        <w:pStyle w:val="ListParagraph"/>
        <w:numPr>
          <w:ilvl w:val="0"/>
          <w:numId w:val="2"/>
        </w:numPr>
      </w:pPr>
      <w:r>
        <w:rPr>
          <w:rFonts w:eastAsiaTheme="minorEastAsia"/>
        </w:rPr>
        <w:t xml:space="preserve">From </w:t>
      </w:r>
      <w:commentRangeStart w:id="9"/>
      <w:r>
        <w:rPr>
          <w:rFonts w:eastAsiaTheme="minorEastAsia"/>
        </w:rPr>
        <w:t>Hong et al</w:t>
      </w:r>
      <w:commentRangeEnd w:id="9"/>
      <w:r w:rsidR="00FC7ED1">
        <w:rPr>
          <w:rStyle w:val="CommentReference"/>
          <w:rFonts w:eastAsiaTheme="minorEastAsia"/>
          <w:sz w:val="22"/>
          <w:szCs w:val="22"/>
        </w:rPr>
        <w:commentReference w:id="9"/>
      </w:r>
      <w:r>
        <w:rPr>
          <w:rFonts w:eastAsiaTheme="minorEastAsia"/>
        </w:rPr>
        <w:t xml:space="preserve">., the attrition rate of red mud </w:t>
      </w:r>
      <w:r w:rsidR="00AA1D0E">
        <w:rPr>
          <w:rFonts w:eastAsiaTheme="minorEastAsia"/>
        </w:rPr>
        <w:t xml:space="preserve">is 0.012 and 0.008 wt%/min for different types of red mud (fluidized bed). According to </w:t>
      </w:r>
      <w:r w:rsidR="00E364CC">
        <w:rPr>
          <w:rFonts w:eastAsiaTheme="minorEastAsia"/>
        </w:rPr>
        <w:t xml:space="preserve">the above estimation the lifetime would be </w:t>
      </w:r>
      <m:oMath>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0.008</m:t>
            </m:r>
          </m:den>
        </m:f>
        <m:r>
          <w:rPr>
            <w:rFonts w:ascii="Cambria Math" w:eastAsiaTheme="minorEastAsia" w:hAnsi="Cambria Math"/>
          </w:rPr>
          <m:t>=12500</m:t>
        </m:r>
        <m:func>
          <m:funcPr>
            <m:ctrlPr>
              <w:rPr>
                <w:rFonts w:ascii="Cambria Math" w:eastAsiaTheme="minorEastAsia" w:hAnsi="Cambria Math"/>
                <w:i/>
              </w:rPr>
            </m:ctrlPr>
          </m:funcPr>
          <m:fName>
            <m:r>
              <m:rPr>
                <m:sty m:val="p"/>
              </m:rPr>
              <w:rPr>
                <w:rFonts w:ascii="Cambria Math" w:eastAsiaTheme="minorEastAsia" w:hAnsi="Cambria Math"/>
              </w:rPr>
              <m:t>min</m:t>
            </m:r>
          </m:fName>
          <m:e>
            <m:r>
              <w:rPr>
                <w:rFonts w:ascii="Cambria Math" w:eastAsiaTheme="minorEastAsia" w:hAnsi="Cambria Math"/>
              </w:rPr>
              <m:t xml:space="preserve">=208 </m:t>
            </m:r>
            <m:r>
              <w:rPr>
                <w:rFonts w:ascii="Cambria Math" w:eastAsiaTheme="minorEastAsia" w:hAnsi="Cambria Math"/>
              </w:rPr>
              <m:t>h</m:t>
            </m:r>
          </m:e>
        </m:func>
      </m:oMath>
      <w:r w:rsidR="00F172C5">
        <w:rPr>
          <w:rFonts w:eastAsiaTheme="minorEastAsia"/>
        </w:rPr>
        <w:t xml:space="preserve"> which corresponds to </w:t>
      </w:r>
      <w:r w:rsidR="00991A97">
        <w:rPr>
          <w:rFonts w:eastAsiaTheme="minorEastAsia"/>
        </w:rPr>
        <w:t>39</w:t>
      </w:r>
      <w:r w:rsidR="00FC7ED1">
        <w:rPr>
          <w:rFonts w:eastAsiaTheme="minorEastAsia"/>
        </w:rPr>
        <w:t xml:space="preserve"> changes of the OC</w:t>
      </w:r>
      <w:r w:rsidR="00991A97">
        <w:rPr>
          <w:rFonts w:eastAsiaTheme="minorEastAsia"/>
        </w:rPr>
        <w:t xml:space="preserve"> (based on 8000 h operational year)</w:t>
      </w:r>
      <w:r w:rsidR="00FC7ED1">
        <w:rPr>
          <w:rFonts w:eastAsiaTheme="minorEastAsia"/>
        </w:rPr>
        <w:t xml:space="preserve">. </w:t>
      </w:r>
    </w:p>
    <w:p w14:paraId="2C782794" w14:textId="2C10EEB7" w:rsidR="0098064B" w:rsidRDefault="0098064B" w:rsidP="0098064B">
      <w:pPr>
        <w:pStyle w:val="ListParagraph"/>
        <w:numPr>
          <w:ilvl w:val="0"/>
          <w:numId w:val="2"/>
        </w:numPr>
      </w:pPr>
      <w:r>
        <w:t>Spallina’s CLC design papers:</w:t>
      </w:r>
    </w:p>
    <w:p w14:paraId="2F9A16A2" w14:textId="77777777" w:rsidR="00001DE8" w:rsidRDefault="00C57E94" w:rsidP="0098064B">
      <w:pPr>
        <w:pStyle w:val="ListParagraph"/>
        <w:numPr>
          <w:ilvl w:val="1"/>
          <w:numId w:val="2"/>
        </w:numPr>
      </w:pPr>
      <w:r w:rsidRPr="00C57E94">
        <w:t>Reactor design and operation strategies for a large-scale packed-bed CLC power plant with coal syngas</w:t>
      </w:r>
      <w:r>
        <w:t xml:space="preserve">: </w:t>
      </w:r>
    </w:p>
    <w:p w14:paraId="1B0BCAE6" w14:textId="3ED940DC" w:rsidR="0098064B" w:rsidRDefault="00C57E94" w:rsidP="00001DE8">
      <w:pPr>
        <w:pStyle w:val="ListParagraph"/>
        <w:numPr>
          <w:ilvl w:val="2"/>
          <w:numId w:val="2"/>
        </w:numPr>
      </w:pPr>
      <w:r>
        <w:t>this paper is not a techno-economic optimization and there’s no discussion on OC lifetime</w:t>
      </w:r>
    </w:p>
    <w:p w14:paraId="36F6D8E5" w14:textId="4874AB37" w:rsidR="00001DE8" w:rsidRDefault="00001DE8" w:rsidP="0098064B">
      <w:pPr>
        <w:pStyle w:val="ListParagraph"/>
        <w:numPr>
          <w:ilvl w:val="1"/>
          <w:numId w:val="2"/>
        </w:numPr>
      </w:pPr>
      <w:r w:rsidRPr="00001DE8">
        <w:t>Techno-economic assessment of an integrated high pressure chemical-looping process with packed-bed reactors in large scale hydrogen and methanol production</w:t>
      </w:r>
      <w:r>
        <w:t>:</w:t>
      </w:r>
    </w:p>
    <w:p w14:paraId="044758E0" w14:textId="0A4E64FD" w:rsidR="00001DE8" w:rsidRDefault="00001DE8" w:rsidP="00001DE8">
      <w:pPr>
        <w:pStyle w:val="ListParagraph"/>
        <w:numPr>
          <w:ilvl w:val="2"/>
          <w:numId w:val="2"/>
        </w:numPr>
      </w:pPr>
      <w:r>
        <w:t>This is not strictly CLC (chemical looping hydrogen/</w:t>
      </w:r>
      <w:r w:rsidR="009972B5">
        <w:t xml:space="preserve">MeOH production). Suggests that cheaper OC materials </w:t>
      </w:r>
      <w:r w:rsidR="003F1C5A">
        <w:t xml:space="preserve">(minerals) </w:t>
      </w:r>
      <w:r w:rsidR="009972B5">
        <w:t xml:space="preserve">cost around </w:t>
      </w:r>
      <w:r w:rsidR="003F1C5A">
        <w:t>$2/kg (this is consistent with my estimation for red mud)</w:t>
      </w:r>
    </w:p>
    <w:p w14:paraId="13C58DC9" w14:textId="50260ED0" w:rsidR="003F1C5A" w:rsidRDefault="003F1C5A" w:rsidP="00001DE8">
      <w:pPr>
        <w:pStyle w:val="ListParagraph"/>
        <w:numPr>
          <w:ilvl w:val="2"/>
          <w:numId w:val="2"/>
        </w:numPr>
      </w:pPr>
      <w:r>
        <w:t>Considers an OC lifetime of 2 years (does some sensitivity on this</w:t>
      </w:r>
      <w:r w:rsidR="004D15F4">
        <w:t xml:space="preserve"> and considers the shortest lifetime to be 6 months)</w:t>
      </w:r>
    </w:p>
    <w:p w14:paraId="251EC51D" w14:textId="6213C257" w:rsidR="001C5A51" w:rsidRPr="00DB5932" w:rsidRDefault="00CE551C" w:rsidP="00CE551C">
      <w:pPr>
        <w:pStyle w:val="ListParagraph"/>
        <w:numPr>
          <w:ilvl w:val="0"/>
          <w:numId w:val="2"/>
        </w:numPr>
      </w:pPr>
      <w:r>
        <w:t xml:space="preserve">Since all of the metrics I’ve found for red mud (or ilmenite) are for fluidized bed reactors (which are far rougher on the OCs), </w:t>
      </w:r>
      <w:r w:rsidR="00F142DD">
        <w:t>and other packed bed studies assume 2-5 year particle lifetimes, after discussion with Luis we are going to assume an OC lifetime of 1 year.</w:t>
      </w:r>
    </w:p>
    <w:p w14:paraId="36DDA002" w14:textId="4A2A7FE4" w:rsidR="000366B6" w:rsidRPr="008376DE" w:rsidRDefault="001757A1" w:rsidP="008376DE">
      <w:pPr>
        <w:pStyle w:val="Heading2"/>
      </w:pPr>
      <w:r>
        <w:t>Capital cost</w:t>
      </w:r>
      <w:r w:rsidR="00D15395">
        <w:t xml:space="preserve"> estimation</w:t>
      </w:r>
    </w:p>
    <w:p w14:paraId="2F9180D3" w14:textId="39491FE6" w:rsidR="00F66D35" w:rsidRDefault="005F3AB7" w:rsidP="005F3AB7">
      <w:pPr>
        <w:pStyle w:val="Heading4"/>
        <w:rPr>
          <w:rFonts w:eastAsiaTheme="minorEastAsia"/>
        </w:rPr>
      </w:pPr>
      <w:r>
        <w:rPr>
          <w:rFonts w:eastAsiaTheme="minorEastAsia"/>
        </w:rPr>
        <w:t>Correlation</w:t>
      </w:r>
    </w:p>
    <w:p w14:paraId="3279084C" w14:textId="4D4DA30A" w:rsidR="005544CB" w:rsidRPr="005544CB" w:rsidRDefault="008341BD" w:rsidP="001757A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cap</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r>
                    <w:rPr>
                      <w:rFonts w:ascii="Cambria Math" w:eastAsiaTheme="minorEastAsia" w:hAnsi="Cambria Math"/>
                    </w:rPr>
                    <m:t>&amp;</m:t>
                  </m:r>
                  <m:r>
                    <w:rPr>
                      <w:rFonts w:ascii="Cambria Math" w:eastAsiaTheme="minorEastAsia" w:hAnsi="Cambria Math"/>
                    </w:rPr>
                    <m:t>S</m:t>
                  </m:r>
                </m:num>
                <m:den>
                  <m:r>
                    <w:rPr>
                      <w:rFonts w:ascii="Cambria Math" w:eastAsiaTheme="minorEastAsia" w:hAnsi="Cambria Math"/>
                    </w:rPr>
                    <m:t>280</m:t>
                  </m:r>
                </m:den>
              </m:f>
            </m:e>
          </m:d>
          <m:r>
            <w:rPr>
              <w:rFonts w:ascii="Cambria Math" w:eastAsiaTheme="minorEastAsia" w:hAnsi="Cambria Math"/>
            </w:rPr>
            <m:t>101.9</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1.066</m:t>
              </m:r>
            </m:sup>
          </m:sSup>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0.802</m:t>
              </m:r>
            </m:sup>
          </m:sSup>
          <m:d>
            <m:dPr>
              <m:ctrlPr>
                <w:rPr>
                  <w:rFonts w:ascii="Cambria Math" w:eastAsiaTheme="minorEastAsia" w:hAnsi="Cambria Math"/>
                  <w:i/>
                </w:rPr>
              </m:ctrlPr>
            </m:dPr>
            <m:e>
              <m:r>
                <w:rPr>
                  <w:rFonts w:ascii="Cambria Math" w:eastAsiaTheme="minorEastAsia" w:hAnsi="Cambria Math"/>
                </w:rPr>
                <m:t>2.18+</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e>
          </m:d>
        </m:oMath>
      </m:oMathPara>
    </w:p>
    <w:p w14:paraId="4ED3DD9F" w14:textId="35030B89" w:rsidR="005544CB" w:rsidRDefault="005544CB" w:rsidP="001757A1">
      <w:pPr>
        <w:rPr>
          <w:rFonts w:eastAsiaTheme="minorEastAsia"/>
        </w:rPr>
      </w:pPr>
      <w:r>
        <w:rPr>
          <w:rFonts w:eastAsiaTheme="minorEastAsia"/>
        </w:rPr>
        <w:t>[D] = ft</w:t>
      </w:r>
    </w:p>
    <w:p w14:paraId="7C754621" w14:textId="1ECCC45C" w:rsidR="005544CB" w:rsidRDefault="005544CB" w:rsidP="001757A1">
      <w:pPr>
        <w:rPr>
          <w:rFonts w:eastAsiaTheme="minorEastAsia"/>
        </w:rPr>
      </w:pPr>
      <w:r>
        <w:rPr>
          <w:rFonts w:eastAsiaTheme="minorEastAsia"/>
        </w:rPr>
        <w:t>[H] = ft</w:t>
      </w:r>
    </w:p>
    <w:p w14:paraId="79B8D8D6" w14:textId="727CA14B" w:rsidR="005544CB" w:rsidRPr="005544CB" w:rsidRDefault="008341BD" w:rsidP="001757A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m:t>
              </m:r>
            </m:sub>
          </m:sSub>
        </m:oMath>
      </m:oMathPara>
    </w:p>
    <w:p w14:paraId="7132EE87" w14:textId="357F1B5C" w:rsidR="005544CB" w:rsidRPr="005544CB" w:rsidRDefault="008341BD" w:rsidP="3B17A2E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p</m:t>
            </m:r>
          </m:sub>
        </m:sSub>
        <m:r>
          <w:rPr>
            <w:rFonts w:ascii="Cambria Math" w:eastAsiaTheme="minorEastAsia" w:hAnsi="Cambria Math"/>
          </w:rPr>
          <m:t>=1.00</m:t>
        </m:r>
      </m:oMath>
      <w:r w:rsidR="005544CB" w:rsidRPr="3B17A2E1">
        <w:rPr>
          <w:rFonts w:eastAsiaTheme="minorEastAsia"/>
        </w:rPr>
        <w:t xml:space="preserve"> for pressure up to 50 psi (3.44 bar).</w:t>
      </w:r>
      <w:r w:rsidR="00507039" w:rsidRPr="3B17A2E1">
        <w:rPr>
          <w:rFonts w:eastAsiaTheme="minorEastAsia"/>
        </w:rPr>
        <w:t xml:space="preserve"> M&amp;S(1994) = 1050</w:t>
      </w:r>
      <w:r w:rsidR="005F3AB7" w:rsidRPr="3B17A2E1">
        <w:rPr>
          <w:rFonts w:eastAsiaTheme="minorEastAsia"/>
        </w:rPr>
        <w:t xml:space="preserve"> </w:t>
      </w:r>
      <w:sdt>
        <w:sdtPr>
          <w:rPr>
            <w:rFonts w:eastAsiaTheme="minorEastAsia"/>
          </w:rPr>
          <w:id w:val="-1480464528"/>
        </w:sdtPr>
        <w:sdtEndPr/>
        <w:sdtContent>
          <w:r w:rsidR="006C38D5" w:rsidRPr="3B17A2E1">
            <w:rPr>
              <w:rFonts w:eastAsiaTheme="minorEastAsia"/>
            </w:rPr>
            <w:fldChar w:fldCharType="begin"/>
          </w:r>
          <w:r w:rsidR="006C38D5" w:rsidRPr="3B17A2E1">
            <w:rPr>
              <w:rFonts w:eastAsiaTheme="minorEastAsia"/>
              <w:lang w:val="en-US"/>
            </w:rPr>
            <w:instrText xml:space="preserve"> CITATION Ber16 \l 1033 </w:instrText>
          </w:r>
          <w:r w:rsidR="006C38D5" w:rsidRPr="3B17A2E1">
            <w:rPr>
              <w:rFonts w:eastAsiaTheme="minorEastAsia"/>
            </w:rPr>
            <w:fldChar w:fldCharType="separate"/>
          </w:r>
          <w:r w:rsidR="00A82481" w:rsidRPr="3B17A2E1">
            <w:rPr>
              <w:rFonts w:eastAsiaTheme="minorEastAsia"/>
              <w:noProof/>
              <w:lang w:val="en-US"/>
            </w:rPr>
            <w:t>[4]</w:t>
          </w:r>
          <w:r w:rsidR="006C38D5" w:rsidRPr="3B17A2E1">
            <w:rPr>
              <w:rFonts w:eastAsiaTheme="minorEastAsia"/>
            </w:rPr>
            <w:fldChar w:fldCharType="end"/>
          </w:r>
        </w:sdtContent>
      </w:sdt>
    </w:p>
    <w:commentRangeStart w:id="10"/>
    <w:commentRangeStart w:id="11"/>
    <w:commentRangeStart w:id="12"/>
    <w:p w14:paraId="6CD7BEC4" w14:textId="50EE1483" w:rsidR="000F33F6" w:rsidRDefault="008341BD" w:rsidP="001757A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r>
          <w:rPr>
            <w:rFonts w:ascii="Cambria Math" w:eastAsiaTheme="minorEastAsia" w:hAnsi="Cambria Math"/>
          </w:rPr>
          <m:t>=1.00</m:t>
        </m:r>
      </m:oMath>
      <w:r w:rsidR="00111787">
        <w:rPr>
          <w:rFonts w:eastAsiaTheme="minorEastAsia"/>
        </w:rPr>
        <w:t xml:space="preserve"> for carbon steel. Although stainless steel has better thermal properties, the reactor will be insulated </w:t>
      </w:r>
      <w:r w:rsidR="005F3AB7">
        <w:rPr>
          <w:rFonts w:eastAsiaTheme="minorEastAsia"/>
        </w:rPr>
        <w:t xml:space="preserve"> </w:t>
      </w:r>
      <w:sdt>
        <w:sdtPr>
          <w:rPr>
            <w:rFonts w:eastAsiaTheme="minorEastAsia"/>
          </w:rPr>
          <w:id w:val="1157115060"/>
          <w:citation/>
        </w:sdtPr>
        <w:sdtEndPr/>
        <w:sdtContent>
          <w:r w:rsidR="00714D11">
            <w:rPr>
              <w:rFonts w:eastAsiaTheme="minorEastAsia"/>
            </w:rPr>
            <w:fldChar w:fldCharType="begin"/>
          </w:r>
          <w:r w:rsidR="00714D11">
            <w:rPr>
              <w:rFonts w:eastAsiaTheme="minorEastAsia"/>
              <w:lang w:val="en-US"/>
            </w:rPr>
            <w:instrText xml:space="preserve"> CITATION Dou88 \l 1033 </w:instrText>
          </w:r>
          <w:r w:rsidR="00714D11">
            <w:rPr>
              <w:rFonts w:eastAsiaTheme="minorEastAsia"/>
            </w:rPr>
            <w:fldChar w:fldCharType="separate"/>
          </w:r>
          <w:r w:rsidR="00A82481" w:rsidRPr="00A82481">
            <w:rPr>
              <w:rFonts w:eastAsiaTheme="minorEastAsia"/>
              <w:noProof/>
              <w:lang w:val="en-US"/>
            </w:rPr>
            <w:t>[5]</w:t>
          </w:r>
          <w:r w:rsidR="00714D11">
            <w:rPr>
              <w:rFonts w:eastAsiaTheme="minorEastAsia"/>
            </w:rPr>
            <w:fldChar w:fldCharType="end"/>
          </w:r>
        </w:sdtContent>
      </w:sdt>
      <w:commentRangeEnd w:id="10"/>
      <w:r w:rsidR="000B4E02">
        <w:rPr>
          <w:rStyle w:val="CommentReference"/>
          <w:rFonts w:eastAsiaTheme="minorEastAsia"/>
          <w:sz w:val="22"/>
          <w:szCs w:val="22"/>
        </w:rPr>
        <w:commentReference w:id="10"/>
      </w:r>
      <w:commentRangeEnd w:id="11"/>
      <w:r w:rsidR="006C38D5">
        <w:rPr>
          <w:rStyle w:val="CommentReference"/>
          <w:rFonts w:eastAsiaTheme="minorEastAsia"/>
          <w:sz w:val="22"/>
          <w:szCs w:val="22"/>
        </w:rPr>
        <w:commentReference w:id="11"/>
      </w:r>
      <w:commentRangeEnd w:id="12"/>
      <w:r w:rsidR="006C38D5">
        <w:rPr>
          <w:rStyle w:val="CommentReference"/>
          <w:rFonts w:eastAsiaTheme="minorEastAsia"/>
          <w:sz w:val="22"/>
          <w:szCs w:val="22"/>
        </w:rPr>
        <w:commentReference w:id="12"/>
      </w:r>
      <w:r w:rsidR="000774AC">
        <w:rPr>
          <w:rFonts w:eastAsiaTheme="minorEastAsia"/>
        </w:rPr>
        <w:t>. Fm = 3.67 for stainless steel</w:t>
      </w:r>
    </w:p>
    <w:tbl>
      <w:tblPr>
        <w:tblStyle w:val="TableGrid"/>
        <w:tblW w:w="0" w:type="auto"/>
        <w:tblLook w:val="04A0" w:firstRow="1" w:lastRow="0" w:firstColumn="1" w:lastColumn="0" w:noHBand="0" w:noVBand="1"/>
      </w:tblPr>
      <w:tblGrid>
        <w:gridCol w:w="4135"/>
        <w:gridCol w:w="2098"/>
        <w:gridCol w:w="3117"/>
      </w:tblGrid>
      <w:tr w:rsidR="00E77105" w:rsidRPr="00E77105" w14:paraId="11F1CADA" w14:textId="77777777" w:rsidTr="006C38D5">
        <w:tc>
          <w:tcPr>
            <w:tcW w:w="4135" w:type="dxa"/>
          </w:tcPr>
          <w:p w14:paraId="05273B17" w14:textId="097B6D57" w:rsidR="00E77105" w:rsidRPr="00E77105" w:rsidRDefault="008341BD" w:rsidP="00E77105">
            <w:pPr>
              <w:spacing w:line="259"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CEPI</m:t>
                    </m:r>
                  </m:e>
                  <m:sub>
                    <m:r>
                      <w:rPr>
                        <w:rFonts w:ascii="Cambria Math" w:eastAsiaTheme="minorEastAsia" w:hAnsi="Cambria Math"/>
                        <w:lang w:val="en-US"/>
                      </w:rPr>
                      <m:t>2025</m:t>
                    </m:r>
                  </m:sub>
                </m:sSub>
              </m:oMath>
            </m:oMathPara>
          </w:p>
        </w:tc>
        <w:tc>
          <w:tcPr>
            <w:tcW w:w="2098" w:type="dxa"/>
          </w:tcPr>
          <w:p w14:paraId="4D1297C1" w14:textId="77777777" w:rsidR="00E77105" w:rsidRPr="00E77105" w:rsidRDefault="00E77105" w:rsidP="00E77105">
            <w:pPr>
              <w:spacing w:line="259" w:lineRule="auto"/>
              <w:rPr>
                <w:rFonts w:eastAsiaTheme="minorEastAsia"/>
                <w:lang w:val="en-US"/>
              </w:rPr>
            </w:pPr>
            <w:r w:rsidRPr="00E77105">
              <w:rPr>
                <w:rFonts w:eastAsiaTheme="minorEastAsia"/>
                <w:lang w:val="en-US"/>
              </w:rPr>
              <w:t>796.5</w:t>
            </w:r>
          </w:p>
        </w:tc>
        <w:tc>
          <w:tcPr>
            <w:tcW w:w="3117" w:type="dxa"/>
          </w:tcPr>
          <w:p w14:paraId="5D549C01" w14:textId="77777777" w:rsidR="00E77105" w:rsidRPr="00E77105" w:rsidRDefault="00E77105" w:rsidP="00E77105">
            <w:pPr>
              <w:spacing w:line="259" w:lineRule="auto"/>
              <w:rPr>
                <w:rFonts w:eastAsiaTheme="minorEastAsia"/>
                <w:lang w:val="en-US"/>
              </w:rPr>
            </w:pPr>
            <w:r w:rsidRPr="00E77105">
              <w:rPr>
                <w:rFonts w:eastAsiaTheme="minorEastAsia"/>
                <w:lang w:val="en-US"/>
              </w:rPr>
              <w:t>Chemical Engineering Magazine (July) (</w:t>
            </w:r>
            <w:hyperlink r:id="rId17" w:history="1">
              <w:r w:rsidRPr="00E77105">
                <w:rPr>
                  <w:rStyle w:val="Hyperlink"/>
                  <w:rFonts w:eastAsiaTheme="minorEastAsia"/>
                  <w:lang w:val="en-US"/>
                </w:rPr>
                <w:t>link</w:t>
              </w:r>
            </w:hyperlink>
            <w:r w:rsidRPr="00E77105">
              <w:rPr>
                <w:rFonts w:eastAsiaTheme="minorEastAsia"/>
                <w:lang w:val="en-US"/>
              </w:rPr>
              <w:t>)</w:t>
            </w:r>
          </w:p>
        </w:tc>
      </w:tr>
      <w:tr w:rsidR="00E77105" w:rsidRPr="00E77105" w14:paraId="1A62E713" w14:textId="77777777" w:rsidTr="006C38D5">
        <w:tc>
          <w:tcPr>
            <w:tcW w:w="4135" w:type="dxa"/>
          </w:tcPr>
          <w:p w14:paraId="03FFC3AC" w14:textId="6EB6D3A1" w:rsidR="00E77105" w:rsidRPr="00E77105" w:rsidRDefault="008341BD" w:rsidP="00E77105">
            <w:pPr>
              <w:spacing w:line="259" w:lineRule="auto"/>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CEPI</m:t>
                    </m:r>
                  </m:e>
                  <m:sub>
                    <m:r>
                      <w:rPr>
                        <w:rFonts w:ascii="Cambria Math" w:eastAsiaTheme="minorEastAsia" w:hAnsi="Cambria Math"/>
                        <w:lang w:val="en-US"/>
                      </w:rPr>
                      <m:t>1994</m:t>
                    </m:r>
                  </m:sub>
                </m:sSub>
              </m:oMath>
            </m:oMathPara>
          </w:p>
        </w:tc>
        <w:tc>
          <w:tcPr>
            <w:tcW w:w="2098" w:type="dxa"/>
          </w:tcPr>
          <w:p w14:paraId="060252FD" w14:textId="77777777" w:rsidR="00E77105" w:rsidRPr="00E77105" w:rsidRDefault="00E77105" w:rsidP="00E77105">
            <w:pPr>
              <w:spacing w:line="259" w:lineRule="auto"/>
              <w:rPr>
                <w:rFonts w:eastAsiaTheme="minorEastAsia"/>
                <w:lang w:val="en-US"/>
              </w:rPr>
            </w:pPr>
            <w:r w:rsidRPr="00E77105">
              <w:rPr>
                <w:rFonts w:eastAsiaTheme="minorEastAsia"/>
                <w:lang w:val="en-US"/>
              </w:rPr>
              <w:t>368.1</w:t>
            </w:r>
          </w:p>
        </w:tc>
        <w:tc>
          <w:tcPr>
            <w:tcW w:w="3117" w:type="dxa"/>
          </w:tcPr>
          <w:p w14:paraId="22365B8D" w14:textId="77777777" w:rsidR="00E77105" w:rsidRPr="00E77105" w:rsidRDefault="00E77105" w:rsidP="00E77105">
            <w:pPr>
              <w:spacing w:line="259" w:lineRule="auto"/>
              <w:rPr>
                <w:rFonts w:eastAsiaTheme="minorEastAsia"/>
                <w:lang w:val="en-US"/>
              </w:rPr>
            </w:pPr>
            <w:r w:rsidRPr="00E77105">
              <w:rPr>
                <w:rFonts w:eastAsiaTheme="minorEastAsia"/>
                <w:lang w:val="en-US"/>
              </w:rPr>
              <w:t>Chemical Engineering Magazine “Updating the CE Plant Cost Index” (</w:t>
            </w:r>
            <w:hyperlink r:id="rId18" w:history="1">
              <w:r w:rsidRPr="00E77105">
                <w:rPr>
                  <w:rStyle w:val="Hyperlink"/>
                  <w:rFonts w:eastAsiaTheme="minorEastAsia"/>
                  <w:lang w:val="en-US"/>
                </w:rPr>
                <w:t>link</w:t>
              </w:r>
            </w:hyperlink>
            <w:r w:rsidRPr="00E77105">
              <w:rPr>
                <w:rFonts w:eastAsiaTheme="minorEastAsia"/>
                <w:lang w:val="en-US"/>
              </w:rPr>
              <w:t>)</w:t>
            </w:r>
          </w:p>
        </w:tc>
      </w:tr>
    </w:tbl>
    <w:p w14:paraId="26D76130" w14:textId="77777777" w:rsidR="00E77105" w:rsidRDefault="00E77105" w:rsidP="001757A1">
      <w:pPr>
        <w:rPr>
          <w:rFonts w:eastAsiaTheme="minorEastAsia"/>
        </w:rPr>
      </w:pPr>
    </w:p>
    <w:p w14:paraId="7AFD557D" w14:textId="220F277F" w:rsidR="005F3AB7" w:rsidRDefault="005F3AB7" w:rsidP="005F3AB7">
      <w:pPr>
        <w:pStyle w:val="Heading4"/>
        <w:rPr>
          <w:rFonts w:eastAsiaTheme="minorEastAsia"/>
        </w:rPr>
      </w:pPr>
      <w:r>
        <w:rPr>
          <w:rFonts w:eastAsiaTheme="minorEastAsia"/>
        </w:rPr>
        <w:t>Annualization</w:t>
      </w:r>
    </w:p>
    <w:p w14:paraId="699C1C40" w14:textId="0BE7E171" w:rsidR="00781085" w:rsidRPr="00781085" w:rsidRDefault="00781085" w:rsidP="00781085">
      <w:pPr>
        <w:rPr>
          <w:rFonts w:eastAsiaTheme="minorEastAsia"/>
        </w:rPr>
      </w:pPr>
      <m:oMathPara>
        <m:oMath>
          <m:r>
            <w:rPr>
              <w:rFonts w:ascii="Cambria Math" w:hAnsi="Cambria Math"/>
            </w:rPr>
            <m:t>AF=</m:t>
          </m:r>
          <m:f>
            <m:fPr>
              <m:ctrlPr>
                <w:rPr>
                  <w:rFonts w:ascii="Cambria Math" w:hAnsi="Cambria Math"/>
                  <w:i/>
                </w:rPr>
              </m:ctrlPr>
            </m:fPr>
            <m:num>
              <m:sSup>
                <m:sSupPr>
                  <m:ctrlPr>
                    <w:rPr>
                      <w:rFonts w:ascii="Cambria Math" w:hAnsi="Cambria Math"/>
                      <w:i/>
                    </w:rPr>
                  </m:ctrlPr>
                </m:sSupPr>
                <m:e>
                  <m:r>
                    <w:rPr>
                      <w:rFonts w:ascii="Cambria Math" w:hAnsi="Cambria Math"/>
                    </w:rPr>
                    <m:t>i(1+i)</m:t>
                  </m:r>
                </m:e>
                <m:sup>
                  <m:r>
                    <w:rPr>
                      <w:rFonts w:ascii="Cambria Math" w:hAnsi="Cambria Math"/>
                    </w:rPr>
                    <m:t>n</m:t>
                  </m:r>
                </m:sup>
              </m:sSup>
            </m:num>
            <m:den>
              <m:sSup>
                <m:sSupPr>
                  <m:ctrlPr>
                    <w:rPr>
                      <w:rFonts w:ascii="Cambria Math" w:hAnsi="Cambria Math"/>
                      <w:i/>
                    </w:rPr>
                  </m:ctrlPr>
                </m:sSupPr>
                <m:e>
                  <m:r>
                    <w:rPr>
                      <w:rFonts w:ascii="Cambria Math" w:hAnsi="Cambria Math"/>
                    </w:rPr>
                    <m:t>(1+i)</m:t>
                  </m:r>
                </m:e>
                <m:sup>
                  <m:r>
                    <w:rPr>
                      <w:rFonts w:ascii="Cambria Math" w:hAnsi="Cambria Math"/>
                    </w:rPr>
                    <m:t>n</m:t>
                  </m:r>
                </m:sup>
              </m:sSup>
              <m:r>
                <w:rPr>
                  <w:rFonts w:ascii="Cambria Math" w:hAnsi="Cambria Math"/>
                </w:rPr>
                <m:t>-1</m:t>
              </m:r>
            </m:den>
          </m:f>
        </m:oMath>
      </m:oMathPara>
    </w:p>
    <w:p w14:paraId="7A0DA29D" w14:textId="526205AE" w:rsidR="00781085" w:rsidRPr="00781085" w:rsidRDefault="00781085" w:rsidP="00781085">
      <w:r>
        <w:rPr>
          <w:rFonts w:eastAsiaTheme="minorEastAsia"/>
        </w:rPr>
        <w:t xml:space="preserve">Assume an interest rate of </w:t>
      </w:r>
      <w:r w:rsidR="001C02A3">
        <w:rPr>
          <w:rFonts w:eastAsiaTheme="minorEastAsia"/>
        </w:rPr>
        <w:t>7.95</w:t>
      </w:r>
      <w:r>
        <w:rPr>
          <w:rFonts w:eastAsiaTheme="minorEastAsia"/>
        </w:rPr>
        <w:t xml:space="preserve">% and a lifetime of </w:t>
      </w:r>
      <w:r w:rsidR="001C02A3">
        <w:rPr>
          <w:rFonts w:eastAsiaTheme="minorEastAsia"/>
        </w:rPr>
        <w:t>2</w:t>
      </w:r>
      <w:r w:rsidR="005F6D71">
        <w:rPr>
          <w:rFonts w:eastAsiaTheme="minorEastAsia"/>
        </w:rPr>
        <w:t>0</w:t>
      </w:r>
      <w:r>
        <w:rPr>
          <w:rFonts w:eastAsiaTheme="minorEastAsia"/>
        </w:rPr>
        <w:t xml:space="preserve"> years</w:t>
      </w:r>
      <w:r w:rsidR="001C02A3">
        <w:rPr>
          <w:rFonts w:eastAsiaTheme="minorEastAsia"/>
        </w:rPr>
        <w:t xml:space="preserve"> to be consistent with the work of Toffolo </w:t>
      </w:r>
      <w:sdt>
        <w:sdtPr>
          <w:rPr>
            <w:rFonts w:eastAsiaTheme="minorEastAsia"/>
          </w:rPr>
          <w:id w:val="-60328825"/>
          <w:citation/>
        </w:sdtPr>
        <w:sdtEndPr/>
        <w:sdtContent>
          <w:r w:rsidR="00714D11">
            <w:rPr>
              <w:rFonts w:eastAsiaTheme="minorEastAsia"/>
            </w:rPr>
            <w:fldChar w:fldCharType="begin"/>
          </w:r>
          <w:r w:rsidR="00714D11">
            <w:rPr>
              <w:rFonts w:eastAsiaTheme="minorEastAsia"/>
              <w:lang w:val="en-US"/>
            </w:rPr>
            <w:instrText xml:space="preserve"> CITATION Tof21 \l 1033 </w:instrText>
          </w:r>
          <w:r w:rsidR="00714D11">
            <w:rPr>
              <w:rFonts w:eastAsiaTheme="minorEastAsia"/>
            </w:rPr>
            <w:fldChar w:fldCharType="separate"/>
          </w:r>
          <w:r w:rsidR="00A82481" w:rsidRPr="00A82481">
            <w:rPr>
              <w:rFonts w:eastAsiaTheme="minorEastAsia"/>
              <w:noProof/>
              <w:lang w:val="en-US"/>
            </w:rPr>
            <w:t>[6]</w:t>
          </w:r>
          <w:r w:rsidR="00714D11">
            <w:rPr>
              <w:rFonts w:eastAsiaTheme="minorEastAsia"/>
            </w:rPr>
            <w:fldChar w:fldCharType="end"/>
          </w:r>
        </w:sdtContent>
      </w:sdt>
      <w:r>
        <w:rPr>
          <w:rFonts w:eastAsiaTheme="minorEastAsia"/>
        </w:rPr>
        <w:t>AF</w:t>
      </w:r>
      <w:r w:rsidR="00424198">
        <w:rPr>
          <w:rFonts w:eastAsiaTheme="minorEastAsia"/>
        </w:rPr>
        <w:t xml:space="preserve"> =</w:t>
      </w:r>
      <w:r>
        <w:rPr>
          <w:rFonts w:eastAsiaTheme="minorEastAsia"/>
        </w:rPr>
        <w:t xml:space="preserve"> </w:t>
      </w:r>
      <w:r w:rsidR="00B5000B">
        <w:rPr>
          <w:rFonts w:eastAsiaTheme="minorEastAsia"/>
        </w:rPr>
        <w:t>0.1015</w:t>
      </w:r>
    </w:p>
    <w:p w14:paraId="712B9497" w14:textId="01023771" w:rsidR="005F3AB7" w:rsidRDefault="005F3AB7" w:rsidP="001757A1">
      <w:pPr>
        <w:rPr>
          <w:rFonts w:eastAsiaTheme="minorEastAsia"/>
        </w:rPr>
      </w:pPr>
      <w:r>
        <w:rPr>
          <w:rFonts w:eastAsiaTheme="minorEastAsia"/>
        </w:rPr>
        <w:t>Total capital cost:</w:t>
      </w:r>
      <w:r w:rsidR="0078108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cap</m:t>
            </m:r>
          </m:sub>
        </m:sSub>
        <m:r>
          <w:rPr>
            <w:rFonts w:ascii="Cambria Math" w:eastAsiaTheme="minorEastAsia" w:hAnsi="Cambria Math"/>
          </w:rPr>
          <m:t>=</m:t>
        </m:r>
      </m:oMath>
    </w:p>
    <w:p w14:paraId="303A7FD3" w14:textId="77777777" w:rsidR="0038253A" w:rsidRDefault="0038253A" w:rsidP="001757A1">
      <w:pPr>
        <w:rPr>
          <w:rFonts w:eastAsiaTheme="minorEastAsia"/>
        </w:rPr>
      </w:pPr>
      <w:r>
        <w:rPr>
          <w:rFonts w:eastAsiaTheme="minorEastAsia"/>
        </w:rPr>
        <w:t xml:space="preserve">Annual operating cost: </w:t>
      </w:r>
    </w:p>
    <w:p w14:paraId="27A2169C" w14:textId="038060C3" w:rsidR="0038253A" w:rsidRDefault="0038253A" w:rsidP="0038253A">
      <w:pPr>
        <w:pStyle w:val="ListParagraph"/>
        <w:numPr>
          <w:ilvl w:val="0"/>
          <w:numId w:val="1"/>
        </w:numPr>
        <w:rPr>
          <w:rFonts w:eastAsiaTheme="minorEastAsia"/>
        </w:rPr>
      </w:pPr>
      <w:r w:rsidRPr="0038253A">
        <w:rPr>
          <w:rFonts w:eastAsiaTheme="minorEastAsia"/>
        </w:rPr>
        <w:t>assume there is one reduction (or oxidation) reactor operating continuously for the whole operational year</w:t>
      </w:r>
    </w:p>
    <w:p w14:paraId="33D8E0C3" w14:textId="1E5F9A49" w:rsidR="0038253A" w:rsidRDefault="0038253A" w:rsidP="0038253A">
      <w:pPr>
        <w:pStyle w:val="ListParagraph"/>
        <w:numPr>
          <w:ilvl w:val="0"/>
          <w:numId w:val="1"/>
        </w:numPr>
        <w:rPr>
          <w:rFonts w:eastAsiaTheme="minorEastAsia"/>
        </w:rPr>
      </w:pPr>
      <w:r>
        <w:rPr>
          <w:rFonts w:eastAsiaTheme="minorEastAsia"/>
        </w:rPr>
        <w:t>assume set period for the oxidation or reduction stage to factor how many cycles we could get in the operational year (starting with this approach)</w:t>
      </w:r>
    </w:p>
    <w:p w14:paraId="43D14BAF" w14:textId="3D1E7B37" w:rsidR="00670171" w:rsidRDefault="00670171" w:rsidP="0038253A">
      <w:pPr>
        <w:pStyle w:val="ListParagraph"/>
        <w:numPr>
          <w:ilvl w:val="0"/>
          <w:numId w:val="1"/>
        </w:numPr>
        <w:rPr>
          <w:rFonts w:eastAsiaTheme="minorEastAsia"/>
        </w:rPr>
      </w:pPr>
      <w:r>
        <w:rPr>
          <w:rFonts w:eastAsiaTheme="minorEastAsia"/>
        </w:rPr>
        <w:t xml:space="preserve">only considering one capital cost (single reactor) </w:t>
      </w:r>
    </w:p>
    <w:p w14:paraId="7C52F4DC" w14:textId="77777777" w:rsidR="003C13BF" w:rsidRDefault="003C13BF" w:rsidP="003C13BF">
      <w:pPr>
        <w:rPr>
          <w:rFonts w:eastAsiaTheme="minorEastAsia"/>
        </w:rPr>
      </w:pPr>
    </w:p>
    <w:sdt>
      <w:sdtPr>
        <w:rPr>
          <w:rFonts w:asciiTheme="minorHAnsi" w:eastAsiaTheme="minorEastAsia" w:hAnsiTheme="minorHAnsi" w:cstheme="minorBidi"/>
          <w:color w:val="auto"/>
          <w:sz w:val="22"/>
          <w:szCs w:val="22"/>
        </w:rPr>
        <w:id w:val="370341265"/>
        <w:docPartObj>
          <w:docPartGallery w:val="Bibliographies"/>
          <w:docPartUnique/>
        </w:docPartObj>
      </w:sdtPr>
      <w:sdtEndPr/>
      <w:sdtContent>
        <w:p w14:paraId="05096190" w14:textId="12A2CFC3" w:rsidR="003C13BF" w:rsidRDefault="003C13BF">
          <w:pPr>
            <w:pStyle w:val="Heading1"/>
          </w:pPr>
          <w:r>
            <w:t>References</w:t>
          </w:r>
        </w:p>
        <w:sdt>
          <w:sdtPr>
            <w:id w:val="-573587230"/>
            <w:bibliography/>
          </w:sdtPr>
          <w:sdtEndPr/>
          <w:sdtContent>
            <w:p w14:paraId="66C1E745" w14:textId="77777777" w:rsidR="00A82481" w:rsidRDefault="003C13B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A82481" w14:paraId="3A0F378D" w14:textId="77777777">
                <w:trPr>
                  <w:divId w:val="197088365"/>
                  <w:tblCellSpacing w:w="15" w:type="dxa"/>
                </w:trPr>
                <w:tc>
                  <w:tcPr>
                    <w:tcW w:w="50" w:type="pct"/>
                    <w:hideMark/>
                  </w:tcPr>
                  <w:p w14:paraId="076BBDE0" w14:textId="737B92F6" w:rsidR="00A82481" w:rsidRDefault="00A82481">
                    <w:pPr>
                      <w:pStyle w:val="Bibliography"/>
                      <w:rPr>
                        <w:noProof/>
                        <w:lang w:val="en-CA"/>
                      </w:rPr>
                    </w:pPr>
                    <w:r>
                      <w:rPr>
                        <w:noProof/>
                        <w:lang w:val="en-CA"/>
                      </w:rPr>
                      <w:t xml:space="preserve">[1] </w:t>
                    </w:r>
                  </w:p>
                </w:tc>
                <w:tc>
                  <w:tcPr>
                    <w:tcW w:w="0" w:type="auto"/>
                    <w:hideMark/>
                  </w:tcPr>
                  <w:p w14:paraId="4B5FECE0" w14:textId="77777777" w:rsidR="00A82481" w:rsidRDefault="00A82481">
                    <w:pPr>
                      <w:pStyle w:val="Bibliography"/>
                      <w:rPr>
                        <w:noProof/>
                        <w:lang w:val="en-CA"/>
                      </w:rPr>
                    </w:pPr>
                    <w:r>
                      <w:rPr>
                        <w:noProof/>
                        <w:lang w:val="en-CA"/>
                      </w:rPr>
                      <w:t xml:space="preserve">F. Trippe, M. Fröhling, F. Schultmann, R. Stahl and E. Henrich, "Techno-economic assessment of gasification as a process step within biomass-to-liquid (BtL) fuel and chemicals production," </w:t>
                    </w:r>
                    <w:r>
                      <w:rPr>
                        <w:i/>
                        <w:iCs/>
                        <w:noProof/>
                        <w:lang w:val="en-CA"/>
                      </w:rPr>
                      <w:t xml:space="preserve">Fuel Processing Technology, </w:t>
                    </w:r>
                    <w:r>
                      <w:rPr>
                        <w:noProof/>
                        <w:lang w:val="en-CA"/>
                      </w:rPr>
                      <w:t xml:space="preserve">vol. 92, no. 11, pp. 2169-2184, 2011. </w:t>
                    </w:r>
                  </w:p>
                </w:tc>
              </w:tr>
              <w:tr w:rsidR="00A82481" w14:paraId="046D43F5" w14:textId="77777777">
                <w:trPr>
                  <w:divId w:val="197088365"/>
                  <w:tblCellSpacing w:w="15" w:type="dxa"/>
                </w:trPr>
                <w:tc>
                  <w:tcPr>
                    <w:tcW w:w="50" w:type="pct"/>
                    <w:hideMark/>
                  </w:tcPr>
                  <w:p w14:paraId="74D2DE75" w14:textId="77777777" w:rsidR="00A82481" w:rsidRDefault="00A82481">
                    <w:pPr>
                      <w:pStyle w:val="Bibliography"/>
                      <w:rPr>
                        <w:noProof/>
                        <w:lang w:val="en-CA"/>
                      </w:rPr>
                    </w:pPr>
                    <w:r>
                      <w:rPr>
                        <w:noProof/>
                        <w:lang w:val="en-CA"/>
                      </w:rPr>
                      <w:t xml:space="preserve">[2] </w:t>
                    </w:r>
                  </w:p>
                </w:tc>
                <w:tc>
                  <w:tcPr>
                    <w:tcW w:w="0" w:type="auto"/>
                    <w:hideMark/>
                  </w:tcPr>
                  <w:p w14:paraId="58AD1E39" w14:textId="77777777" w:rsidR="00A82481" w:rsidRDefault="00A82481">
                    <w:pPr>
                      <w:pStyle w:val="Bibliography"/>
                      <w:rPr>
                        <w:noProof/>
                        <w:lang w:val="en-CA"/>
                      </w:rPr>
                    </w:pPr>
                    <w:r>
                      <w:rPr>
                        <w:noProof/>
                        <w:lang w:val="en-CA"/>
                      </w:rPr>
                      <w:t>Ontario Energy Board (OEB), "Electricity rates," [Online]. Available: https://www.oeb.ca/consumer-information-and-protection/electricity-rates. [Accessed 24 March 2026].</w:t>
                    </w:r>
                  </w:p>
                </w:tc>
              </w:tr>
              <w:tr w:rsidR="00A82481" w14:paraId="2DB57E91" w14:textId="77777777">
                <w:trPr>
                  <w:divId w:val="197088365"/>
                  <w:tblCellSpacing w:w="15" w:type="dxa"/>
                </w:trPr>
                <w:tc>
                  <w:tcPr>
                    <w:tcW w:w="50" w:type="pct"/>
                    <w:hideMark/>
                  </w:tcPr>
                  <w:p w14:paraId="6ED4B9E9" w14:textId="77777777" w:rsidR="00A82481" w:rsidRDefault="00A82481">
                    <w:pPr>
                      <w:pStyle w:val="Bibliography"/>
                      <w:rPr>
                        <w:noProof/>
                        <w:lang w:val="en-CA"/>
                      </w:rPr>
                    </w:pPr>
                    <w:r>
                      <w:rPr>
                        <w:noProof/>
                        <w:lang w:val="en-CA"/>
                      </w:rPr>
                      <w:t xml:space="preserve">[3] </w:t>
                    </w:r>
                  </w:p>
                </w:tc>
                <w:tc>
                  <w:tcPr>
                    <w:tcW w:w="0" w:type="auto"/>
                    <w:hideMark/>
                  </w:tcPr>
                  <w:p w14:paraId="71ED0A6A" w14:textId="77777777" w:rsidR="00A82481" w:rsidRDefault="00A82481">
                    <w:pPr>
                      <w:pStyle w:val="Bibliography"/>
                      <w:rPr>
                        <w:noProof/>
                        <w:lang w:val="en-CA"/>
                      </w:rPr>
                    </w:pPr>
                    <w:r>
                      <w:rPr>
                        <w:noProof/>
                        <w:lang w:val="en-CA"/>
                      </w:rPr>
                      <w:t xml:space="preserve">L. Chen, Y. Zhang, F. Liu and K. Liu, "Development of a cost-effective oxygen carrier from red mud for coal-fueled chemical-looping combustion," </w:t>
                    </w:r>
                    <w:r>
                      <w:rPr>
                        <w:i/>
                        <w:iCs/>
                        <w:noProof/>
                        <w:lang w:val="en-CA"/>
                      </w:rPr>
                      <w:t xml:space="preserve">Energy &amp; Fuels, </w:t>
                    </w:r>
                    <w:r>
                      <w:rPr>
                        <w:noProof/>
                        <w:lang w:val="en-CA"/>
                      </w:rPr>
                      <w:t xml:space="preserve">vol. 29, pp. 305-313, 2015. </w:t>
                    </w:r>
                  </w:p>
                </w:tc>
              </w:tr>
              <w:tr w:rsidR="00A82481" w14:paraId="543DBC6B" w14:textId="77777777">
                <w:trPr>
                  <w:divId w:val="197088365"/>
                  <w:tblCellSpacing w:w="15" w:type="dxa"/>
                </w:trPr>
                <w:tc>
                  <w:tcPr>
                    <w:tcW w:w="50" w:type="pct"/>
                    <w:hideMark/>
                  </w:tcPr>
                  <w:p w14:paraId="26C55678" w14:textId="77777777" w:rsidR="00A82481" w:rsidRDefault="00A82481">
                    <w:pPr>
                      <w:pStyle w:val="Bibliography"/>
                      <w:rPr>
                        <w:noProof/>
                        <w:lang w:val="en-CA"/>
                      </w:rPr>
                    </w:pPr>
                    <w:r>
                      <w:rPr>
                        <w:noProof/>
                        <w:lang w:val="en-CA"/>
                      </w:rPr>
                      <w:t xml:space="preserve">[4] </w:t>
                    </w:r>
                  </w:p>
                </w:tc>
                <w:tc>
                  <w:tcPr>
                    <w:tcW w:w="0" w:type="auto"/>
                    <w:hideMark/>
                  </w:tcPr>
                  <w:p w14:paraId="7B93129B" w14:textId="77777777" w:rsidR="00A82481" w:rsidRDefault="00A82481">
                    <w:pPr>
                      <w:pStyle w:val="Bibliography"/>
                      <w:rPr>
                        <w:noProof/>
                        <w:lang w:val="en-CA"/>
                      </w:rPr>
                    </w:pPr>
                    <w:r>
                      <w:rPr>
                        <w:noProof/>
                        <w:lang w:val="en-CA"/>
                      </w:rPr>
                      <w:t>D. Bernal, "Optimal design and control of a catalytic distillation column. Case study: Ethyl tert-butyl ether (ETBE) synthesis column (M.Sc. Thesis)," Universidad de los Andes, Bogota, 2016.</w:t>
                    </w:r>
                  </w:p>
                </w:tc>
              </w:tr>
              <w:tr w:rsidR="00A82481" w14:paraId="62F5FE26" w14:textId="77777777">
                <w:trPr>
                  <w:divId w:val="197088365"/>
                  <w:tblCellSpacing w:w="15" w:type="dxa"/>
                </w:trPr>
                <w:tc>
                  <w:tcPr>
                    <w:tcW w:w="50" w:type="pct"/>
                    <w:hideMark/>
                  </w:tcPr>
                  <w:p w14:paraId="5F72354D" w14:textId="77777777" w:rsidR="00A82481" w:rsidRDefault="00A82481">
                    <w:pPr>
                      <w:pStyle w:val="Bibliography"/>
                      <w:rPr>
                        <w:noProof/>
                        <w:lang w:val="en-CA"/>
                      </w:rPr>
                    </w:pPr>
                    <w:r>
                      <w:rPr>
                        <w:noProof/>
                        <w:lang w:val="en-CA"/>
                      </w:rPr>
                      <w:t xml:space="preserve">[5] </w:t>
                    </w:r>
                  </w:p>
                </w:tc>
                <w:tc>
                  <w:tcPr>
                    <w:tcW w:w="0" w:type="auto"/>
                    <w:hideMark/>
                  </w:tcPr>
                  <w:p w14:paraId="3B73C269" w14:textId="77777777" w:rsidR="00A82481" w:rsidRDefault="00A82481">
                    <w:pPr>
                      <w:pStyle w:val="Bibliography"/>
                      <w:rPr>
                        <w:noProof/>
                        <w:lang w:val="en-CA"/>
                      </w:rPr>
                    </w:pPr>
                    <w:r>
                      <w:rPr>
                        <w:noProof/>
                        <w:lang w:val="en-CA"/>
                      </w:rPr>
                      <w:t xml:space="preserve">J. Douglas, Conceptual Design of Chemical Processes (Appendix E), New York: McGraw Hill, 1988. </w:t>
                    </w:r>
                  </w:p>
                </w:tc>
              </w:tr>
              <w:tr w:rsidR="00A82481" w14:paraId="6D39DB43" w14:textId="77777777">
                <w:trPr>
                  <w:divId w:val="197088365"/>
                  <w:tblCellSpacing w:w="15" w:type="dxa"/>
                </w:trPr>
                <w:tc>
                  <w:tcPr>
                    <w:tcW w:w="50" w:type="pct"/>
                    <w:hideMark/>
                  </w:tcPr>
                  <w:p w14:paraId="1223E700" w14:textId="77777777" w:rsidR="00A82481" w:rsidRDefault="00A82481">
                    <w:pPr>
                      <w:pStyle w:val="Bibliography"/>
                      <w:rPr>
                        <w:noProof/>
                        <w:lang w:val="en-CA"/>
                      </w:rPr>
                    </w:pPr>
                    <w:r>
                      <w:rPr>
                        <w:noProof/>
                        <w:lang w:val="en-CA"/>
                      </w:rPr>
                      <w:lastRenderedPageBreak/>
                      <w:t xml:space="preserve">[6] </w:t>
                    </w:r>
                  </w:p>
                </w:tc>
                <w:tc>
                  <w:tcPr>
                    <w:tcW w:w="0" w:type="auto"/>
                    <w:hideMark/>
                  </w:tcPr>
                  <w:p w14:paraId="0661B3C2" w14:textId="77777777" w:rsidR="00A82481" w:rsidRDefault="00A82481">
                    <w:pPr>
                      <w:pStyle w:val="Bibliography"/>
                      <w:rPr>
                        <w:noProof/>
                        <w:lang w:val="en-CA"/>
                      </w:rPr>
                    </w:pPr>
                    <w:r>
                      <w:rPr>
                        <w:noProof/>
                        <w:lang w:val="en-CA"/>
                      </w:rPr>
                      <w:t xml:space="preserve">K. Toffolo and L. Ricardez-Sandoval, "Optimal Design and Control of a Multiscale Model for a Packed Bed Chemical-Looping Combustion Reactor," </w:t>
                    </w:r>
                    <w:r>
                      <w:rPr>
                        <w:i/>
                        <w:iCs/>
                        <w:noProof/>
                        <w:lang w:val="en-CA"/>
                      </w:rPr>
                      <w:t xml:space="preserve">IFAC PapersOnLine, </w:t>
                    </w:r>
                    <w:r>
                      <w:rPr>
                        <w:noProof/>
                        <w:lang w:val="en-CA"/>
                      </w:rPr>
                      <w:t xml:space="preserve">vol. 54, no. 3, pp. 615-620, 2021. </w:t>
                    </w:r>
                  </w:p>
                </w:tc>
              </w:tr>
            </w:tbl>
            <w:p w14:paraId="5F9D859C" w14:textId="77777777" w:rsidR="00A82481" w:rsidRDefault="00A82481">
              <w:pPr>
                <w:divId w:val="197088365"/>
                <w:rPr>
                  <w:rFonts w:eastAsia="Times New Roman"/>
                  <w:noProof/>
                </w:rPr>
              </w:pPr>
            </w:p>
            <w:p w14:paraId="53F0883C" w14:textId="22AE453C" w:rsidR="003C13BF" w:rsidRDefault="003C13BF">
              <w:r>
                <w:rPr>
                  <w:b/>
                  <w:bCs/>
                  <w:noProof/>
                </w:rPr>
                <w:fldChar w:fldCharType="end"/>
              </w:r>
            </w:p>
          </w:sdtContent>
        </w:sdt>
      </w:sdtContent>
    </w:sdt>
    <w:p w14:paraId="297E0C2A" w14:textId="77777777" w:rsidR="003C13BF" w:rsidRPr="003C13BF" w:rsidRDefault="003C13BF" w:rsidP="003C13BF">
      <w:pPr>
        <w:rPr>
          <w:rFonts w:eastAsiaTheme="minorEastAsia"/>
        </w:rPr>
      </w:pPr>
    </w:p>
    <w:p w14:paraId="4AF2A54B" w14:textId="5D6E53F6" w:rsidR="00826E17" w:rsidRDefault="00826E17" w:rsidP="00963CDC">
      <w:pPr>
        <w:spacing w:line="240" w:lineRule="auto"/>
        <w:ind w:left="720" w:hanging="720"/>
      </w:pPr>
      <w:hyperlink r:id="rId19" w:history="1">
        <w:r w:rsidRPr="00992775">
          <w:rPr>
            <w:rStyle w:val="Hyperlink"/>
          </w:rPr>
          <w:t>https://biogasassociation.ca/images/uploads/documents/2021/value_of_biogas/presentations_apr/day2c_Youre-the-One-That-I-Want-MaryamAkbari.pdf</w:t>
        </w:r>
      </w:hyperlink>
      <w:r>
        <w:t xml:space="preserve"> </w:t>
      </w:r>
    </w:p>
    <w:p w14:paraId="7F9768E4" w14:textId="0471A2F3" w:rsidR="00826E17" w:rsidRPr="00963CDC" w:rsidRDefault="00826E17" w:rsidP="00963CDC">
      <w:pPr>
        <w:spacing w:line="240" w:lineRule="auto"/>
        <w:ind w:left="720" w:hanging="720"/>
      </w:pPr>
      <w:r>
        <w:tab/>
      </w:r>
    </w:p>
    <w:p w14:paraId="170EAD39" w14:textId="336C9F22" w:rsidR="001C02A3" w:rsidRPr="005F3AB7" w:rsidRDefault="001C02A3" w:rsidP="005F3AB7">
      <w:pPr>
        <w:spacing w:line="240" w:lineRule="auto"/>
        <w:ind w:left="720" w:hanging="720"/>
        <w:rPr>
          <w:lang w:val="en-US"/>
        </w:rPr>
      </w:pPr>
    </w:p>
    <w:p w14:paraId="689532C7" w14:textId="2BCFA9BF" w:rsidR="005F3AB7" w:rsidRPr="00507039" w:rsidRDefault="005F3AB7" w:rsidP="00507039">
      <w:pPr>
        <w:spacing w:line="240" w:lineRule="auto"/>
        <w:ind w:left="720" w:hanging="720"/>
        <w:rPr>
          <w:i/>
          <w:iCs/>
          <w:lang w:val="en-US"/>
        </w:rPr>
      </w:pPr>
    </w:p>
    <w:p w14:paraId="5DF30FD4" w14:textId="6A5DF7C0" w:rsidR="00507039" w:rsidRPr="000F33F6" w:rsidRDefault="00507039" w:rsidP="000F33F6">
      <w:pPr>
        <w:ind w:left="720" w:hanging="720"/>
      </w:pPr>
    </w:p>
    <w:sectPr w:rsidR="00507039" w:rsidRPr="000F33F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a Ronson" w:date="2025-10-27T08:59:00Z" w:initials="DR">
    <w:p w14:paraId="0A6176DE" w14:textId="77777777" w:rsidR="00B10E25" w:rsidRDefault="00B10E25" w:rsidP="00B10E25">
      <w:pPr>
        <w:pStyle w:val="CommentText"/>
      </w:pPr>
      <w:r>
        <w:rPr>
          <w:rStyle w:val="CommentReference"/>
        </w:rPr>
        <w:annotationRef/>
      </w:r>
      <w:r>
        <w:t>High-ish uncertainty, do a sensitivity analysis on this</w:t>
      </w:r>
    </w:p>
  </w:comment>
  <w:comment w:id="1" w:author="Dana Ronson" w:date="2026-03-18T14:50:00Z" w:initials="DR">
    <w:p w14:paraId="10A5DEE5" w14:textId="77777777" w:rsidR="009031F0" w:rsidRDefault="009031F0" w:rsidP="006C38D5">
      <w:pPr>
        <w:pStyle w:val="CommentText"/>
      </w:pPr>
      <w:r>
        <w:rPr>
          <w:rStyle w:val="CommentReference"/>
        </w:rPr>
        <w:annotationRef/>
      </w:r>
      <w:hyperlink r:id="rId1" w:history="1">
        <w:r w:rsidRPr="001740BE">
          <w:rPr>
            <w:rStyle w:val="Hyperlink"/>
          </w:rPr>
          <w:t>https://www-sciencedirect-com.proxy.lib.uwaterloo.ca/science/article/pii/S1750583614001224</w:t>
        </w:r>
      </w:hyperlink>
    </w:p>
  </w:comment>
  <w:comment w:id="2" w:author="Dana Ronson" w:date="2026-03-18T15:51:00Z" w:initials="DR">
    <w:p w14:paraId="4664A173" w14:textId="77777777" w:rsidR="009031F0" w:rsidRDefault="009031F0" w:rsidP="006C38D5">
      <w:pPr>
        <w:pStyle w:val="CommentText"/>
      </w:pPr>
      <w:r>
        <w:rPr>
          <w:rStyle w:val="CommentReference"/>
        </w:rPr>
        <w:annotationRef/>
      </w:r>
      <w:hyperlink r:id="rId2" w:anchor="bib0085" w:history="1">
        <w:r w:rsidRPr="00EB4708">
          <w:rPr>
            <w:rStyle w:val="Hyperlink"/>
          </w:rPr>
          <w:t>https://www.sciencedirect.com/science/article/pii/S175058361730107X#bib0085</w:t>
        </w:r>
      </w:hyperlink>
    </w:p>
  </w:comment>
  <w:comment w:id="3" w:author="Dana Ronson" w:date="2025-10-27T14:17:00Z" w:initials="DR">
    <w:p w14:paraId="1BB24096" w14:textId="77777777" w:rsidR="00DE798F" w:rsidRDefault="00DE798F" w:rsidP="00DE798F">
      <w:pPr>
        <w:pStyle w:val="CommentText"/>
      </w:pPr>
      <w:r>
        <w:rPr>
          <w:rStyle w:val="CommentReference"/>
        </w:rPr>
        <w:annotationRef/>
      </w:r>
      <w:r>
        <w:t>Synthetic Fe2O3 around $2000-10000/tn in 2014</w:t>
      </w:r>
    </w:p>
    <w:p w14:paraId="596B5947" w14:textId="77777777" w:rsidR="00DE798F" w:rsidRDefault="00DE798F" w:rsidP="00DE798F">
      <w:pPr>
        <w:pStyle w:val="CommentText"/>
      </w:pPr>
      <w:hyperlink r:id="rId3" w:history="1">
        <w:r w:rsidRPr="009129D5">
          <w:rPr>
            <w:rStyle w:val="Hyperlink"/>
          </w:rPr>
          <w:t>https://www.osti.gov/servlets/purl/1480856</w:t>
        </w:r>
      </w:hyperlink>
    </w:p>
  </w:comment>
  <w:comment w:id="4" w:author="Dana Ronson" w:date="2025-10-27T09:00:00Z" w:initials="DR">
    <w:p w14:paraId="220B0777" w14:textId="492BE5A2" w:rsidR="00B10E25" w:rsidRDefault="00B10E25" w:rsidP="00B10E25">
      <w:pPr>
        <w:pStyle w:val="CommentText"/>
      </w:pPr>
      <w:r>
        <w:rPr>
          <w:rStyle w:val="CommentReference"/>
        </w:rPr>
        <w:annotationRef/>
      </w:r>
      <w:r>
        <w:t>Definitely do a sensitivity analysis on the replacement rate. Seems to be rather sensitive to the reactor conditions</w:t>
      </w:r>
    </w:p>
  </w:comment>
  <w:comment w:id="5" w:author="Dana Ronson" w:date="2025-10-23T16:11:00Z" w:initials="DR">
    <w:p w14:paraId="69D3434E" w14:textId="769A7109" w:rsidR="00F449B2" w:rsidRDefault="00F449B2" w:rsidP="00F449B2">
      <w:pPr>
        <w:pStyle w:val="CommentText"/>
      </w:pPr>
      <w:r>
        <w:rPr>
          <w:rStyle w:val="CommentReference"/>
        </w:rPr>
        <w:annotationRef/>
      </w:r>
      <w:r>
        <w:t>J. Bao, L. Chen, F. Liu, Z. Fan, H. S. Nikolic, K. Liu, Evaluating the</w:t>
      </w:r>
    </w:p>
    <w:p w14:paraId="68CA0450" w14:textId="77777777" w:rsidR="00F449B2" w:rsidRDefault="00F449B2" w:rsidP="00F449B2">
      <w:pPr>
        <w:pStyle w:val="CommentText"/>
      </w:pPr>
      <w:r>
        <w:t>effect of inert supports and alkali sodium on the performance of red mud</w:t>
      </w:r>
    </w:p>
    <w:p w14:paraId="2914705E" w14:textId="77777777" w:rsidR="00F449B2" w:rsidRDefault="00F449B2" w:rsidP="00F449B2">
      <w:pPr>
        <w:pStyle w:val="CommentText"/>
      </w:pPr>
      <w:r>
        <w:t>oxygen carrier in chemical looping combustion, Industrial &amp; Engineering</w:t>
      </w:r>
    </w:p>
    <w:p w14:paraId="2E5571F0" w14:textId="77777777" w:rsidR="00F449B2" w:rsidRDefault="00F449B2" w:rsidP="00F449B2">
      <w:pPr>
        <w:pStyle w:val="CommentText"/>
      </w:pPr>
      <w:r>
        <w:t>Chemistry Research 55 (2016) 8046–8057.</w:t>
      </w:r>
    </w:p>
  </w:comment>
  <w:comment w:id="6" w:author="Dana Ronson" w:date="2025-10-23T16:38:00Z" w:initials="DR">
    <w:p w14:paraId="6FE90724" w14:textId="77777777" w:rsidR="00DB71F2" w:rsidRDefault="00DB71F2" w:rsidP="00DB71F2">
      <w:pPr>
        <w:pStyle w:val="CommentText"/>
      </w:pPr>
      <w:r>
        <w:rPr>
          <w:rStyle w:val="CommentReference"/>
        </w:rPr>
        <w:annotationRef/>
      </w:r>
      <w:hyperlink r:id="rId4" w:history="1">
        <w:r w:rsidRPr="007A4A23">
          <w:rPr>
            <w:rStyle w:val="Hyperlink"/>
          </w:rPr>
          <w:t>https://www.sciencedirect.com/science/article/pii/S2588913322000151</w:t>
        </w:r>
      </w:hyperlink>
    </w:p>
  </w:comment>
  <w:comment w:id="7" w:author="Dana Ronson" w:date="2026-03-19T14:57:00Z" w:initials="DR">
    <w:p w14:paraId="0D2F5850" w14:textId="77777777" w:rsidR="00D57DC4" w:rsidRDefault="00D57DC4" w:rsidP="00D57DC4">
      <w:pPr>
        <w:pStyle w:val="CommentText"/>
      </w:pPr>
      <w:r>
        <w:rPr>
          <w:rStyle w:val="CommentReference"/>
        </w:rPr>
        <w:annotationRef/>
      </w:r>
      <w:hyperlink r:id="rId5" w:history="1">
        <w:r w:rsidRPr="003F1B3B">
          <w:rPr>
            <w:rStyle w:val="Hyperlink"/>
          </w:rPr>
          <w:t>https://pubs.acs.org/doi/10.1021/acs.energyfuels.2c03495</w:t>
        </w:r>
      </w:hyperlink>
    </w:p>
  </w:comment>
  <w:comment w:id="8" w:author="Dana Ronson" w:date="2026-03-27T14:56:00Z" w:initials="DR">
    <w:p w14:paraId="7FC7AEBC" w14:textId="77777777" w:rsidR="006A3275" w:rsidRDefault="006A3275" w:rsidP="006A3275">
      <w:pPr>
        <w:pStyle w:val="CommentText"/>
      </w:pPr>
      <w:r>
        <w:rPr>
          <w:rStyle w:val="CommentReference"/>
        </w:rPr>
        <w:annotationRef/>
      </w:r>
      <w:r>
        <w:t xml:space="preserve">Particle lifetime estimation comes from this paper: </w:t>
      </w:r>
      <w:hyperlink r:id="rId6" w:anchor="s0010" w:history="1">
        <w:r w:rsidRPr="00986C02">
          <w:rPr>
            <w:rStyle w:val="Hyperlink"/>
          </w:rPr>
          <w:t>https://www.sciencedirect.com/science/article/pii/S0378382016301060#s0010</w:t>
        </w:r>
      </w:hyperlink>
    </w:p>
  </w:comment>
  <w:comment w:id="9" w:author="Dana Ronson" w:date="2026-03-27T14:53:00Z" w:initials="DR">
    <w:p w14:paraId="58F02F9A" w14:textId="77777777" w:rsidR="00FC7ED1" w:rsidRDefault="00FC7ED1" w:rsidP="00FC7ED1">
      <w:pPr>
        <w:pStyle w:val="CommentText"/>
      </w:pPr>
      <w:r>
        <w:rPr>
          <w:rStyle w:val="CommentReference"/>
        </w:rPr>
        <w:annotationRef/>
      </w:r>
      <w:hyperlink r:id="rId7" w:history="1">
        <w:r w:rsidRPr="009E725F">
          <w:rPr>
            <w:rStyle w:val="Hyperlink"/>
          </w:rPr>
          <w:t>https://pubs.acs.org/doi/10.1021/acs.energyfuels.1c02456</w:t>
        </w:r>
      </w:hyperlink>
    </w:p>
  </w:comment>
  <w:comment w:id="10" w:author="Dana Ronson" w:date="2026-04-08T17:03:00Z" w:initials="DR">
    <w:p w14:paraId="61013A4B" w14:textId="77777777" w:rsidR="0023299A" w:rsidRDefault="000B4E02" w:rsidP="0023299A">
      <w:pPr>
        <w:pStyle w:val="CommentText"/>
      </w:pPr>
      <w:r>
        <w:rPr>
          <w:rStyle w:val="CommentReference"/>
        </w:rPr>
        <w:annotationRef/>
      </w:r>
      <w:r w:rsidR="0023299A">
        <w:t>Probably need to revisit this since our temps our likely too high for CS. Stainless steel may be a better option, in which case Fm = 3.67. Other options are Monel (6.34) and Titanium (7.89)</w:t>
      </w:r>
    </w:p>
  </w:comment>
  <w:comment w:id="11" w:author="Dana Ronson" w:date="2026-04-09T11:35:00Z" w:initials="DR">
    <w:p w14:paraId="5E68849B" w14:textId="34386273" w:rsidR="00E85862" w:rsidRDefault="00E85862" w:rsidP="00E85862">
      <w:pPr>
        <w:pStyle w:val="CommentText"/>
      </w:pPr>
      <w:r>
        <w:rPr>
          <w:rStyle w:val="CommentReference"/>
        </w:rPr>
        <w:annotationRef/>
      </w:r>
      <w:r>
        <w:t>Other papers use steel with internal and external refractory</w:t>
      </w:r>
    </w:p>
  </w:comment>
  <w:comment w:id="12" w:author="Dana Ronson" w:date="2026-04-09T11:56:00Z" w:initials="DR">
    <w:p w14:paraId="4DCD2366" w14:textId="77777777" w:rsidR="00B767D5" w:rsidRDefault="00B767D5" w:rsidP="00B767D5">
      <w:pPr>
        <w:pStyle w:val="CommentText"/>
      </w:pPr>
      <w:r>
        <w:rPr>
          <w:rStyle w:val="CommentReference"/>
        </w:rPr>
        <w:annotationRef/>
      </w:r>
      <w:r>
        <w:t>According to this website:https://bssa.org.uk/bssa_articles/maximum-service-temperatures-in-air-for-stainless-steels/</w:t>
      </w:r>
    </w:p>
    <w:p w14:paraId="15C692F1" w14:textId="77777777" w:rsidR="00B767D5" w:rsidRDefault="00B767D5" w:rsidP="00B767D5">
      <w:pPr>
        <w:pStyle w:val="CommentText"/>
      </w:pPr>
      <w:r>
        <w:t>330 SS is good up to 1100C in air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176DE" w15:done="0"/>
  <w15:commentEx w15:paraId="10A5DEE5" w15:done="0"/>
  <w15:commentEx w15:paraId="4664A173" w15:done="0"/>
  <w15:commentEx w15:paraId="596B5947" w15:done="0"/>
  <w15:commentEx w15:paraId="220B0777" w15:done="0"/>
  <w15:commentEx w15:paraId="2E5571F0" w15:done="0"/>
  <w15:commentEx w15:paraId="6FE90724" w15:done="0"/>
  <w15:commentEx w15:paraId="0D2F5850" w15:done="0"/>
  <w15:commentEx w15:paraId="7FC7AEBC" w15:done="0"/>
  <w15:commentEx w15:paraId="58F02F9A" w15:done="0"/>
  <w15:commentEx w15:paraId="61013A4B" w15:done="0"/>
  <w15:commentEx w15:paraId="5E68849B" w15:paraIdParent="61013A4B" w15:done="0"/>
  <w15:commentEx w15:paraId="15C692F1" w15:paraIdParent="61013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C979A6" w16cex:dateUtc="2025-10-27T12:59:00Z"/>
  <w16cex:commentExtensible w16cex:durableId="5B8849C2" w16cex:dateUtc="2026-03-18T18:50:00Z"/>
  <w16cex:commentExtensible w16cex:durableId="72D5288C" w16cex:dateUtc="2026-03-18T19:51:00Z"/>
  <w16cex:commentExtensible w16cex:durableId="01BB4E60" w16cex:dateUtc="2025-10-27T18:17:00Z"/>
  <w16cex:commentExtensible w16cex:durableId="5F6AA94D" w16cex:dateUtc="2025-10-27T13:00:00Z"/>
  <w16cex:commentExtensible w16cex:durableId="2474F760" w16cex:dateUtc="2025-10-23T20:11:00Z"/>
  <w16cex:commentExtensible w16cex:durableId="66DE4827" w16cex:dateUtc="2025-10-23T20:38:00Z"/>
  <w16cex:commentExtensible w16cex:durableId="4F048A82" w16cex:dateUtc="2026-03-19T18:57:00Z"/>
  <w16cex:commentExtensible w16cex:durableId="39E77EAB" w16cex:dateUtc="2026-03-27T18:56:00Z"/>
  <w16cex:commentExtensible w16cex:durableId="3E44C0C7" w16cex:dateUtc="2026-03-27T18:53:00Z"/>
  <w16cex:commentExtensible w16cex:durableId="534CB383" w16cex:dateUtc="2026-04-08T21:03:00Z"/>
  <w16cex:commentExtensible w16cex:durableId="70CC144C" w16cex:dateUtc="2026-04-09T15:35:00Z"/>
  <w16cex:commentExtensible w16cex:durableId="72D22C91" w16cex:dateUtc="2026-04-09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176DE" w16cid:durableId="37C979A6"/>
  <w16cid:commentId w16cid:paraId="10A5DEE5" w16cid:durableId="5B8849C2"/>
  <w16cid:commentId w16cid:paraId="4664A173" w16cid:durableId="72D5288C"/>
  <w16cid:commentId w16cid:paraId="596B5947" w16cid:durableId="01BB4E60"/>
  <w16cid:commentId w16cid:paraId="220B0777" w16cid:durableId="5F6AA94D"/>
  <w16cid:commentId w16cid:paraId="2E5571F0" w16cid:durableId="2474F760"/>
  <w16cid:commentId w16cid:paraId="6FE90724" w16cid:durableId="66DE4827"/>
  <w16cid:commentId w16cid:paraId="0D2F5850" w16cid:durableId="4F048A82"/>
  <w16cid:commentId w16cid:paraId="7FC7AEBC" w16cid:durableId="39E77EAB"/>
  <w16cid:commentId w16cid:paraId="58F02F9A" w16cid:durableId="3E44C0C7"/>
  <w16cid:commentId w16cid:paraId="61013A4B" w16cid:durableId="534CB383"/>
  <w16cid:commentId w16cid:paraId="5E68849B" w16cid:durableId="70CC144C"/>
  <w16cid:commentId w16cid:paraId="15C692F1" w16cid:durableId="72D22C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E0F5D"/>
    <w:multiLevelType w:val="hybridMultilevel"/>
    <w:tmpl w:val="0C30D4D2"/>
    <w:lvl w:ilvl="0" w:tplc="C8C49C12">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0B57B6"/>
    <w:multiLevelType w:val="hybridMultilevel"/>
    <w:tmpl w:val="828CC794"/>
    <w:lvl w:ilvl="0" w:tplc="C49C098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902429">
    <w:abstractNumId w:val="1"/>
  </w:num>
  <w:num w:numId="2" w16cid:durableId="20775835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Ronson">
    <w15:presenceInfo w15:providerId="AD" w15:userId="S::d4mcbrid@uwaterloo.ca::f3fcfad8-69e5-41b1-a027-2ae323974f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2D"/>
    <w:rsid w:val="00001DE8"/>
    <w:rsid w:val="00025F45"/>
    <w:rsid w:val="00027CF4"/>
    <w:rsid w:val="000366B6"/>
    <w:rsid w:val="00053901"/>
    <w:rsid w:val="00056E6C"/>
    <w:rsid w:val="000774AC"/>
    <w:rsid w:val="000A42D6"/>
    <w:rsid w:val="000B4D6C"/>
    <w:rsid w:val="000B4E02"/>
    <w:rsid w:val="000D4C71"/>
    <w:rsid w:val="000D4C8A"/>
    <w:rsid w:val="000D6101"/>
    <w:rsid w:val="000E1262"/>
    <w:rsid w:val="000E666C"/>
    <w:rsid w:val="000F11BD"/>
    <w:rsid w:val="000F33F6"/>
    <w:rsid w:val="00111787"/>
    <w:rsid w:val="001143B2"/>
    <w:rsid w:val="00122236"/>
    <w:rsid w:val="00132B55"/>
    <w:rsid w:val="00146E3B"/>
    <w:rsid w:val="001542DE"/>
    <w:rsid w:val="001653EB"/>
    <w:rsid w:val="001757A1"/>
    <w:rsid w:val="001A039A"/>
    <w:rsid w:val="001A40B1"/>
    <w:rsid w:val="001B0ED6"/>
    <w:rsid w:val="001C02A3"/>
    <w:rsid w:val="001C406B"/>
    <w:rsid w:val="001C5A51"/>
    <w:rsid w:val="001C63F7"/>
    <w:rsid w:val="001D49DE"/>
    <w:rsid w:val="0023299A"/>
    <w:rsid w:val="00262706"/>
    <w:rsid w:val="002741E3"/>
    <w:rsid w:val="002768AB"/>
    <w:rsid w:val="002875FD"/>
    <w:rsid w:val="002B4895"/>
    <w:rsid w:val="002B6A27"/>
    <w:rsid w:val="002C3CB0"/>
    <w:rsid w:val="002C6B9F"/>
    <w:rsid w:val="002F3A2C"/>
    <w:rsid w:val="0031102A"/>
    <w:rsid w:val="0032641A"/>
    <w:rsid w:val="00331562"/>
    <w:rsid w:val="00367354"/>
    <w:rsid w:val="003773CD"/>
    <w:rsid w:val="00381AEE"/>
    <w:rsid w:val="0038253A"/>
    <w:rsid w:val="00387D30"/>
    <w:rsid w:val="00393EE2"/>
    <w:rsid w:val="003B0DD2"/>
    <w:rsid w:val="003C13BF"/>
    <w:rsid w:val="003F1C5A"/>
    <w:rsid w:val="004018BF"/>
    <w:rsid w:val="00424198"/>
    <w:rsid w:val="00425787"/>
    <w:rsid w:val="00442C51"/>
    <w:rsid w:val="00467E66"/>
    <w:rsid w:val="004B5584"/>
    <w:rsid w:val="004C6E46"/>
    <w:rsid w:val="004D15F4"/>
    <w:rsid w:val="005015FA"/>
    <w:rsid w:val="00507039"/>
    <w:rsid w:val="00510C52"/>
    <w:rsid w:val="005230F7"/>
    <w:rsid w:val="00531635"/>
    <w:rsid w:val="00534710"/>
    <w:rsid w:val="00535BE1"/>
    <w:rsid w:val="005544CB"/>
    <w:rsid w:val="00567A35"/>
    <w:rsid w:val="00571372"/>
    <w:rsid w:val="00575F31"/>
    <w:rsid w:val="00576E00"/>
    <w:rsid w:val="005843FD"/>
    <w:rsid w:val="00590A3F"/>
    <w:rsid w:val="0059210F"/>
    <w:rsid w:val="005A4B63"/>
    <w:rsid w:val="005C582B"/>
    <w:rsid w:val="005D4A30"/>
    <w:rsid w:val="005D6955"/>
    <w:rsid w:val="005F0BAC"/>
    <w:rsid w:val="005F20C1"/>
    <w:rsid w:val="005F3AB7"/>
    <w:rsid w:val="005F6D71"/>
    <w:rsid w:val="00610D5C"/>
    <w:rsid w:val="00610E9E"/>
    <w:rsid w:val="00634DA7"/>
    <w:rsid w:val="00670171"/>
    <w:rsid w:val="006A1FB2"/>
    <w:rsid w:val="006A3275"/>
    <w:rsid w:val="006B441D"/>
    <w:rsid w:val="006C2BF8"/>
    <w:rsid w:val="006C38D5"/>
    <w:rsid w:val="006D04F7"/>
    <w:rsid w:val="00714D11"/>
    <w:rsid w:val="0075582E"/>
    <w:rsid w:val="00757B5A"/>
    <w:rsid w:val="0077550E"/>
    <w:rsid w:val="00781085"/>
    <w:rsid w:val="007A4F71"/>
    <w:rsid w:val="007A57F9"/>
    <w:rsid w:val="007E1976"/>
    <w:rsid w:val="007E6655"/>
    <w:rsid w:val="007F1320"/>
    <w:rsid w:val="007F4B05"/>
    <w:rsid w:val="00807B75"/>
    <w:rsid w:val="00814807"/>
    <w:rsid w:val="00816A41"/>
    <w:rsid w:val="00826E17"/>
    <w:rsid w:val="008322F9"/>
    <w:rsid w:val="008376DE"/>
    <w:rsid w:val="00896F3E"/>
    <w:rsid w:val="008D502D"/>
    <w:rsid w:val="0090021E"/>
    <w:rsid w:val="009031F0"/>
    <w:rsid w:val="00906ACA"/>
    <w:rsid w:val="00923279"/>
    <w:rsid w:val="009313EE"/>
    <w:rsid w:val="00963CDC"/>
    <w:rsid w:val="00977FD5"/>
    <w:rsid w:val="0098064B"/>
    <w:rsid w:val="00987218"/>
    <w:rsid w:val="00991A97"/>
    <w:rsid w:val="009972B5"/>
    <w:rsid w:val="009C7A88"/>
    <w:rsid w:val="009F1718"/>
    <w:rsid w:val="00A01D28"/>
    <w:rsid w:val="00A133B3"/>
    <w:rsid w:val="00A20C34"/>
    <w:rsid w:val="00A23C45"/>
    <w:rsid w:val="00A264D6"/>
    <w:rsid w:val="00A763B5"/>
    <w:rsid w:val="00A82481"/>
    <w:rsid w:val="00AA1D0E"/>
    <w:rsid w:val="00AA2A4C"/>
    <w:rsid w:val="00AB3A26"/>
    <w:rsid w:val="00AD7B8B"/>
    <w:rsid w:val="00AE2411"/>
    <w:rsid w:val="00B10E25"/>
    <w:rsid w:val="00B21C46"/>
    <w:rsid w:val="00B22027"/>
    <w:rsid w:val="00B5000B"/>
    <w:rsid w:val="00B767D5"/>
    <w:rsid w:val="00B87FAC"/>
    <w:rsid w:val="00BA00A2"/>
    <w:rsid w:val="00BA7086"/>
    <w:rsid w:val="00BB345F"/>
    <w:rsid w:val="00BC05C0"/>
    <w:rsid w:val="00BD4906"/>
    <w:rsid w:val="00BE6D6A"/>
    <w:rsid w:val="00C22607"/>
    <w:rsid w:val="00C22812"/>
    <w:rsid w:val="00C312C5"/>
    <w:rsid w:val="00C57E94"/>
    <w:rsid w:val="00C72029"/>
    <w:rsid w:val="00CA214D"/>
    <w:rsid w:val="00CC5642"/>
    <w:rsid w:val="00CD4C9B"/>
    <w:rsid w:val="00CE551C"/>
    <w:rsid w:val="00D03800"/>
    <w:rsid w:val="00D063A3"/>
    <w:rsid w:val="00D15395"/>
    <w:rsid w:val="00D33598"/>
    <w:rsid w:val="00D418A6"/>
    <w:rsid w:val="00D52679"/>
    <w:rsid w:val="00D53EB2"/>
    <w:rsid w:val="00D54D83"/>
    <w:rsid w:val="00D57DC4"/>
    <w:rsid w:val="00D74EEB"/>
    <w:rsid w:val="00D803C5"/>
    <w:rsid w:val="00D87C97"/>
    <w:rsid w:val="00DA06E0"/>
    <w:rsid w:val="00DB1637"/>
    <w:rsid w:val="00DB5932"/>
    <w:rsid w:val="00DB71F2"/>
    <w:rsid w:val="00DC0D5E"/>
    <w:rsid w:val="00DC4AC2"/>
    <w:rsid w:val="00DC4D42"/>
    <w:rsid w:val="00DE0C14"/>
    <w:rsid w:val="00DE798F"/>
    <w:rsid w:val="00E0262D"/>
    <w:rsid w:val="00E267C5"/>
    <w:rsid w:val="00E364CC"/>
    <w:rsid w:val="00E505E9"/>
    <w:rsid w:val="00E62C5C"/>
    <w:rsid w:val="00E77105"/>
    <w:rsid w:val="00E85862"/>
    <w:rsid w:val="00E93AAC"/>
    <w:rsid w:val="00EC547C"/>
    <w:rsid w:val="00F142DD"/>
    <w:rsid w:val="00F172C5"/>
    <w:rsid w:val="00F265DE"/>
    <w:rsid w:val="00F31A5B"/>
    <w:rsid w:val="00F449B2"/>
    <w:rsid w:val="00F61124"/>
    <w:rsid w:val="00F66D35"/>
    <w:rsid w:val="00F74F0E"/>
    <w:rsid w:val="00FA0BF5"/>
    <w:rsid w:val="00FA12E4"/>
    <w:rsid w:val="00FA73EF"/>
    <w:rsid w:val="00FC1612"/>
    <w:rsid w:val="00FC7ED1"/>
    <w:rsid w:val="00FD003C"/>
    <w:rsid w:val="00FE2171"/>
    <w:rsid w:val="00FE648E"/>
    <w:rsid w:val="00FF3374"/>
    <w:rsid w:val="3B17A2E1"/>
    <w:rsid w:val="582EA32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7C9E"/>
  <w15:chartTrackingRefBased/>
  <w15:docId w15:val="{B536E81F-FE9D-497D-ABBE-3CAACBBFA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2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2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2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2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62D"/>
    <w:rPr>
      <w:rFonts w:eastAsiaTheme="majorEastAsia" w:cstheme="majorBidi"/>
      <w:color w:val="272727" w:themeColor="text1" w:themeTint="D8"/>
    </w:rPr>
  </w:style>
  <w:style w:type="paragraph" w:styleId="Title">
    <w:name w:val="Title"/>
    <w:basedOn w:val="Normal"/>
    <w:next w:val="Normal"/>
    <w:link w:val="TitleChar"/>
    <w:uiPriority w:val="10"/>
    <w:qFormat/>
    <w:rsid w:val="00E02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62D"/>
    <w:pPr>
      <w:spacing w:before="160"/>
      <w:jc w:val="center"/>
    </w:pPr>
    <w:rPr>
      <w:i/>
      <w:iCs/>
      <w:color w:val="404040" w:themeColor="text1" w:themeTint="BF"/>
    </w:rPr>
  </w:style>
  <w:style w:type="character" w:customStyle="1" w:styleId="QuoteChar">
    <w:name w:val="Quote Char"/>
    <w:basedOn w:val="DefaultParagraphFont"/>
    <w:link w:val="Quote"/>
    <w:uiPriority w:val="29"/>
    <w:rsid w:val="00E0262D"/>
    <w:rPr>
      <w:i/>
      <w:iCs/>
      <w:color w:val="404040" w:themeColor="text1" w:themeTint="BF"/>
    </w:rPr>
  </w:style>
  <w:style w:type="paragraph" w:styleId="ListParagraph">
    <w:name w:val="List Paragraph"/>
    <w:basedOn w:val="Normal"/>
    <w:uiPriority w:val="34"/>
    <w:qFormat/>
    <w:rsid w:val="00E0262D"/>
    <w:pPr>
      <w:ind w:left="720"/>
      <w:contextualSpacing/>
    </w:pPr>
  </w:style>
  <w:style w:type="character" w:styleId="IntenseEmphasis">
    <w:name w:val="Intense Emphasis"/>
    <w:basedOn w:val="DefaultParagraphFont"/>
    <w:uiPriority w:val="21"/>
    <w:qFormat/>
    <w:rsid w:val="00E0262D"/>
    <w:rPr>
      <w:i/>
      <w:iCs/>
      <w:color w:val="0F4761" w:themeColor="accent1" w:themeShade="BF"/>
    </w:rPr>
  </w:style>
  <w:style w:type="paragraph" w:styleId="IntenseQuote">
    <w:name w:val="Intense Quote"/>
    <w:basedOn w:val="Normal"/>
    <w:next w:val="Normal"/>
    <w:link w:val="IntenseQuoteChar"/>
    <w:uiPriority w:val="30"/>
    <w:qFormat/>
    <w:rsid w:val="00E02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62D"/>
    <w:rPr>
      <w:i/>
      <w:iCs/>
      <w:color w:val="0F4761" w:themeColor="accent1" w:themeShade="BF"/>
    </w:rPr>
  </w:style>
  <w:style w:type="character" w:styleId="IntenseReference">
    <w:name w:val="Intense Reference"/>
    <w:basedOn w:val="DefaultParagraphFont"/>
    <w:uiPriority w:val="32"/>
    <w:qFormat/>
    <w:rsid w:val="00E0262D"/>
    <w:rPr>
      <w:b/>
      <w:bCs/>
      <w:smallCaps/>
      <w:color w:val="0F4761" w:themeColor="accent1" w:themeShade="BF"/>
      <w:spacing w:val="5"/>
    </w:rPr>
  </w:style>
  <w:style w:type="character" w:styleId="PlaceholderText">
    <w:name w:val="Placeholder Text"/>
    <w:basedOn w:val="DefaultParagraphFont"/>
    <w:uiPriority w:val="99"/>
    <w:semiHidden/>
    <w:rsid w:val="000366B6"/>
    <w:rPr>
      <w:color w:val="666666"/>
    </w:rPr>
  </w:style>
  <w:style w:type="character" w:styleId="Hyperlink">
    <w:name w:val="Hyperlink"/>
    <w:basedOn w:val="DefaultParagraphFont"/>
    <w:uiPriority w:val="99"/>
    <w:unhideWhenUsed/>
    <w:rsid w:val="000F33F6"/>
    <w:rPr>
      <w:color w:val="467886" w:themeColor="hyperlink"/>
      <w:u w:val="single"/>
    </w:rPr>
  </w:style>
  <w:style w:type="character" w:styleId="UnresolvedMention">
    <w:name w:val="Unresolved Mention"/>
    <w:basedOn w:val="DefaultParagraphFont"/>
    <w:uiPriority w:val="99"/>
    <w:semiHidden/>
    <w:unhideWhenUsed/>
    <w:rsid w:val="000F33F6"/>
    <w:rPr>
      <w:color w:val="605E5C"/>
      <w:shd w:val="clear" w:color="auto" w:fill="E1DFDD"/>
    </w:rPr>
  </w:style>
  <w:style w:type="character" w:styleId="CommentReference">
    <w:name w:val="annotation reference"/>
    <w:basedOn w:val="DefaultParagraphFont"/>
    <w:uiPriority w:val="99"/>
    <w:semiHidden/>
    <w:unhideWhenUsed/>
    <w:rsid w:val="00BA7086"/>
    <w:rPr>
      <w:sz w:val="16"/>
      <w:szCs w:val="16"/>
    </w:rPr>
  </w:style>
  <w:style w:type="paragraph" w:styleId="CommentText">
    <w:name w:val="annotation text"/>
    <w:basedOn w:val="Normal"/>
    <w:link w:val="CommentTextChar"/>
    <w:uiPriority w:val="99"/>
    <w:unhideWhenUsed/>
    <w:rsid w:val="00BA7086"/>
    <w:pPr>
      <w:spacing w:line="240" w:lineRule="auto"/>
    </w:pPr>
    <w:rPr>
      <w:sz w:val="20"/>
      <w:szCs w:val="20"/>
    </w:rPr>
  </w:style>
  <w:style w:type="character" w:customStyle="1" w:styleId="CommentTextChar">
    <w:name w:val="Comment Text Char"/>
    <w:basedOn w:val="DefaultParagraphFont"/>
    <w:link w:val="CommentText"/>
    <w:uiPriority w:val="99"/>
    <w:rsid w:val="00BA7086"/>
    <w:rPr>
      <w:sz w:val="20"/>
      <w:szCs w:val="20"/>
    </w:rPr>
  </w:style>
  <w:style w:type="paragraph" w:styleId="CommentSubject">
    <w:name w:val="annotation subject"/>
    <w:basedOn w:val="CommentText"/>
    <w:next w:val="CommentText"/>
    <w:link w:val="CommentSubjectChar"/>
    <w:uiPriority w:val="99"/>
    <w:semiHidden/>
    <w:unhideWhenUsed/>
    <w:rsid w:val="00BA7086"/>
    <w:rPr>
      <w:b/>
      <w:bCs/>
    </w:rPr>
  </w:style>
  <w:style w:type="character" w:customStyle="1" w:styleId="CommentSubjectChar">
    <w:name w:val="Comment Subject Char"/>
    <w:basedOn w:val="CommentTextChar"/>
    <w:link w:val="CommentSubject"/>
    <w:uiPriority w:val="99"/>
    <w:semiHidden/>
    <w:rsid w:val="00BA7086"/>
    <w:rPr>
      <w:b/>
      <w:bCs/>
      <w:sz w:val="20"/>
      <w:szCs w:val="20"/>
    </w:rPr>
  </w:style>
  <w:style w:type="paragraph" w:styleId="NormalWeb">
    <w:name w:val="Normal (Web)"/>
    <w:basedOn w:val="Normal"/>
    <w:uiPriority w:val="99"/>
    <w:unhideWhenUsed/>
    <w:rsid w:val="00507039"/>
    <w:rPr>
      <w:rFonts w:ascii="Times New Roman" w:hAnsi="Times New Roman" w:cs="Times New Roman"/>
      <w:sz w:val="24"/>
      <w:szCs w:val="24"/>
    </w:rPr>
  </w:style>
  <w:style w:type="paragraph" w:styleId="Bibliography">
    <w:name w:val="Bibliography"/>
    <w:basedOn w:val="Normal"/>
    <w:next w:val="Normal"/>
    <w:uiPriority w:val="37"/>
    <w:unhideWhenUsed/>
    <w:rsid w:val="001C02A3"/>
    <w:pPr>
      <w:spacing w:after="0" w:line="240" w:lineRule="auto"/>
    </w:pPr>
    <w:rPr>
      <w:rFonts w:ascii="Times New Roman" w:eastAsiaTheme="minorEastAsia" w:hAnsi="Times New Roman" w:cs="Times New Roman"/>
      <w:kern w:val="0"/>
      <w:sz w:val="24"/>
      <w:szCs w:val="24"/>
      <w:lang w:val="en-US"/>
      <w14:ligatures w14:val="none"/>
    </w:rPr>
  </w:style>
  <w:style w:type="character" w:styleId="FollowedHyperlink">
    <w:name w:val="FollowedHyperlink"/>
    <w:basedOn w:val="DefaultParagraphFont"/>
    <w:uiPriority w:val="99"/>
    <w:semiHidden/>
    <w:unhideWhenUsed/>
    <w:rsid w:val="00FF3374"/>
    <w:rPr>
      <w:color w:val="96607D" w:themeColor="followedHyperlink"/>
      <w:u w:val="single"/>
    </w:rPr>
  </w:style>
  <w:style w:type="table" w:styleId="TableGrid">
    <w:name w:val="Table Grid"/>
    <w:basedOn w:val="TableNormal"/>
    <w:uiPriority w:val="39"/>
    <w:rsid w:val="00E7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311">
      <w:bodyDiv w:val="1"/>
      <w:marLeft w:val="0"/>
      <w:marRight w:val="0"/>
      <w:marTop w:val="0"/>
      <w:marBottom w:val="0"/>
      <w:divBdr>
        <w:top w:val="none" w:sz="0" w:space="0" w:color="auto"/>
        <w:left w:val="none" w:sz="0" w:space="0" w:color="auto"/>
        <w:bottom w:val="none" w:sz="0" w:space="0" w:color="auto"/>
        <w:right w:val="none" w:sz="0" w:space="0" w:color="auto"/>
      </w:divBdr>
    </w:div>
    <w:div w:id="55129682">
      <w:bodyDiv w:val="1"/>
      <w:marLeft w:val="0"/>
      <w:marRight w:val="0"/>
      <w:marTop w:val="0"/>
      <w:marBottom w:val="0"/>
      <w:divBdr>
        <w:top w:val="none" w:sz="0" w:space="0" w:color="auto"/>
        <w:left w:val="none" w:sz="0" w:space="0" w:color="auto"/>
        <w:bottom w:val="none" w:sz="0" w:space="0" w:color="auto"/>
        <w:right w:val="none" w:sz="0" w:space="0" w:color="auto"/>
      </w:divBdr>
    </w:div>
    <w:div w:id="125003202">
      <w:bodyDiv w:val="1"/>
      <w:marLeft w:val="0"/>
      <w:marRight w:val="0"/>
      <w:marTop w:val="0"/>
      <w:marBottom w:val="0"/>
      <w:divBdr>
        <w:top w:val="none" w:sz="0" w:space="0" w:color="auto"/>
        <w:left w:val="none" w:sz="0" w:space="0" w:color="auto"/>
        <w:bottom w:val="none" w:sz="0" w:space="0" w:color="auto"/>
        <w:right w:val="none" w:sz="0" w:space="0" w:color="auto"/>
      </w:divBdr>
    </w:div>
    <w:div w:id="197088365">
      <w:bodyDiv w:val="1"/>
      <w:marLeft w:val="0"/>
      <w:marRight w:val="0"/>
      <w:marTop w:val="0"/>
      <w:marBottom w:val="0"/>
      <w:divBdr>
        <w:top w:val="none" w:sz="0" w:space="0" w:color="auto"/>
        <w:left w:val="none" w:sz="0" w:space="0" w:color="auto"/>
        <w:bottom w:val="none" w:sz="0" w:space="0" w:color="auto"/>
        <w:right w:val="none" w:sz="0" w:space="0" w:color="auto"/>
      </w:divBdr>
    </w:div>
    <w:div w:id="294143387">
      <w:bodyDiv w:val="1"/>
      <w:marLeft w:val="0"/>
      <w:marRight w:val="0"/>
      <w:marTop w:val="0"/>
      <w:marBottom w:val="0"/>
      <w:divBdr>
        <w:top w:val="none" w:sz="0" w:space="0" w:color="auto"/>
        <w:left w:val="none" w:sz="0" w:space="0" w:color="auto"/>
        <w:bottom w:val="none" w:sz="0" w:space="0" w:color="auto"/>
        <w:right w:val="none" w:sz="0" w:space="0" w:color="auto"/>
      </w:divBdr>
    </w:div>
    <w:div w:id="298730927">
      <w:bodyDiv w:val="1"/>
      <w:marLeft w:val="0"/>
      <w:marRight w:val="0"/>
      <w:marTop w:val="0"/>
      <w:marBottom w:val="0"/>
      <w:divBdr>
        <w:top w:val="none" w:sz="0" w:space="0" w:color="auto"/>
        <w:left w:val="none" w:sz="0" w:space="0" w:color="auto"/>
        <w:bottom w:val="none" w:sz="0" w:space="0" w:color="auto"/>
        <w:right w:val="none" w:sz="0" w:space="0" w:color="auto"/>
      </w:divBdr>
    </w:div>
    <w:div w:id="439304201">
      <w:bodyDiv w:val="1"/>
      <w:marLeft w:val="0"/>
      <w:marRight w:val="0"/>
      <w:marTop w:val="0"/>
      <w:marBottom w:val="0"/>
      <w:divBdr>
        <w:top w:val="none" w:sz="0" w:space="0" w:color="auto"/>
        <w:left w:val="none" w:sz="0" w:space="0" w:color="auto"/>
        <w:bottom w:val="none" w:sz="0" w:space="0" w:color="auto"/>
        <w:right w:val="none" w:sz="0" w:space="0" w:color="auto"/>
      </w:divBdr>
    </w:div>
    <w:div w:id="511724162">
      <w:bodyDiv w:val="1"/>
      <w:marLeft w:val="0"/>
      <w:marRight w:val="0"/>
      <w:marTop w:val="0"/>
      <w:marBottom w:val="0"/>
      <w:divBdr>
        <w:top w:val="none" w:sz="0" w:space="0" w:color="auto"/>
        <w:left w:val="none" w:sz="0" w:space="0" w:color="auto"/>
        <w:bottom w:val="none" w:sz="0" w:space="0" w:color="auto"/>
        <w:right w:val="none" w:sz="0" w:space="0" w:color="auto"/>
      </w:divBdr>
    </w:div>
    <w:div w:id="521288358">
      <w:bodyDiv w:val="1"/>
      <w:marLeft w:val="0"/>
      <w:marRight w:val="0"/>
      <w:marTop w:val="0"/>
      <w:marBottom w:val="0"/>
      <w:divBdr>
        <w:top w:val="none" w:sz="0" w:space="0" w:color="auto"/>
        <w:left w:val="none" w:sz="0" w:space="0" w:color="auto"/>
        <w:bottom w:val="none" w:sz="0" w:space="0" w:color="auto"/>
        <w:right w:val="none" w:sz="0" w:space="0" w:color="auto"/>
      </w:divBdr>
    </w:div>
    <w:div w:id="692269332">
      <w:bodyDiv w:val="1"/>
      <w:marLeft w:val="0"/>
      <w:marRight w:val="0"/>
      <w:marTop w:val="0"/>
      <w:marBottom w:val="0"/>
      <w:divBdr>
        <w:top w:val="none" w:sz="0" w:space="0" w:color="auto"/>
        <w:left w:val="none" w:sz="0" w:space="0" w:color="auto"/>
        <w:bottom w:val="none" w:sz="0" w:space="0" w:color="auto"/>
        <w:right w:val="none" w:sz="0" w:space="0" w:color="auto"/>
      </w:divBdr>
    </w:div>
    <w:div w:id="829254819">
      <w:bodyDiv w:val="1"/>
      <w:marLeft w:val="0"/>
      <w:marRight w:val="0"/>
      <w:marTop w:val="0"/>
      <w:marBottom w:val="0"/>
      <w:divBdr>
        <w:top w:val="none" w:sz="0" w:space="0" w:color="auto"/>
        <w:left w:val="none" w:sz="0" w:space="0" w:color="auto"/>
        <w:bottom w:val="none" w:sz="0" w:space="0" w:color="auto"/>
        <w:right w:val="none" w:sz="0" w:space="0" w:color="auto"/>
      </w:divBdr>
    </w:div>
    <w:div w:id="912663930">
      <w:bodyDiv w:val="1"/>
      <w:marLeft w:val="0"/>
      <w:marRight w:val="0"/>
      <w:marTop w:val="0"/>
      <w:marBottom w:val="0"/>
      <w:divBdr>
        <w:top w:val="none" w:sz="0" w:space="0" w:color="auto"/>
        <w:left w:val="none" w:sz="0" w:space="0" w:color="auto"/>
        <w:bottom w:val="none" w:sz="0" w:space="0" w:color="auto"/>
        <w:right w:val="none" w:sz="0" w:space="0" w:color="auto"/>
      </w:divBdr>
    </w:div>
    <w:div w:id="999116157">
      <w:bodyDiv w:val="1"/>
      <w:marLeft w:val="0"/>
      <w:marRight w:val="0"/>
      <w:marTop w:val="0"/>
      <w:marBottom w:val="0"/>
      <w:divBdr>
        <w:top w:val="none" w:sz="0" w:space="0" w:color="auto"/>
        <w:left w:val="none" w:sz="0" w:space="0" w:color="auto"/>
        <w:bottom w:val="none" w:sz="0" w:space="0" w:color="auto"/>
        <w:right w:val="none" w:sz="0" w:space="0" w:color="auto"/>
      </w:divBdr>
    </w:div>
    <w:div w:id="1144852906">
      <w:bodyDiv w:val="1"/>
      <w:marLeft w:val="0"/>
      <w:marRight w:val="0"/>
      <w:marTop w:val="0"/>
      <w:marBottom w:val="0"/>
      <w:divBdr>
        <w:top w:val="none" w:sz="0" w:space="0" w:color="auto"/>
        <w:left w:val="none" w:sz="0" w:space="0" w:color="auto"/>
        <w:bottom w:val="none" w:sz="0" w:space="0" w:color="auto"/>
        <w:right w:val="none" w:sz="0" w:space="0" w:color="auto"/>
      </w:divBdr>
    </w:div>
    <w:div w:id="1206334614">
      <w:bodyDiv w:val="1"/>
      <w:marLeft w:val="0"/>
      <w:marRight w:val="0"/>
      <w:marTop w:val="0"/>
      <w:marBottom w:val="0"/>
      <w:divBdr>
        <w:top w:val="none" w:sz="0" w:space="0" w:color="auto"/>
        <w:left w:val="none" w:sz="0" w:space="0" w:color="auto"/>
        <w:bottom w:val="none" w:sz="0" w:space="0" w:color="auto"/>
        <w:right w:val="none" w:sz="0" w:space="0" w:color="auto"/>
      </w:divBdr>
    </w:div>
    <w:div w:id="1237936680">
      <w:bodyDiv w:val="1"/>
      <w:marLeft w:val="0"/>
      <w:marRight w:val="0"/>
      <w:marTop w:val="0"/>
      <w:marBottom w:val="0"/>
      <w:divBdr>
        <w:top w:val="none" w:sz="0" w:space="0" w:color="auto"/>
        <w:left w:val="none" w:sz="0" w:space="0" w:color="auto"/>
        <w:bottom w:val="none" w:sz="0" w:space="0" w:color="auto"/>
        <w:right w:val="none" w:sz="0" w:space="0" w:color="auto"/>
      </w:divBdr>
    </w:div>
    <w:div w:id="1305084846">
      <w:bodyDiv w:val="1"/>
      <w:marLeft w:val="0"/>
      <w:marRight w:val="0"/>
      <w:marTop w:val="0"/>
      <w:marBottom w:val="0"/>
      <w:divBdr>
        <w:top w:val="none" w:sz="0" w:space="0" w:color="auto"/>
        <w:left w:val="none" w:sz="0" w:space="0" w:color="auto"/>
        <w:bottom w:val="none" w:sz="0" w:space="0" w:color="auto"/>
        <w:right w:val="none" w:sz="0" w:space="0" w:color="auto"/>
      </w:divBdr>
    </w:div>
    <w:div w:id="1458639805">
      <w:bodyDiv w:val="1"/>
      <w:marLeft w:val="0"/>
      <w:marRight w:val="0"/>
      <w:marTop w:val="0"/>
      <w:marBottom w:val="0"/>
      <w:divBdr>
        <w:top w:val="none" w:sz="0" w:space="0" w:color="auto"/>
        <w:left w:val="none" w:sz="0" w:space="0" w:color="auto"/>
        <w:bottom w:val="none" w:sz="0" w:space="0" w:color="auto"/>
        <w:right w:val="none" w:sz="0" w:space="0" w:color="auto"/>
      </w:divBdr>
    </w:div>
    <w:div w:id="1472601792">
      <w:bodyDiv w:val="1"/>
      <w:marLeft w:val="0"/>
      <w:marRight w:val="0"/>
      <w:marTop w:val="0"/>
      <w:marBottom w:val="0"/>
      <w:divBdr>
        <w:top w:val="none" w:sz="0" w:space="0" w:color="auto"/>
        <w:left w:val="none" w:sz="0" w:space="0" w:color="auto"/>
        <w:bottom w:val="none" w:sz="0" w:space="0" w:color="auto"/>
        <w:right w:val="none" w:sz="0" w:space="0" w:color="auto"/>
      </w:divBdr>
    </w:div>
    <w:div w:id="1682274283">
      <w:bodyDiv w:val="1"/>
      <w:marLeft w:val="0"/>
      <w:marRight w:val="0"/>
      <w:marTop w:val="0"/>
      <w:marBottom w:val="0"/>
      <w:divBdr>
        <w:top w:val="none" w:sz="0" w:space="0" w:color="auto"/>
        <w:left w:val="none" w:sz="0" w:space="0" w:color="auto"/>
        <w:bottom w:val="none" w:sz="0" w:space="0" w:color="auto"/>
        <w:right w:val="none" w:sz="0" w:space="0" w:color="auto"/>
      </w:divBdr>
    </w:div>
    <w:div w:id="1709378749">
      <w:bodyDiv w:val="1"/>
      <w:marLeft w:val="0"/>
      <w:marRight w:val="0"/>
      <w:marTop w:val="0"/>
      <w:marBottom w:val="0"/>
      <w:divBdr>
        <w:top w:val="none" w:sz="0" w:space="0" w:color="auto"/>
        <w:left w:val="none" w:sz="0" w:space="0" w:color="auto"/>
        <w:bottom w:val="none" w:sz="0" w:space="0" w:color="auto"/>
        <w:right w:val="none" w:sz="0" w:space="0" w:color="auto"/>
      </w:divBdr>
    </w:div>
    <w:div w:id="1729644530">
      <w:bodyDiv w:val="1"/>
      <w:marLeft w:val="0"/>
      <w:marRight w:val="0"/>
      <w:marTop w:val="0"/>
      <w:marBottom w:val="0"/>
      <w:divBdr>
        <w:top w:val="none" w:sz="0" w:space="0" w:color="auto"/>
        <w:left w:val="none" w:sz="0" w:space="0" w:color="auto"/>
        <w:bottom w:val="none" w:sz="0" w:space="0" w:color="auto"/>
        <w:right w:val="none" w:sz="0" w:space="0" w:color="auto"/>
      </w:divBdr>
    </w:div>
    <w:div w:id="1849633562">
      <w:bodyDiv w:val="1"/>
      <w:marLeft w:val="0"/>
      <w:marRight w:val="0"/>
      <w:marTop w:val="0"/>
      <w:marBottom w:val="0"/>
      <w:divBdr>
        <w:top w:val="none" w:sz="0" w:space="0" w:color="auto"/>
        <w:left w:val="none" w:sz="0" w:space="0" w:color="auto"/>
        <w:bottom w:val="none" w:sz="0" w:space="0" w:color="auto"/>
        <w:right w:val="none" w:sz="0" w:space="0" w:color="auto"/>
      </w:divBdr>
    </w:div>
    <w:div w:id="1992831856">
      <w:bodyDiv w:val="1"/>
      <w:marLeft w:val="0"/>
      <w:marRight w:val="0"/>
      <w:marTop w:val="0"/>
      <w:marBottom w:val="0"/>
      <w:divBdr>
        <w:top w:val="none" w:sz="0" w:space="0" w:color="auto"/>
        <w:left w:val="none" w:sz="0" w:space="0" w:color="auto"/>
        <w:bottom w:val="none" w:sz="0" w:space="0" w:color="auto"/>
        <w:right w:val="none" w:sz="0" w:space="0" w:color="auto"/>
      </w:divBdr>
    </w:div>
    <w:div w:id="2057115922">
      <w:bodyDiv w:val="1"/>
      <w:marLeft w:val="0"/>
      <w:marRight w:val="0"/>
      <w:marTop w:val="0"/>
      <w:marBottom w:val="0"/>
      <w:divBdr>
        <w:top w:val="none" w:sz="0" w:space="0" w:color="auto"/>
        <w:left w:val="none" w:sz="0" w:space="0" w:color="auto"/>
        <w:bottom w:val="none" w:sz="0" w:space="0" w:color="auto"/>
        <w:right w:val="none" w:sz="0" w:space="0" w:color="auto"/>
      </w:divBdr>
    </w:div>
    <w:div w:id="2089106249">
      <w:bodyDiv w:val="1"/>
      <w:marLeft w:val="0"/>
      <w:marRight w:val="0"/>
      <w:marTop w:val="0"/>
      <w:marBottom w:val="0"/>
      <w:divBdr>
        <w:top w:val="none" w:sz="0" w:space="0" w:color="auto"/>
        <w:left w:val="none" w:sz="0" w:space="0" w:color="auto"/>
        <w:bottom w:val="none" w:sz="0" w:space="0" w:color="auto"/>
        <w:right w:val="none" w:sz="0" w:space="0" w:color="auto"/>
      </w:divBdr>
    </w:div>
    <w:div w:id="213216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osti.gov/servlets/purl/1480856" TargetMode="External"/><Relationship Id="rId7" Type="http://schemas.openxmlformats.org/officeDocument/2006/relationships/hyperlink" Target="https://pubs.acs.org/doi/10.1021/acs.energyfuels.1c02456" TargetMode="External"/><Relationship Id="rId2" Type="http://schemas.openxmlformats.org/officeDocument/2006/relationships/hyperlink" Target="https://www.sciencedirect.com/science/article/pii/S175058361730107X" TargetMode="External"/><Relationship Id="rId1" Type="http://schemas.openxmlformats.org/officeDocument/2006/relationships/hyperlink" Target="https://www-sciencedirect-com.proxy.lib.uwaterloo.ca/science/article/pii/S1750583614001224" TargetMode="External"/><Relationship Id="rId6" Type="http://schemas.openxmlformats.org/officeDocument/2006/relationships/hyperlink" Target="https://www.sciencedirect.com/science/article/pii/S0378382016301060" TargetMode="External"/><Relationship Id="rId5" Type="http://schemas.openxmlformats.org/officeDocument/2006/relationships/hyperlink" Target="https://pubs.acs.org/doi/10.1021/acs.energyfuels.2c03495" TargetMode="External"/><Relationship Id="rId4" Type="http://schemas.openxmlformats.org/officeDocument/2006/relationships/hyperlink" Target="https://www.sciencedirect.com/science/article/pii/S258891332200015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chrome-extension://efaidnbmnnnibpcajpcglclefindmkaj/https:/www.chemengonline.com/Assets/File/CEPCI_1_01-2002.pdf"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chemengonline.com/economic-indicators/" TargetMode="External"/><Relationship Id="rId2" Type="http://schemas.openxmlformats.org/officeDocument/2006/relationships/customXml" Target="../customXml/item2.xml"/><Relationship Id="rId16" Type="http://schemas.openxmlformats.org/officeDocument/2006/relationships/hyperlink" Target="https://www.bls.gov/data/inflation_calculator.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hyperlink" Target="https://www.oeb.ca/consumer-information-and-protection/natural-gas-rates" TargetMode="External"/><Relationship Id="rId10" Type="http://schemas.openxmlformats.org/officeDocument/2006/relationships/comments" Target="comments.xml"/><Relationship Id="rId19" Type="http://schemas.openxmlformats.org/officeDocument/2006/relationships/hyperlink" Target="https://biogasassociation.ca/images/uploads/documents/2021/value_of_biogas/presentations_apr/day2c_Youre-the-One-That-I-Want-MaryamAkbari.pdf" TargetMode="External"/><Relationship Id="rId4" Type="http://schemas.openxmlformats.org/officeDocument/2006/relationships/customXml" Target="../customXml/item4.xml"/><Relationship Id="rId9" Type="http://schemas.openxmlformats.org/officeDocument/2006/relationships/hyperlink" Target="https://www.ontario.ca/laws/regulation/190241" TargetMode="External"/><Relationship Id="rId14" Type="http://schemas.openxmlformats.org/officeDocument/2006/relationships/hyperlink" Target="https://www.sciencedirect.com/science/article/pii/S0360319908015632?via%3Dihub"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6176AD354DE248B5FD1C1F1A497617" ma:contentTypeVersion="18" ma:contentTypeDescription="Create a new document." ma:contentTypeScope="" ma:versionID="1b35aaa8f2fa40437b729801a1acbe41">
  <xsd:schema xmlns:xsd="http://www.w3.org/2001/XMLSchema" xmlns:xs="http://www.w3.org/2001/XMLSchema" xmlns:p="http://schemas.microsoft.com/office/2006/metadata/properties" xmlns:ns3="0b841a72-51a0-4a82-af81-9a0df618b5f3" xmlns:ns4="e0f209a6-4b5e-4fb9-b56a-97d83d03e00b" targetNamespace="http://schemas.microsoft.com/office/2006/metadata/properties" ma:root="true" ma:fieldsID="93f103cb5d444ec059604cd4d42d6951" ns3:_="" ns4:_="">
    <xsd:import namespace="0b841a72-51a0-4a82-af81-9a0df618b5f3"/>
    <xsd:import namespace="e0f209a6-4b5e-4fb9-b56a-97d83d03e00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LengthInSeconds" minOccurs="0"/>
                <xsd:element ref="ns4:_activity" minOccurs="0"/>
                <xsd:element ref="ns4:MediaServiceSystemTag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41a72-51a0-4a82-af81-9a0df618b5f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f209a6-4b5e-4fb9-b56a-97d83d03e00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0f209a6-4b5e-4fb9-b56a-97d83d03e00b"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Tri11</b:Tag>
    <b:SourceType>JournalArticle</b:SourceType>
    <b:Guid>{6EE12AC0-D86D-4B7E-93EF-AB7DD11E71BD}</b:Guid>
    <b:Title>Techno-economic assessment of gasification as a process step within biomass-to-liquid (BtL) fuel and chemicals production</b:Title>
    <b:Year>2011</b:Year>
    <b:Author>
      <b:Author>
        <b:NameList>
          <b:Person>
            <b:Last>Trippe</b:Last>
            <b:First>Frederik</b:First>
          </b:Person>
          <b:Person>
            <b:Last>Fröhling</b:Last>
            <b:First>Magnus</b:First>
          </b:Person>
          <b:Person>
            <b:Last>Schultmann</b:Last>
            <b:First>Frank</b:First>
          </b:Person>
          <b:Person>
            <b:Last>Stahl</b:Last>
            <b:First>Ralph</b:First>
          </b:Person>
          <b:Person>
            <b:Last>Henrich</b:Last>
            <b:First>Edmund</b:First>
          </b:Person>
        </b:NameList>
      </b:Author>
    </b:Author>
    <b:JournalName>Fuel Processing Technology</b:JournalName>
    <b:Pages>2169-2184</b:Pages>
    <b:Volume>92</b:Volume>
    <b:Issue>11</b:Issue>
    <b:RefOrder>1</b:RefOrder>
  </b:Source>
  <b:Source>
    <b:Tag>Che15</b:Tag>
    <b:SourceType>JournalArticle</b:SourceType>
    <b:Guid>{E14B2F18-AD74-4E28-97EB-4157B038491D}</b:Guid>
    <b:Author>
      <b:Author>
        <b:NameList>
          <b:Person>
            <b:Last>Chen</b:Last>
            <b:First>L</b:First>
          </b:Person>
          <b:Person>
            <b:Last>Zhang</b:Last>
            <b:First>Y.</b:First>
          </b:Person>
          <b:Person>
            <b:Last>Liu</b:Last>
            <b:First>F.</b:First>
          </b:Person>
          <b:Person>
            <b:Last>Liu</b:Last>
            <b:First>K.</b:First>
          </b:Person>
        </b:NameList>
      </b:Author>
    </b:Author>
    <b:Title>Development of a cost-effective oxygen carrier from red mud for coal-fueled chemical-looping combustion</b:Title>
    <b:JournalName>Energy &amp; Fuels</b:JournalName>
    <b:Year>2015</b:Year>
    <b:Pages>305-313</b:Pages>
    <b:Volume>29</b:Volume>
    <b:RefOrder>3</b:RefOrder>
  </b:Source>
  <b:Source>
    <b:Tag>Ont</b:Tag>
    <b:SourceType>InternetSite</b:SourceType>
    <b:Guid>{8EA36CE3-0748-4113-B6FF-5ABEE74B1ADC}</b:Guid>
    <b:Title>Electricity rates</b:Title>
    <b:Author>
      <b:Author>
        <b:Corporate>Ontario Energy Board (OEB)</b:Corporate>
      </b:Author>
    </b:Author>
    <b:YearAccessed>2026</b:YearAccessed>
    <b:MonthAccessed>March</b:MonthAccessed>
    <b:DayAccessed>24</b:DayAccessed>
    <b:URL>https://www.oeb.ca/consumer-information-and-protection/electricity-rates</b:URL>
    <b:RefOrder>2</b:RefOrder>
  </b:Source>
  <b:Source>
    <b:Tag>Ber16</b:Tag>
    <b:SourceType>Report</b:SourceType>
    <b:Guid>{71A64AA0-5BBC-427A-9C35-05E34B496A41}</b:Guid>
    <b:Title>Optimal design and control of a catalytic distillation column. Case study: Ethyl tert-butyl ether (ETBE) synthesis column (M.Sc. Thesis)</b:Title>
    <b:Year>2016</b:Year>
    <b:City>Bogota</b:City>
    <b:Publisher>Universidad de los Andes</b:Publisher>
    <b:Author>
      <b:Author>
        <b:NameList>
          <b:Person>
            <b:Last>Bernal</b:Last>
            <b:First>D.</b:First>
          </b:Person>
        </b:NameList>
      </b:Author>
    </b:Author>
    <b:RefOrder>8</b:RefOrder>
  </b:Source>
  <b:Source>
    <b:Tag>Dou88</b:Tag>
    <b:SourceType>Book</b:SourceType>
    <b:Guid>{011CD8F0-6EBD-4847-BA3B-372BCF62BF8C}</b:Guid>
    <b:Title>Conceptual Design of Chemical Processes (Appendix E)</b:Title>
    <b:Year>1988</b:Year>
    <b:Publisher>McGraw Hill</b:Publisher>
    <b:City>New York</b:City>
    <b:Author>
      <b:Author>
        <b:NameList>
          <b:Person>
            <b:Last>Douglas</b:Last>
            <b:First>J.M.</b:First>
          </b:Person>
        </b:NameList>
      </b:Author>
    </b:Author>
    <b:RefOrder>9</b:RefOrder>
  </b:Source>
  <b:Source>
    <b:Tag>Tof21</b:Tag>
    <b:SourceType>JournalArticle</b:SourceType>
    <b:Guid>{909668A7-81A8-4D00-99CC-17EDB2C3D7A6}</b:Guid>
    <b:Title>Optimal Design and Control of a Multiscale Model for a Packed Bed Chemical-Looping Combustion Reactor</b:Title>
    <b:Year>2021</b:Year>
    <b:Author>
      <b:Author>
        <b:NameList>
          <b:Person>
            <b:Last>Toffolo</b:Last>
            <b:First>Kathryn</b:First>
          </b:Person>
          <b:Person>
            <b:Last>Ricardez-Sandoval</b:Last>
            <b:First>Luis</b:First>
          </b:Person>
        </b:NameList>
      </b:Author>
    </b:Author>
    <b:JournalName>IFAC PapersOnLine</b:JournalName>
    <b:Pages>615-620</b:Pages>
    <b:Volume>54</b:Volume>
    <b:Issue>3</b:Issue>
    <b:RefOrder>4</b:RefOrder>
  </b:Source>
  <b:Source>
    <b:Tag>Zhu18</b:Tag>
    <b:SourceType>JournalArticle</b:SourceType>
    <b:Guid>{6572CA07-EE7F-4193-8AA0-89657022A4D3}</b:Guid>
    <b:Author>
      <b:Author>
        <b:NameList>
          <b:Person>
            <b:Last>Zhu</b:Last>
            <b:First>Lin</b:First>
          </b:Person>
          <b:Person>
            <b:Last>He</b:Last>
            <b:First>Yangdong</b:First>
          </b:Person>
          <b:Person>
            <b:Last>Li</b:Last>
            <b:First>Luling</b:First>
          </b:Person>
          <b:Person>
            <b:Last>Wu</b:Last>
            <b:First>Pengbin</b:First>
          </b:Person>
        </b:NameList>
      </b:Author>
    </b:Author>
    <b:Title>Tech-economic assessment of second-generation CCS: Chemical looping combustion</b:Title>
    <b:JournalName>Energy</b:JournalName>
    <b:Year>2018</b:Year>
    <b:Pages>915-927</b:Pages>
    <b:Volume>144</b:Volume>
    <b:RefOrder>5</b:RefOrder>
  </b:Source>
  <b:Source>
    <b:Tag>Cua12</b:Tag>
    <b:SourceType>JournalArticle</b:SourceType>
    <b:Guid>{2620F9B5-DFD9-4C71-BD65-DB93EDBA5848}</b:Guid>
    <b:Author>
      <b:Author>
        <b:NameList>
          <b:Person>
            <b:Last>Cuadrat</b:Last>
            <b:First>A.</b:First>
          </b:Person>
          <b:Person>
            <b:Last>Abad</b:Last>
            <b:First>A.</b:First>
          </b:Person>
          <b:Person>
            <b:Last>Adanez</b:Last>
            <b:First>J.</b:First>
          </b:Person>
          <b:Person>
            <b:Last>de Diego</b:Last>
            <b:First>L.F.</b:First>
          </b:Person>
          <b:Person>
            <b:Last>Garcia-Labiano</b:Last>
            <b:First>F.</b:First>
          </b:Person>
          <b:Person>
            <b:Last>Gayan</b:Last>
            <b:First>P.</b:First>
          </b:Person>
        </b:NameList>
      </b:Author>
    </b:Author>
    <b:Title>Behavior of ilmenite as oxygen carrier in chemical-looping combustion</b:Title>
    <b:JournalName>Fuel Processing Technology</b:JournalName>
    <b:Year>2012</b:Year>
    <b:Pages>101-112</b:Pages>
    <b:Volume>94</b:Volume>
    <b:Issue>1</b:Issue>
    <b:RefOrder>6</b:RefOrder>
  </b:Source>
  <b:Source>
    <b:Tag>Fan18</b:Tag>
    <b:SourceType>JournalArticle</b:SourceType>
    <b:Guid>{FCB34A73-1761-4AB4-A620-DCB052BFE2A5}</b:Guid>
    <b:Author>
      <b:Author>
        <b:NameList>
          <b:Person>
            <b:Last>Fan</b:Last>
            <b:First>Junming</b:First>
          </b:Person>
          <b:Person>
            <b:Last>Hong</b:Last>
            <b:First>Hui</b:First>
          </b:Person>
          <b:Person>
            <b:Last>Jin</b:Last>
            <b:First>Hongguang</b:First>
          </b:Person>
        </b:NameList>
      </b:Author>
    </b:Author>
    <b:Title>Power Generation Based on Chemical Looping Combustion: Will It Qualify To Reduce Greenhouse Gas Emissions from Life-Cycle Assessment?</b:Title>
    <b:JournalName>ACS Sustainable Chemistry &amp; Engineering </b:JournalName>
    <b:Year>2018</b:Year>
    <b:Volume>6</b:Volume>
    <b:Issue>5</b:Issue>
    <b:RefOrder>7</b:RefOrder>
  </b:Source>
</b:Sources>
</file>

<file path=customXml/itemProps1.xml><?xml version="1.0" encoding="utf-8"?>
<ds:datastoreItem xmlns:ds="http://schemas.openxmlformats.org/officeDocument/2006/customXml" ds:itemID="{3FE34767-5736-451F-8E24-9E4417274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41a72-51a0-4a82-af81-9a0df618b5f3"/>
    <ds:schemaRef ds:uri="e0f209a6-4b5e-4fb9-b56a-97d83d03e0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30DC23-28E7-4C13-AF21-CDF8B5EE56CC}">
  <ds:schemaRefs>
    <ds:schemaRef ds:uri="http://schemas.microsoft.com/sharepoint/v3/contenttype/forms"/>
  </ds:schemaRefs>
</ds:datastoreItem>
</file>

<file path=customXml/itemProps3.xml><?xml version="1.0" encoding="utf-8"?>
<ds:datastoreItem xmlns:ds="http://schemas.openxmlformats.org/officeDocument/2006/customXml" ds:itemID="{96C2CEFA-28AC-4743-AA23-3A742BDC689B}">
  <ds:schemaRefs>
    <ds:schemaRef ds:uri="http://schemas.microsoft.com/office/2006/metadata/properties"/>
    <ds:schemaRef ds:uri="http://schemas.microsoft.com/office/infopath/2007/PartnerControls"/>
    <ds:schemaRef ds:uri="e0f209a6-4b5e-4fb9-b56a-97d83d03e00b"/>
  </ds:schemaRefs>
</ds:datastoreItem>
</file>

<file path=customXml/itemProps4.xml><?xml version="1.0" encoding="utf-8"?>
<ds:datastoreItem xmlns:ds="http://schemas.openxmlformats.org/officeDocument/2006/customXml" ds:itemID="{3CEC01AF-5795-436E-918A-2CE5EC47FB5A}">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Template>
  <TotalTime>2914</TotalTime>
  <Pages>6</Pages>
  <Words>1590</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McBride</dc:creator>
  <cp:keywords/>
  <dc:description/>
  <cp:lastModifiedBy>Dana Ronson</cp:lastModifiedBy>
  <cp:revision>4</cp:revision>
  <dcterms:created xsi:type="dcterms:W3CDTF">2026-05-06T20:23:00Z</dcterms:created>
  <dcterms:modified xsi:type="dcterms:W3CDTF">2026-05-20T21:56:00Z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0x010100E96176AD354DE248B5FD1C1F1A497617</vt:lpwstr>
  </property>
</Properties>
</file>