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w:t>
      </w:r>
      <w:bookmarkStart w:id="0" w:name="_GoBack"/>
      <w:bookmarkEnd w:id="0"/>
      <w:r>
        <w:t>e</w:t>
      </w:r>
    </w:p>
    <w:p w14:paraId="33A8A8EB" w14:textId="68651ADB" w:rsidR="00585072" w:rsidRDefault="004A3F42" w:rsidP="00585072">
      <w:pPr>
        <w:pStyle w:val="CasebookSubtitle"/>
        <w:outlineLvl w:val="2"/>
      </w:pPr>
      <w:r>
        <w:t>Casebook Subtitle</w:t>
      </w:r>
    </w:p>
    <w:sdt>
      <w:sdtPr>
        <w:rPr>
          <w:rFonts w:eastAsia="Times New Roman" w:cs="Times New Roman"/>
          <w:b/>
          <w:bCs w:val="0"/>
          <w:color w:val="auto"/>
          <w:sz w:val="22"/>
          <w:szCs w:val="20"/>
        </w:rPr>
        <w:id w:val="-1909066146"/>
        <w:docPartObj>
          <w:docPartGallery w:val="Table of Contents"/>
          <w:docPartUnique/>
        </w:docPartObj>
      </w:sdtPr>
      <w:sdtEndPr>
        <w:rPr>
          <w:b w:val="0"/>
          <w:noProof/>
        </w:rPr>
      </w:sdtEndPr>
      <w:sdtContent>
        <w:p w14:paraId="1FDA9025" w14:textId="228E45DF" w:rsidR="00585072" w:rsidRDefault="00585072">
          <w:pPr>
            <w:pStyle w:val="TOCHeading"/>
          </w:pPr>
          <w:r>
            <w:t>Table of Contents</w:t>
          </w:r>
        </w:p>
        <w:p w14:paraId="19DC981F" w14:textId="77777777" w:rsidR="00585072" w:rsidRDefault="00585072">
          <w:pPr>
            <w:pStyle w:val="TOC1"/>
            <w:tabs>
              <w:tab w:val="right" w:leader="dot" w:pos="9350"/>
            </w:tabs>
            <w:rPr>
              <w:rFonts w:eastAsiaTheme="minorEastAsia" w:cstheme="minorBidi"/>
              <w:b w:val="0"/>
              <w:bCs w:val="0"/>
              <w:noProof/>
            </w:rPr>
          </w:pPr>
          <w:r>
            <w:rPr>
              <w:szCs w:val="22"/>
            </w:rPr>
            <w:fldChar w:fldCharType="begin"/>
          </w:r>
          <w:r>
            <w:rPr>
              <w:szCs w:val="22"/>
            </w:rPr>
            <w:instrText xml:space="preserve"> TOC \o \h \z </w:instrText>
          </w:r>
          <w:r>
            <w:rPr>
              <w:szCs w:val="22"/>
            </w:rPr>
            <w:fldChar w:fldCharType="separate"/>
          </w:r>
          <w:hyperlink w:anchor="_Toc491216489" w:history="1">
            <w:r w:rsidRPr="00137092">
              <w:rPr>
                <w:rStyle w:val="Hyperlink"/>
                <w:noProof/>
              </w:rPr>
              <w:t>H1</w:t>
            </w:r>
            <w:r>
              <w:rPr>
                <w:noProof/>
                <w:webHidden/>
              </w:rPr>
              <w:tab/>
            </w:r>
            <w:r>
              <w:rPr>
                <w:noProof/>
                <w:webHidden/>
              </w:rPr>
              <w:fldChar w:fldCharType="begin"/>
            </w:r>
            <w:r>
              <w:rPr>
                <w:noProof/>
                <w:webHidden/>
              </w:rPr>
              <w:instrText xml:space="preserve"> PAGEREF _Toc491216489 \h </w:instrText>
            </w:r>
            <w:r>
              <w:rPr>
                <w:noProof/>
                <w:webHidden/>
              </w:rPr>
            </w:r>
            <w:r>
              <w:rPr>
                <w:noProof/>
                <w:webHidden/>
              </w:rPr>
              <w:fldChar w:fldCharType="separate"/>
            </w:r>
            <w:r>
              <w:rPr>
                <w:noProof/>
                <w:webHidden/>
              </w:rPr>
              <w:t>2</w:t>
            </w:r>
            <w:r>
              <w:rPr>
                <w:noProof/>
                <w:webHidden/>
              </w:rPr>
              <w:fldChar w:fldCharType="end"/>
            </w:r>
          </w:hyperlink>
        </w:p>
        <w:p w14:paraId="3EC490AA" w14:textId="77777777" w:rsidR="00585072" w:rsidRDefault="0065408C">
          <w:pPr>
            <w:pStyle w:val="TOC2"/>
            <w:tabs>
              <w:tab w:val="right" w:leader="dot" w:pos="9350"/>
            </w:tabs>
            <w:rPr>
              <w:rFonts w:eastAsiaTheme="minorEastAsia" w:cstheme="minorBidi"/>
              <w:b w:val="0"/>
              <w:bCs w:val="0"/>
              <w:noProof/>
              <w:sz w:val="24"/>
              <w:szCs w:val="24"/>
            </w:rPr>
          </w:pPr>
          <w:hyperlink w:anchor="_Toc491216490" w:history="1">
            <w:r w:rsidR="00585072" w:rsidRPr="00137092">
              <w:rPr>
                <w:rStyle w:val="Hyperlink"/>
                <w:noProof/>
              </w:rPr>
              <w:t>H2</w:t>
            </w:r>
            <w:r w:rsidR="00585072">
              <w:rPr>
                <w:noProof/>
                <w:webHidden/>
              </w:rPr>
              <w:tab/>
            </w:r>
            <w:r w:rsidR="00585072">
              <w:rPr>
                <w:noProof/>
                <w:webHidden/>
              </w:rPr>
              <w:fldChar w:fldCharType="begin"/>
            </w:r>
            <w:r w:rsidR="00585072">
              <w:rPr>
                <w:noProof/>
                <w:webHidden/>
              </w:rPr>
              <w:instrText xml:space="preserve"> PAGEREF _Toc491216490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5EE9477" w14:textId="77777777" w:rsidR="00585072" w:rsidRDefault="0065408C">
          <w:pPr>
            <w:pStyle w:val="TOC3"/>
            <w:tabs>
              <w:tab w:val="right" w:leader="dot" w:pos="9350"/>
            </w:tabs>
            <w:rPr>
              <w:rFonts w:eastAsiaTheme="minorEastAsia" w:cstheme="minorBidi"/>
              <w:noProof/>
              <w:sz w:val="24"/>
              <w:szCs w:val="24"/>
            </w:rPr>
          </w:pPr>
          <w:hyperlink w:anchor="_Toc491216491" w:history="1">
            <w:r w:rsidR="00585072" w:rsidRPr="00137092">
              <w:rPr>
                <w:rStyle w:val="Hyperlink"/>
                <w:noProof/>
              </w:rPr>
              <w:t>H3</w:t>
            </w:r>
            <w:r w:rsidR="00585072">
              <w:rPr>
                <w:noProof/>
                <w:webHidden/>
              </w:rPr>
              <w:tab/>
            </w:r>
            <w:r w:rsidR="00585072">
              <w:rPr>
                <w:noProof/>
                <w:webHidden/>
              </w:rPr>
              <w:fldChar w:fldCharType="begin"/>
            </w:r>
            <w:r w:rsidR="00585072">
              <w:rPr>
                <w:noProof/>
                <w:webHidden/>
              </w:rPr>
              <w:instrText xml:space="preserve"> PAGEREF _Toc491216491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7CC25060" w14:textId="77777777" w:rsidR="00585072" w:rsidRDefault="0065408C">
          <w:pPr>
            <w:pStyle w:val="TOC4"/>
            <w:tabs>
              <w:tab w:val="right" w:leader="dot" w:pos="9350"/>
            </w:tabs>
            <w:rPr>
              <w:rFonts w:eastAsiaTheme="minorEastAsia" w:cstheme="minorBidi"/>
              <w:noProof/>
              <w:sz w:val="24"/>
              <w:szCs w:val="24"/>
            </w:rPr>
          </w:pPr>
          <w:hyperlink w:anchor="_Toc491216492" w:history="1">
            <w:r w:rsidR="00585072" w:rsidRPr="00137092">
              <w:rPr>
                <w:rStyle w:val="Hyperlink"/>
                <w:noProof/>
              </w:rPr>
              <w:t>H4</w:t>
            </w:r>
            <w:r w:rsidR="00585072">
              <w:rPr>
                <w:noProof/>
                <w:webHidden/>
              </w:rPr>
              <w:tab/>
            </w:r>
            <w:r w:rsidR="00585072">
              <w:rPr>
                <w:noProof/>
                <w:webHidden/>
              </w:rPr>
              <w:fldChar w:fldCharType="begin"/>
            </w:r>
            <w:r w:rsidR="00585072">
              <w:rPr>
                <w:noProof/>
                <w:webHidden/>
              </w:rPr>
              <w:instrText xml:space="preserve"> PAGEREF _Toc491216492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45926717" w14:textId="77777777" w:rsidR="00585072" w:rsidRDefault="0065408C">
          <w:pPr>
            <w:pStyle w:val="TOC5"/>
            <w:tabs>
              <w:tab w:val="right" w:leader="dot" w:pos="9350"/>
            </w:tabs>
            <w:rPr>
              <w:rFonts w:eastAsiaTheme="minorEastAsia" w:cstheme="minorBidi"/>
              <w:noProof/>
              <w:sz w:val="24"/>
              <w:szCs w:val="24"/>
            </w:rPr>
          </w:pPr>
          <w:hyperlink w:anchor="_Toc491216493" w:history="1">
            <w:r w:rsidR="00585072" w:rsidRPr="00137092">
              <w:rPr>
                <w:rStyle w:val="Hyperlink"/>
                <w:noProof/>
              </w:rPr>
              <w:t>H5</w:t>
            </w:r>
            <w:r w:rsidR="00585072">
              <w:rPr>
                <w:noProof/>
                <w:webHidden/>
              </w:rPr>
              <w:tab/>
            </w:r>
            <w:r w:rsidR="00585072">
              <w:rPr>
                <w:noProof/>
                <w:webHidden/>
              </w:rPr>
              <w:fldChar w:fldCharType="begin"/>
            </w:r>
            <w:r w:rsidR="00585072">
              <w:rPr>
                <w:noProof/>
                <w:webHidden/>
              </w:rPr>
              <w:instrText xml:space="preserve"> PAGEREF _Toc491216493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C89ACB5" w14:textId="77777777" w:rsidR="00585072" w:rsidRDefault="0065408C">
          <w:pPr>
            <w:pStyle w:val="TOC6"/>
            <w:tabs>
              <w:tab w:val="right" w:leader="dot" w:pos="9350"/>
            </w:tabs>
            <w:rPr>
              <w:rFonts w:eastAsiaTheme="minorEastAsia" w:cstheme="minorBidi"/>
              <w:noProof/>
              <w:sz w:val="24"/>
              <w:szCs w:val="24"/>
            </w:rPr>
          </w:pPr>
          <w:hyperlink w:anchor="_Toc491216494" w:history="1">
            <w:r w:rsidR="00585072" w:rsidRPr="00137092">
              <w:rPr>
                <w:rStyle w:val="Hyperlink"/>
                <w:noProof/>
              </w:rPr>
              <w:t>H6</w:t>
            </w:r>
            <w:r w:rsidR="00585072">
              <w:rPr>
                <w:noProof/>
                <w:webHidden/>
              </w:rPr>
              <w:tab/>
            </w:r>
            <w:r w:rsidR="00585072">
              <w:rPr>
                <w:noProof/>
                <w:webHidden/>
              </w:rPr>
              <w:fldChar w:fldCharType="begin"/>
            </w:r>
            <w:r w:rsidR="00585072">
              <w:rPr>
                <w:noProof/>
                <w:webHidden/>
              </w:rPr>
              <w:instrText xml:space="preserve"> PAGEREF _Toc491216494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09C43B73" w14:textId="7B5A18A6" w:rsidR="00585072" w:rsidRDefault="00585072" w:rsidP="00585072">
          <w:r>
            <w:rPr>
              <w:rFonts w:asciiTheme="minorHAnsi" w:hAnsiTheme="minorHAnsi"/>
              <w:szCs w:val="22"/>
            </w:rPr>
            <w:fldChar w:fldCharType="end"/>
          </w:r>
        </w:p>
      </w:sdtContent>
    </w:sdt>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rsidP="0065408C">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Text Block Title</w:t>
      </w:r>
    </w:p>
    <w:p w14:paraId="5FCAEE2C" w14:textId="77777777" w:rsidR="00874493" w:rsidRDefault="004A3F42">
      <w:pPr>
        <w:pStyle w:val="ResourceSubtitle"/>
      </w:pPr>
      <w:r>
        <w:t>Text block subtitle</w:t>
      </w:r>
    </w:p>
    <w:p w14:paraId="16F35243" w14:textId="0FA79E4C" w:rsidR="00EA745E" w:rsidRDefault="004A3F42" w:rsidP="0065408C">
      <w:pPr>
        <w:pStyle w:val="Section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14:paraId="719112D8" w14:textId="77777777" w:rsidR="00874493" w:rsidRDefault="004A3F42">
      <w:pPr>
        <w:pStyle w:val="CaseText"/>
      </w:pPr>
      <w:r>
        <w:lastRenderedPageBreak/>
        <w:t>Text block content:</w:t>
      </w:r>
    </w:p>
    <w:p w14:paraId="2C7087CD" w14:textId="0EDBAA07" w:rsidR="00EA745E" w:rsidRDefault="00EA745E" w:rsidP="00EA745E">
      <w:pPr>
        <w:pStyle w:val="Heading1"/>
      </w:pPr>
      <w:bookmarkStart w:id="1" w:name="_Toc491216489"/>
      <w:r>
        <w:t>H1</w:t>
      </w:r>
      <w:bookmarkEnd w:id="1"/>
    </w:p>
    <w:p w14:paraId="1C16956D" w14:textId="3485D237" w:rsidR="00EA745E" w:rsidRDefault="00EA745E" w:rsidP="00EA745E">
      <w:pPr>
        <w:pStyle w:val="Heading2"/>
      </w:pPr>
      <w:bookmarkStart w:id="2" w:name="_Toc491216490"/>
      <w:r>
        <w:t>H2</w:t>
      </w:r>
      <w:bookmarkEnd w:id="2"/>
    </w:p>
    <w:p w14:paraId="0CDE5C5A" w14:textId="5A4455E6" w:rsidR="00EA745E" w:rsidRDefault="00EA745E" w:rsidP="00EA745E">
      <w:pPr>
        <w:pStyle w:val="Heading3"/>
      </w:pPr>
      <w:bookmarkStart w:id="3" w:name="_Toc491216491"/>
      <w:r>
        <w:t>H3</w:t>
      </w:r>
      <w:bookmarkEnd w:id="3"/>
    </w:p>
    <w:p w14:paraId="0AA03F36" w14:textId="2BE5B23F" w:rsidR="00EA745E" w:rsidRDefault="00EA745E" w:rsidP="00EA745E">
      <w:pPr>
        <w:pStyle w:val="Heading4"/>
      </w:pPr>
      <w:bookmarkStart w:id="4" w:name="_Toc491216492"/>
      <w:r>
        <w:t>H4</w:t>
      </w:r>
      <w:bookmarkEnd w:id="4"/>
    </w:p>
    <w:p w14:paraId="25F3F241" w14:textId="2B99FC8B" w:rsidR="00EA745E" w:rsidRDefault="00EA745E" w:rsidP="00EA745E">
      <w:pPr>
        <w:pStyle w:val="Heading5"/>
      </w:pPr>
      <w:bookmarkStart w:id="5" w:name="_Toc491216493"/>
      <w:r>
        <w:t>H5</w:t>
      </w:r>
      <w:bookmarkEnd w:id="5"/>
    </w:p>
    <w:p w14:paraId="19A4FE13" w14:textId="560AEC04" w:rsidR="00EA745E" w:rsidRDefault="00EA745E" w:rsidP="00EA745E">
      <w:pPr>
        <w:pStyle w:val="Heading6"/>
      </w:pPr>
      <w:bookmarkStart w:id="6" w:name="_Toc491216494"/>
      <w:r>
        <w:t>H6</w:t>
      </w:r>
      <w:bookmarkEnd w:id="6"/>
    </w:p>
    <w:p w14:paraId="7C0D39DB" w14:textId="77777777" w:rsidR="00EA745E" w:rsidRPr="00EA745E" w:rsidRDefault="00EA745E" w:rsidP="00EA745E"/>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sidP="00B55EDB">
      <w:pPr>
        <w:pStyle w:val="BlockQuote"/>
      </w:pPr>
      <w:r>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65408C">
      <w:hyperlink r:id="rId6">
        <w:r w:rsidR="004A3F42">
          <w:rPr>
            <w:color w:val="000080"/>
            <w:u w:val="single"/>
          </w:rPr>
          <w:t xml:space="preserve">           Link to google.com         </w:t>
        </w:r>
      </w:hyperlink>
    </w:p>
    <w:p w14:paraId="378F4FD1" w14:textId="77777777" w:rsidR="00874493" w:rsidRDefault="004A3F42">
      <w:pPr>
        <w:pStyle w:val="ResourceNumber"/>
      </w:pPr>
      <w:r>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rsidP="007710F6">
      <w:pPr>
        <w:pStyle w:val="CaseHeader"/>
      </w:pPr>
      <w:r>
        <w:t>5 U.S. 137</w:t>
      </w:r>
    </w:p>
    <w:p w14:paraId="34EF4948" w14:textId="77777777" w:rsidR="00874493" w:rsidRDefault="004A3F42" w:rsidP="007710F6">
      <w:pPr>
        <w:pStyle w:val="CaseHeader"/>
      </w:pPr>
      <w:r>
        <w:t>1 Cranch 137</w:t>
      </w:r>
    </w:p>
    <w:p w14:paraId="5ADB1237" w14:textId="77777777" w:rsidR="00874493" w:rsidRDefault="004A3F42" w:rsidP="007710F6">
      <w:pPr>
        <w:pStyle w:val="CaseHeader"/>
      </w:pPr>
      <w:r>
        <w:t>2 L.Ed. 60</w:t>
      </w:r>
    </w:p>
    <w:p w14:paraId="2156B7A0" w14:textId="77777777" w:rsidR="00874493" w:rsidRDefault="004A3F42" w:rsidP="007710F6">
      <w:pPr>
        <w:pStyle w:val="CaseHeader"/>
      </w:pPr>
      <w:r>
        <w:t>WILLIAM MARBURY</w:t>
      </w:r>
    </w:p>
    <w:p w14:paraId="16CF4154" w14:textId="77777777" w:rsidR="00874493" w:rsidRDefault="004A3F42" w:rsidP="007710F6">
      <w:pPr>
        <w:pStyle w:val="CaseHeader"/>
      </w:pPr>
      <w:r>
        <w:t>v.</w:t>
      </w:r>
    </w:p>
    <w:p w14:paraId="280A02F1" w14:textId="77777777" w:rsidR="00874493" w:rsidRDefault="004A3F42" w:rsidP="007710F6">
      <w:pPr>
        <w:pStyle w:val="CaseHeader"/>
      </w:pPr>
      <w:r>
        <w:t>JAMES MADISON, Secretary of State of the United States.</w:t>
      </w:r>
    </w:p>
    <w:p w14:paraId="231F9FB5" w14:textId="77777777" w:rsidR="00874493" w:rsidRDefault="004A3F42" w:rsidP="007710F6">
      <w:pPr>
        <w:pStyle w:val="CaseHead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p>
    <w:p w14:paraId="2373E2B4" w14:textId="6CEDC134" w:rsidR="00874493" w:rsidRDefault="004A3F42">
      <w:pPr>
        <w:pStyle w:val="CaseText"/>
      </w:pPr>
      <w:r>
        <w:t xml:space="preserve">severally moved the court for a rule toJames Madison, secretary of state of the United States, to show cause why a mandamus should not issue commanding him to cause to be delivered to them respectively their several commissions </w:t>
      </w:r>
      <w:r w:rsidR="00D47735" w:rsidRPr="00D47735">
        <w:rPr>
          <w:rStyle w:val="ReplacementText"/>
        </w:rPr>
        <w:t>this is a replacement text.</w:t>
      </w:r>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1. Has the applicant a 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dividing the district into two counties, the eleventh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keep the seal of the United States, 'to make out and record, and affix the said seal to all civil commissions to officers of the United States to be appointed by the president, by and with the consent of the senate, or by the president alone; provided that the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the constitution. The distinction between the appointment and the commission will be rendered more apparent by adverting to that provision in the second section of the second article of the constitution, which authorises congress 'to vest by law the appointment of such inferior officers as they think proper, in the president alone, in the courts of law, or in the heads of departments;' thus contemplating cases where the law may direct the president to commission an officer appointed by the courts or by the heads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president to commission all the officers of the United States, may never have been applied to officers appointed otherwise than by himself, yet it would be difficult to deny the legislative power to apply it to such cases. Of consequence the constitutional distinction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the existence of this distinction, that, if an appointment was to be evidenced by any public act other than the commission, the performance of such public act would create the officer; and if he was not removable at the will of the president, would either give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This is an appointment made by the president, by and with the advice and consent of the senate, and is evidenced by no act but the commission itself. In such a case therefore the commission and the appointment seem inseparable; it being 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act to be done by the president, is the signature of the commission. He has then acted on the advice and consent of the senate to his own nomination. The time for deliberation has then passed. He has decided. His judgment, on the advice and consent of the senate concurring with his nomination, has been made, and the officer is appointed. This appointment is evidenced by an open, unequivocal act; and being the last act required from the person making it, necessarily excludes the idea of its being, so far as it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of appointment has been exercised. And this power has been exercised when the last act, required from the person possessing the power, has been performed. This last act is the signature of the commission. This idea seems to have prevailed with the legislature,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 said seal to all civil commissions to officers of the United States, to be appointed by the president:' 'provided that the said seal shall not be affixed to any commission, before the same shall have been signed by the president of the United States; nor 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 state to conform to the law, and in this he is an officer of the United States, bound to obey the laws. He acts, in this respect, as has been very properly stated at the bar, under the authority of law, and not by the instructions of the president. It is a ministerial act which the law enjoins on a particular officer for a particular purpose.</w:t>
      </w:r>
    </w:p>
    <w:p w14:paraId="3C86857F" w14:textId="77777777" w:rsidR="00874493" w:rsidRDefault="004A3F42">
      <w:pPr>
        <w:pStyle w:val="CaseText"/>
      </w:pPr>
      <w:r>
        <w:t>          If it should be supposed, that the solemnity of affixing the seal, is necessary not only to the validity of the commission, but even to 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the commission is valid. No other solemnity is required by law; no other act is to be performed on the part of government. All that the executive can do 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is founded on the supposition that the commission is not merely evidence of an appointment, but is itself the actual appointment; a supposition by no means unquestionable. But for the purpose of examining this objection fairly, let it be conceded, that the 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 It is not necessary that the livery should be made personally to the grantee of the office: it never is so made. The law would seem to contemplate that it should be made to the secretary of state, since it directs the secretary to affix the seal to the commission after it shall have been signed by the president. If then the act of livery be necessary to give validity to the commission, it has been delivered when executed and given to the secretary for the purpose of being sealed, recorded, and transmitted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 must precede it, and which is the mere act of the president. If the executive required that every person appointed to an office, should himself take means to procure his commission, the appointment would not be the less valid on that account. The appointment is the sole act of the president; the transmission of the commission is the sole act of the officer to whom that duty is assigned, and may be accelerated or retarded by circumstances which can have no influence on the appointment. A commission is transmitted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It may have some tendency to elucidate this point, to inquire, whether the possession of the original commission be indispensably necessary to authorize a person, appointed to any office, to perform the duties of that office. If it was necessary, then a loss of the commission would lose the office. Not only negligence, but accident or fraud, fire or theft, might deprive an individual of his office. In such a case, I presume it could not be doubted, but that a copy from the record of the office of the secretary of state, would be, to every intent and purpose, equal to the original. The act of congress has expressly made it so. To give that copy validity, it would not be necessary to prove that the original had been transmitted and afterwards lost. The copy would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would not affect the operation of the copy. When all the requisites have been performed which authorize a recording officer to record any instrument whatever, and the order for that purpose has been given, the instrument is in law considered as recorded, although the manual labour of inserting it in a book kept for that purpose may not have been performed.</w:t>
      </w:r>
    </w:p>
    <w:p w14:paraId="33ECAAE3" w14:textId="77777777" w:rsidR="00874493" w:rsidRDefault="004A3F42">
      <w:pPr>
        <w:pStyle w:val="CaseText"/>
      </w:pPr>
      <w:r>
        <w:t>          In the case of commissions, the law orders the secretary of state to record them. When therefore they are signed and sealed, the order for their 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public record erase therefrom a commission which has been recorded? Or can he refuse a copy thereof to a person demanding it on the terms prescribed by law?</w:t>
      </w:r>
    </w:p>
    <w:p w14:paraId="4324B07E" w14:textId="77777777" w:rsidR="00874493" w:rsidRDefault="004A3F42">
      <w:pPr>
        <w:pStyle w:val="CaseText"/>
      </w:pPr>
      <w:r>
        <w:t>          Such a copy would, equally with the original, authorize the justice of peace to proceed in 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 is the sole act of the president; the acceptance is the sole act of the officer, and is, in plain common sense, posterior to the appointment. As he may resign, so may he refuse to accept: but neither the one nor the other is capable of rendering the appointment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xml:space="preserve">          The discretion of the executive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And afterwards, page 109 of the same volume, he says, 'I am next to consider such injuries as are cognizable by the courts of common law. And herein I shall for the present only remark, that all possible injuries whatsoever, that did not fall within the exclusive cognizance of either the ecclesiastical, military, or maritime tribunals, are, for that very reason, within the cognizance of the common law courts of justice; for it is a settled and invariable principle in the laws of England, that every right, when withheld, must have a remedy, and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district of Columbia is such an office; it is therefore worthy of the attention and guardianship of the laws. It has received that attention and guardianship. It has been created by special act of congress, and has been secured, so far as the laws can give security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delivering or withholding a commission to be considered as a mere political act belonging to the executive department alone, for the performance of which entire confidence is placed by our constitution in the supreme executive; and for any misconduct respecting which,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 the act concerning invalids, passed in June 1794, the secretary at war is ordered to place on the pension list all persons whose names are contained in a report previously made by him to congress. If he should refuse to do so, would the wounded veteran be without remedy? Is it to be contended that where the law in precise terms directs the performance of an act in which an individual is interested, the law is incapable of securing obedience to its mandate? Is it on account of the character of the person against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Vol. III. p. 255, says, 'but injuries to the rights of property can scarcely be committed by the crown without the intervention of its officers: for whom, the law, in matters of right, entertains no respect or delicacy; but furnishes various methods of detecting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his purchase money, becomes completely entitled to the property purchased; and on producing to the secretary of state the receipt of the treasurer upon a certificate required by the law, the president of the United States is authorized to grant him a patent. It is further enacted that all patents shall be countersigned by the secretary of state, and recorded in his office. If the secretary of state should choose to withhold this patent; or the patent being lost, should refuse a copy of it; can it be imagined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entrusted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14:paraId="2B7D3430" w14:textId="77777777" w:rsidR="00874493" w:rsidRDefault="004A3F42">
      <w:pPr>
        <w:pStyle w:val="CaseText"/>
      </w:pPr>
      <w:r>
        <w:t>          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2. 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particular thing therein specified, which appertains to his office and duty, and which the court has previously determined or at least supposes to be consonant to right and justice.' Or, in the words of Lord Mansfield, the applicant, in this case, has a right to execute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recollected that in 1792 an act passed, directing the secretary at war to place on the pension list such disabled officers and soldiers as should be reported to him by the circuit courts, which act, so far as the duty was imposed on the courts, was deemed unconstitutional;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This law being deemed unconstitutional at the circuits, was repealed, and a different system was established; but the question whether those persons, who had been reported by the judges, as commissioners, were entitled, in consequence of that report, to be placed on the pension list, was a legal question, properly determinable in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When the subject was brought before the court the decision was, not, that a mandamus would not lie to the head of a department, directing him to perform an act, enjoined by law, in the performance of which an individual had a vested interest; but that a mandamus ought not to issue in that case—the decision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considered as affecting the case. It has already been stated that the applicant has, to that commission, a vested legal right, of which the executive cannot deprive him. He has been appointed to an office, from which he is not removable at the will of the executive;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person entitled to it; and cannot be more lawfully withheld by him, than by another person.</w:t>
      </w:r>
    </w:p>
    <w:p w14:paraId="026DF8E4" w14:textId="77777777" w:rsidR="00874493" w:rsidRDefault="004A3F42">
      <w:pPr>
        <w:pStyle w:val="CaseText"/>
      </w:pPr>
      <w:r>
        <w:t>          It was at first doubted whether the action of detinue was not a specific legal remedy for the commission which has been withheld from Mr. Marbury; in which case a mandamus would be improper. But this doubt has yielded to the consideration that the judgment in detinue is for the thing itself, or its value. The value of a public office not to be sold, is incapable of being ascertained;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The act to establish the judicial courts of the United States authorizes the supreme court 'to issue writs of mandamus, in cases warranted 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In the distribution of this power it is declared that 'the supreme court shall have original jurisdiction in all cases affecting ambassadors, other public ministers and consuls, and those in which a state shall be a party. In all other cases, the supreme court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14:paraId="2BC2DAEC" w14:textId="77777777" w:rsidR="00874493" w:rsidRDefault="004A3F42">
      <w:pPr>
        <w:pStyle w:val="CaseText"/>
      </w:pPr>
      <w:r>
        <w:t>          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If the solicitude of the convention, respecting our peace with foreign powers, induced a provision that the supreme court should take original jurisdiction in cases which might be supposed to affect them; yet the clause would have proceeded no further than to provide for such cases, if no further restriction on the powers of congress had been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It is the essential criterion of appellate jurisdiction, that it revises and corrects the proceedings in a cause already instituted, and does not create that case. Although, therefore, a mandamus may be directed to courts, yet to issue such a writ to an officer for the delivery of a paper, is in effect the same as to sustain an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14:paraId="59D0C0C0" w14:textId="77777777" w:rsidR="00874493" w:rsidRDefault="004A3F42">
      <w:pPr>
        <w:pStyle w:val="CaseText"/>
      </w:pPr>
      <w:r>
        <w:t>          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14:paraId="387F66C8" w14:textId="77777777" w:rsidR="00874493" w:rsidRDefault="004A3F42">
      <w:pPr>
        <w:pStyle w:val="CaseText"/>
      </w:pPr>
      <w:r>
        <w:t>          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respective powers. It may either stop here; or establish certain limits not to be transcended by those departments.</w:t>
      </w:r>
    </w:p>
    <w:p w14:paraId="5A79CAEF" w14:textId="77777777" w:rsidR="00874493" w:rsidRDefault="004A3F42">
      <w:pPr>
        <w:pStyle w:val="CaseText"/>
      </w:pPr>
      <w:r>
        <w:t>          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If the former part of the alternative be true, then a legislative 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14:paraId="5051B0ED" w14:textId="77777777" w:rsidR="00874493" w:rsidRDefault="004A3F42">
      <w:pPr>
        <w:pStyle w:val="CaseText"/>
      </w:pPr>
      <w:r>
        <w:t>          If then the courts are to regard the constitution; and he constitution is superior to any ordinary act of the legislature; the 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That it thus reduces to nothing what we have deemed the greatest improvement on political institutions—a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illustrate this subject.</w:t>
      </w:r>
    </w:p>
    <w:p w14:paraId="15FA18D1" w14:textId="77777777" w:rsidR="00874493" w:rsidRDefault="004A3F42">
      <w:pPr>
        <w:pStyle w:val="CaseText"/>
      </w:pPr>
      <w:r>
        <w:t>          It is declared that 'no tax or duty shall be laid on articles exported from any state.' Suppose a duty on the export of cotton, of tobacco, or of flour; and a suit instituted to recover it. Ought judgment to be rendered in 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The oath of office, too, imposed by the legislature, is completely demonstrative of the legislative opinion on this subject. It is in these words: 'I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Why does a 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A pregnant single woman (Roe) brought a class action challenging the constitutionality of the Texas criminal abortion laws, which proscribe procuring or attempting an abortion except on medical advice for the purpose of saving the mother's life. A licensed physician (Hallford), who had two state abortion prosecutions pending against him, was permitted to intervene. A childless married couple (the Does), the wife not being pregnant, separately attacked the laws, basing alleged injury on the future possibilities of contraceptive failure, pregnancy, unpreparedness for parenthood, and impairment of the wife's health. A three-judge District Court, which consolidated the actions, held that Roe and Hallford, and members of their classes, had standing to sue and presented justiciable controversies. Ruling that declaratory, though not injunctive, relief was warranted, the court declared the abortion statutes void as vague and overbroadly infringing those plaintiffs' Ninth and Fourteenth Amendment rights. The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 § 1253 authorizes no direct appeal to this Court from the grant or denial of declaratory relief alone, review is not foreclose when the case is properly before the Court on appeal from specific denial of injunctive relief and the arguments as to both injunctive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(a) Contrary to appellee's contention, the natural termination of Roe's pregnancy did not moot her 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3. State criminal abortion laws, like those involved here, that except from criminality only a life-saving procedure on the mother's behalf without regard to the stage of her pregnancy and other interests involved violate the Due Process Clause of the Fourteenth Amendment, which protects against state action the right to privacy, including a woman's qualified right to terminate her pregnancy. Though the State cannot override that right, it has legitimate interests in protecting both the pregnant woman's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Mr. Justice BLACKMUN delivered the opinion of the Court.</w:t>
      </w:r>
    </w:p>
    <w:p w14:paraId="7EFF7C0D" w14:textId="77777777" w:rsidR="00874493" w:rsidRDefault="004A3F42">
      <w:pPr>
        <w:pStyle w:val="CaseText"/>
      </w:pPr>
      <w:r>
        <w:t>          This Texas federal appeal and its Georgia companion, Doe v. Bolton, 410 U.S. 179, 93 S.Ct. 739, 35 L.Ed.2d 201,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forth in 3 H. Gammel, Laws of Texas 1502 (1898). This was soon modified into language that has remained substantially unchanged to the present time. See Texas Penal Code of 1857, c. 7, Arts. 531-536; G. Paschal, Laws of Texas, Arts. 2192-2197 (1866); Texas Rev.Stat., c. 8, Arts. 536-541 (1879); Texas Rev.Crim.Stat., 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 'neural-chemical' disorder; that her physician had 'advised her to avoid pregnancy until such time as her condition has materially improved' (although a pregnancy at the present time would not present 'a serious risk' 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 'fundamental right of single women and married persons to choose where to have children is protected by the Ninth Amendment, through the Fourteenth Amendment,' 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 314 F.Supp. 1217, 1225 (N.D.Tex.1970).</w:t>
      </w:r>
    </w:p>
    <w:p w14:paraId="177FD5E6" w14:textId="77777777" w:rsidR="00874493" w:rsidRDefault="004A3F42">
      <w:pPr>
        <w:pStyle w:val="CaseText"/>
      </w:pPr>
      <w:r>
        <w:t>          The plaintiffs Roe and Doe and the intervenor Hallford, pursuant to 28 U.S.C. § 1253, have appealed to this Court from that part of the District Court's judgment denying the injunction. The defendant District Attorney has purported to cross-appeal, pursuant to the same statute, from the court's grant of declaratory relief to Roe and Hallford. Both sides also have taken protective appeals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 Our decisions in Mitchell v. Donovan, 398 U.S. 427, 90 S.Ct. 1763, 26 L.Ed.2d 378 (1970), and Gunn v. University Committee, 399 U.S. 383, 90 S.Ct. 2013, 26 L.Ed.2d 684 (1970), are to the effect that § 1253 does not authorize an appeal to this Court from the grant or denial of declaratory relief alone. We conclude, nevertheless, that those decisions do not foreclose our review of both the injunctive and the declaratory aspects of a case of this kind when it is property here, as this one is, on appeal under § 1253 from specific denial of injunctive relief, and the arguments as to both aspects are necessarily identical. See Carter v. Jury Comm'n, 396 U.S. 320, 90 S.Ct. 518, 24 L.Ed.2d 549 (1970); Florida Lime and Avocado Growers, Inc. v. Jacobsen, 362 U.S. 73;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We are next confronted with issues of justiciability, standing, and abstention. Have Roe and the Does established that 'personal stake in the outcome of the controversy,' Baker v. Carr, 369 U.S. 186, 204, 82 S.Ct. 691, 703, 7 L.Ed.2d 663 (1962), that insures that 'the dispute sought to be adjudicated will be presented in an adversary context and in a form historically viewed as capable of judicial resolution,' Flast v. Cohen, 392 U.S. 83, 101, 88 S.Ct. 1942, 1953, 20 L.Ed.2d 947 (1968), and Sierra Club v. Morton, 405 U.S. 727, 732, 92 S.Ct. 1361,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Roe. Despite the use of the pseudonym, no suggestion is made that Roe is a fictitious person. For purposes of her case, we accept as true, and as established, her existence; her pregnant state, as of the inception of her suit in March 1970 and as late as May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that it then presented a case or controversy and that, wholly apart from the class aspects, she, as a pregnant single woman thwarted by the Texas criminal abortion laws, had standing to challenge those statutes. Abele v. Markle, 452 F.2d 1121, 1125 (CA2 1971); Crossen v. Breckenridge, 446 F.2d 833, 8380-839 (CA6 1971); Poe v. Menghini, 339 F.Supp. 986, 990-991 (D.C.Kan. 1972). See Truax v. Raich, 239 U.S. 33, 36 S.Ct. 7, 60 L.Ed. 131 (1951). Indeed, we do not read the appellee's brief as really asserting anything to the contrary. The 'logical nexus between the status asserted and the claim sought to be adjudicated,' Flast v. Cohen, 392 U.S., at 102, 88 S.Ct., at 1953, and the necessary degree of contentiousness, Golden v. Zwickler, 394 U.S. 103, 89 S.Ct. 956,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stages of appellate or certiorari review, and not simply at the date the action is initiated. United States v. Munsingwear, Inc., 340 U.S. 36, 71 S.Ct. 104, 95 L.Ed. 36 (1950); Golden v. Zwickler, supra; SEC v. Medical Committee for Human Rights, 404 U.S. 403,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complete. If that termination makes a case moot, pregnancy litigation seldom will survive much beyond the trial stage, and appellate review will be effectively denied. Our law should not be that rigid. Pregnancy often comes more than once to the same woman, and in the general population, if man is to survive, it will always be with us. Pregnancy provides a classic justification for a conclusion of nonmootness. It truly could be 'capable of repetition, yet evading review.' Southern Pacific Terminal Co. v. ICC, 219 U.S. 498, 515, 31 S.Ct. 279, 283, 55 L.Ed. 310 (1911). See Moore v. Ogilvie, 394 U.S. 814, 816, 89 S.Ct. 1493, 1494, 23 L.Ed.2d 1 (1969); Carroll v. President and Commissioners of Princess Anne, 393 U.S. 175, 178-179, 89 S.Ct. 347, 350, 351, 21 L.Ed.2d 325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federal court, declaratory and injunctive relief with respect to the same statutes under which he stands charged in criminal prosecutions simultaneously pending in state court. Although he stated that he has been arrested in the past for violating the State's abortion laws, he makes no allegation of any substantial and immediate threat to any federally protected right that cannot be asserted in his defense against the state prosecutions. Neither is there any allegation of harassment or bad-faith prosecution. In order to escape the rule articulated in the cases cited in the next paragraph of this opinion that, absent harassment and bad faith, a defendant in a pending state criminal case cannot affirmatively challenge in federal court the statutes under which 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 Our decision in Samuels v. Mackell, 401 U.S. 66, 91 S.Ct. 764, 27 L.Ed.2d 688 (1971), compels the conclusion that the District Court erred when it granted declaratory relief to Dr. Hallford instead of refraining from so doing. The court, of course, was correct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Harris, 401 U.S. 37, 91 S.Ct. 746, 27 L.Ed.2d 669 (1971); Boyle v. Landry, 401 U.S. 77, 91 S.Ct. 758, 27 L.Ed.2d 696 (1971); Perez v. Ledesma, 401 U.S. 82, 91 S.Ct. 674, 27 L.Ed.2d 701 (1971); and Byrne v. Karalexis, 401 U.S. 216, 91 S.Ct. 777, 27 L.Ed.2d 792 (1971). See also Dombrowski v. Pfister, 380 U.S. 479, 85 S.Ct.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Their pleadings present them as a childless married couple, the woman not being pregnant, who have no desire to have children at this time because of their having received medical advice that Mrs. Doe should avoid pregnancy, and for 'other highly personal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the prospect of obtaining an illegal abortion there or of going outside Texas to some place where the procedure could be obtained legally and competently.</w:t>
      </w:r>
    </w:p>
    <w:p w14:paraId="1BF2BEE1" w14:textId="77777777" w:rsidR="00874493" w:rsidRDefault="004A3F42">
      <w:pPr>
        <w:pStyle w:val="CaseText"/>
      </w:pPr>
      <w:r>
        <w:t>          We thus have as plaintiffs a married couple who have, as their asserted immediate and present injury, only an alleged 'detrimental effect upon (their) marital happiness' because they are forced to 'the choice of refraining from normal sexual relations or of endangering Mary Doe's health through a possible pregnancy.' 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very phrasing of the Does' position reveals its speculative character. Their alleged injury rests on possible future contraceptive failure, possible future pregnancy, possible future unpreparedness for parenthood, and possible future impairment of health. Any one or more of these several possibilities may not take place and all may not combine. In the Does' estimation, these possibilities might have some real or imagined impact upon their marital happiness. But we are not prepared to say that the bare allegation of so indirect an injury is sufficient to present an actual case or controversy. Younger v. Harris, 401 U.S., at 41-42, 91 S.Ct., at 749; Golden v. Zwickler, 394 U.S., at 109-110, 89 S.Ct., at 960; Abele v. Markle, 452 F.2d, at 1124-1125; Crossen v. Breckenridge, 446 F.2d, at 839. The Does' claim falls far short of those resolved otherwise in the cases that the Does urge upon us, namely, investment Co. Institute v. Camp, 401 U.S. 617, 91 S.Ct. 1091, 28 L.Ed.2d 367 (1971); Association of Data Processing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improperly invade a right, said to be possessed by the pregnant woman, to choose to terminate her pregnancy. Appellant would discover this right in the concept of personal 'liberty' embodied in the Fourteenth Amendment's Due Process Clause; or in personal marital, familial, and sexual privacy said to be protected by the Bill of Rights or its penumbras, see Griswold v. Connecticut, 381 U.S. 479, 85 S.Ct. 1678, 14 L.Ed.2d 510 (1965); Eisenstadt v. Baird, 405 U.S. 438 (1972); id., at 460, 92 S.Ct. 1029, at 1042, 31 L.Ed.2d 349 (White, J., concurring in result); or among those rights reserved to the people by the Ninth Amendment, Griswold v. Connecticut, 381 U.S., at 486, 85 S.Ct., at 1682 (Goldberg, J., concurring). Before addressing this claim, we feel it desirable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 the father's right to his offspring. Ancient religion did not bar abortion.</w:t>
      </w:r>
      <w:r>
        <w:rPr>
          <w:vertAlign w:val="superscript"/>
        </w:rPr>
        <w:t>12</w:t>
      </w:r>
    </w:p>
    <w:p w14:paraId="0805747B" w14:textId="77777777" w:rsidR="00874493" w:rsidRDefault="004A3F42">
      <w:pPr>
        <w:pStyle w:val="CaseText"/>
      </w:pPr>
      <w:r>
        <w:t>          2. The Hippocratic Oath. What then of the famous Oath that has stood so long as the ethical guide of the medical profession and that bears the name of the great Greek (460(?)-377(?)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of philosophers frowned upon the related act of suicide. Most Greek thinkers, on the other hand, commended abortion, at least prior to viability. See Plato, Republic, V, 461; Aristotle, Politics, VII, 1335b 25. For the Pythagoreans, however, it was a matter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abortion became common. The Oath came to be popular. The emerging teachings of Christianity were in agreement with the Phthagorean ethic. The Oath 'became the nucleus of all medical ethics' and 'was applauded as the embodiment of truth.' Thus, suggests Dr. 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of abortion before quickening, and thus preserved the 'quickening' distinction. This contrast was continued in the general revision of 1828, 9 Geo. 4, c. 31, § 13. It disappeared, however, together with the death penalty, in 1837, 7 Will. 4 &amp; 1 Vict., c. 85, § 6, and did not reappear in the Offenses Against the Person Act of 1861, 24 &amp; 25 Vict., c. 100, § 59, that formed the core of English anti-abortion law until the liberalizing reforms of 1967. In 1929, the Infant Life (Preservation) Act, 19 &amp; 20 Geo. 5, 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Bourne, (1939) 1 K.B. 687.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 'the case where a child is killed by a willful act at the time when it is being delivered in the ordinary course of nature.' Id., at 691. He concluded that the 1861 Act's use of the word 'unlawfully,' imported the same meaning expressed by the specific proviso in the 1929 Act, even though there was no mention of preserving the mother's life in the 1861 Act. He then construed the phrase 'preserving the life of the mother' broadly, that is, 'in a reasonable sense,' to include a serious and permanent threat to the mother's health, and instructed the jury to acquit Dr. Bourne if it found he had acted in a good-faith belief that the abortion was necessary for this purpose. Id., at 693-694. 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continuance of the pregnancy would involve risk to the life of the pregnant woman, or of injury to the physical or mental health of the pregnant woman or any existing children of her family, greater than if the pregnancy were terminated,' or (b) 'that there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to be seriously handicapped.' The Act also provides that, in making this determination, 'account may be taken of the pregnant woman's actual or reasonably foreseeable environment.' It also permits a physician, without the concurrence of others, to terminate a pregnancy where he is of the good-faith opinion that the abortion 'is immediately necessary to save the life or to prevent grave permanent injury to the physical or mental health of the pregnant woman.'</w:t>
      </w:r>
    </w:p>
    <w:p w14:paraId="42C1DC97" w14:textId="77777777" w:rsidR="00874493" w:rsidRDefault="004A3F42">
      <w:pPr>
        <w:pStyle w:val="CaseText"/>
      </w:pPr>
      <w:r>
        <w:t>          5. The American law. In this country, the law in effect in all but a few States until mid-19th century was the pre-existing English common law. Connecticut, the first State 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73-78 (1859), to the Twelfth Annual Meeting. That report observed that the Committee had been appointed to investigate criminal abortion 'with a view to its general suppression.' It deplored abortion and its frequency and it listed three causes of 'this general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'The second 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Am.Med.Assn. 258 (1871). It proffered resolutions, adopted by the Association, id., at 38-39, recommending, among other things, that it 'be unlawful and unprofessional for any physician to induce abortion or premature labor, without the concurrent opinion of at least one respectable consulting physician, and then always with a view to the safety of the child-if that be possible,'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1A16BBB2" w14:textId="77777777" w:rsidR="00874493" w:rsidRDefault="004A3F42">
      <w:pPr>
        <w:pStyle w:val="CaseText"/>
      </w:pPr>
      <w:r>
        <w:t>          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June 25, 1970,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 difficulties than an office or clinic without such resources. . . . The factor of gestational age is of overriding importance.' Thus, it was recommended that abortions in the second trimester and early abortions in the presence of existing medical complications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acceptable alternative 'provided arrangements exist in advance to admit patients promptly if unforeseen complications develop.' Standards for an abortion facility were listed. It was said that at present abortions should be performed by physicians or osteopaths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 'abortion mills' 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14:paraId="1FFB1B37" w14:textId="77777777" w:rsidR="00874493" w:rsidRDefault="004A3F42">
      <w:pPr>
        <w:pStyle w:val="CaseText"/>
      </w:pPr>
      <w:r>
        <w:t xml:space="preserve">          The third reason is the State's interest-some phrase it in terms of duty-in protecting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The Constitution does not explicitly mention any right of privacy. In a line of decisions, however, going back perhaps as far as Union Pacific R. Co. v. Botsford, 141 U.S. 250, 251, 11 S.Ct. 1000, 1001, 35 L.Ed. 734 (1891), the Court has recognized that a right of personal privacy, or a guarantee of certain areas or zones of privacy, does exist under the Constitution. In varying contexts, the Court or individual Justices have, indeed, found at least the roots of that right in the First Amendment, Stanley v. Georgia, 394 U.S. 557, 564, 89 S.Ct. 1243, 1247, 22 L.Ed.2d 542 (1969); in the Fourth and Fifth Amendments, Terry v. Ohio, 392 U.S. 1, 8-9, 88 S.Ct. 1868, 1872-1873, 20 L.Ed.2d 889 (1968), Katz v. United States, 389 U.S. 347, 350, 88 S.Ct. 507, 510, 19 L.Ed.2d 576 (1967); Boyd v. United States, 116 U.S. 616, 6 S.Ct. 524, 29 L.Ed. 746 (1886), see Olmstead v. United States, 277 U.S. 438, 478, 48 S.Ct. 564, 572, 72 L.Ed. 944 (1928) (Brandeis, J., dissenting); in the penumbras of the Bill of Rights, Griswold v. Connecticut, 381 U.S., at 484-485, 85 S.Ct., at 1681-1682; in the Ninth Amendment, id., at 486, 85 S.Ct. at 1682 (Goldberg, J., concurring); or in the concept of liberty guaranteed by the first section of the Fourteenth Amendment, see Meyer v. Nebraska, 262 U.S. 390, 399, 43 S.Ct. 625, 626, 67 L.Ed. 1042 (1923). These decisions make it clear that only personal rights that can be deemed 'fundamental' or 'implicit in the concept of ordered liberty,' Palko v. Connecticut, 302 U.S. 319, 325, 58 S.Ct. 149, 152, 82 L.Ed. 288 (1937), are included in this guarantee of personal privacy. They also make it clear that the right has some extension to activities relating to marriage, Loving v. Virginia, 388 U.S. 1, 12, 87 S.Ct. 1817, 1823, 18 L.Ed.2d 1010 (1967); procreation, Skinner v. Oklahoma, 316 U.S. 535, 541-542, 62 S.Ct. 1110, 1113-1114,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197 U.S. 11, 25 S.Ct.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Abele v. Markle, 342 F.Supp. 800 (D.C.Conn.1972), appeal docketed, No. 72-56; Abele v. Markle, 351 F.Supp. 224 (D.C.Conn.1972), appeal docketed, No. 72-730; Doe v. Bolton, 319 F.Supp. 1048 (N.D.Ga.1970), appeal decided today, 410 U.S. 179, 93 S.Ct. 739, 35 L.Ed.2d 201; Doe v. Scott, 321 F.Supp. 1385 (N.D.Ill.1971), appeal docketed, No. 70-105; Poe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310 F.Supp. 293 (E.D.Wis.1970), appeal dismissed, 400 U.S. 1, 91 S.Ct. 12, 27 L.Ed.2d 1 (1970); People v. Belous, 71 Cal.2d 954, 80 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appeal docketed, No. 72-256; Rosen v. Louisiana State Board of Medical Examiners, 318 F.Supp. 1217 (E.D.La.1970), appeal docketed, No. 70-42; Corkey v. Edwards, 322 F.Supp. 1248 (W.D.N.C.1971), appeal docketed, No. 71-92; Steinberg v. Brown, 321 F.Supp. 741 (N.D.Ohio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these rights may be justified only by a 'compelling state interest,' Kramer v. Union Free School District, 395 U.S. 621, 627, 89 S.Ct. 1886, 1890, 23 L.Ed.2d 583 (1969); Shapiro v. Thompson, 394 U.S. 618, 634, 89 S.Ct. 1322, 1331, 22 L.Ed.2d 600 (1969); Sherbert v. Verner, 374 U.S. 398, 406, 83 S.Ct. 1790, 1795, 10 L.Ed.2d 965 (1963), and that legislative enactments must be narrowly drawn to express only the legitimate state interests at stake. Griswold v. Connecticut, 381 U.S., at 485, 85 S.Ct., at 1682; Aptheker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The District Court held that the appellee failed to meet his burden of demonstrating that the Texas statute's infringement upon Roe's rights was necessary to support a compelling state interest, and that, although the appellee presented 'several compelling justifications for state presence in the area of abortions,' the statutes outstripped these justifications and swept 'far beyond any areas of compelling state interest.' 314 F.Supp., at 1222-1223. 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three references to 'person.' The first, in defining 'citizens,' speaks of 'persons born or naturalized in the United States.' The word also appears both in the Due Process Clause and in the Equal Protection Clause. 'Person' is used in other places in the Constitution: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 340 F.Supp. 751 (W.D.Pa.1972); Byrn v. New York City Health &amp; Hospitals Corp., 31 N.Y.2d 194, 335 N.Y.S.2d 390, 286 N.E.2d 887 (1972), appeal docketed, No. 72-434; Abele v. Markle, 351 F.Supp. 224 (D.C.Conn.1972), appeal docketed, No. 72-730. Cf. Cheaney v. State, Ind., 285 N.E.2d, at 270; Montana v. Rogers, 278 F.2d 68, 72 (CA7 1960), aff'd sub nom. Montana v. Kennedy, 366 U.S. 308, 81 S.Ct. 1336, 6 L.Ed.2d 313 (1961); Keeler v. Superior Court, 2 Cal.3d 619, 87 Cal.Rptr. 481, 470 P.2d 617 (1970); State v.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Illustrated Medical Dictionary 478-479, 547 (24th ed. 1965).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It should be sufficient to note briefly the wide divergence 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 'process' over time, rather than an 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endorse any theory that life, as we recognize it, begins before life birth or to accord legal rights to the unborn except in narrowly defined situations and except when the rights are contingent upon life birth. For example, the traditional rule of tort law denied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With respect to the State's important and legitimate interest in the health of the mother, the 'compelling' point, in the light of present medical knowledge, is at approximately the end of the first trimester. This is so because of the now-established medical fact, referred to above at 149,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This means, on the other hand, that, for the period of pregnancy prior to this 'compelling' 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against these standards, Art. 1196 of the Texas Penal Code, in restricting legal abortions to those 'procured or attempted by medical advice for the purpose of saving the life of the mother,' sweeps too broadly. The statute makes no distinction between abortions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considered. That opinion and this one, of course, are to be read together.</w:t>
      </w:r>
      <w:r>
        <w:rPr>
          <w:vertAlign w:val="superscript"/>
        </w:rPr>
        <w:t>67</w:t>
      </w:r>
    </w:p>
    <w:p w14:paraId="04E3A99C" w14:textId="77777777" w:rsidR="00874493" w:rsidRDefault="004A3F42">
      <w:pPr>
        <w:pStyle w:val="CaseText"/>
      </w:pPr>
      <w:r>
        <w:t>          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injunction against enforcement of the Texas statutes. The Court has recognized that different considerations enter into a federal court's decision as to declaratory relief, on the one hand, and injunctive relief, on the other. Zwickler v. Koota, 389 U.S 241, 252-255, 88 S.Ct. 391, 397-399, 19 L.Ed.2d 444 (1967); Dombrowski v. Pfister, 380 U.S. 479, 85 S.Ct. 1116, 14 L.Ed.2d 22 (1965). We are not dealing with a statute that, on its face, appears to abridge free expression, an area of particular concern under Dombrowski and refined in Younger v. Harris, 401 U.S., at 50, 91 S.Ct., at 753.</w:t>
      </w:r>
    </w:p>
    <w:p w14:paraId="1C82368A" w14:textId="77777777" w:rsidR="00874493" w:rsidRDefault="004A3F42">
      <w:pPr>
        <w:pStyle w:val="CaseText"/>
      </w:pPr>
      <w:r>
        <w:t>          We find it unnecessary to decide whether the District Court erred in withholding injunctive relief, for we assume the Texas prosecutorial authorities will give full credence to this decision that the present criminal abortion statutes of that State are unconstitutional.</w:t>
      </w:r>
    </w:p>
    <w:p w14:paraId="4A7302FB" w14:textId="77777777" w:rsidR="00874493" w:rsidRDefault="004A3F42">
      <w:pPr>
        <w:pStyle w:val="CaseText"/>
      </w:pPr>
      <w:r>
        <w:t>          The judgment of the District Court as to intervenor Hallford is reversed, and Dr. Hallford's complaint in intervention is dismissed. In all 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In 1963, this Court, in Ferguson v. Skrupa, 372 U.S. 726, 83 S.Ct. 1028, 10 L.Ed.2d 93, purported to sound the death knell for the doctrine of substantive due process, a doctrine under which many state laws had in the past been held to violate the Fourteenth Amendment. As Mr. Justice Black's opinion for the Court in Skrupa put it: 'We have returned to the original constitutional proposition that courts do not substitute their social and economic beliefs for the judgment of legislative bodies, who are elected to pass laws.'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Skrupa, the Court's opinion in Griswold understandably did its best to avoid reliance on the Due Process Clause of the Fourteenth Amendment as the ground for decision. Yet, the Connecticut law did not violate any provision of the Bill of Rights, nor any other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to me then, and it is equally clear to me now, that the Griswold decision can be rationally understood only as a holding that the 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process, and I now accept it as such.</w:t>
      </w:r>
    </w:p>
    <w:p w14:paraId="3B15DB19" w14:textId="77777777" w:rsidR="00874493" w:rsidRDefault="004A3F42">
      <w:pPr>
        <w:pStyle w:val="CaseText"/>
      </w:pPr>
      <w:r>
        <w:t>          'In a Constitution for a free people, there can be no doubt that the meaning of 'liberty' must be broad indeed.' Board of Regents v. Roth, 408 U.S. 564, 572, 92 S.Ct. 2701, 2707, 33 L.Ed.2d 548. The Constitution nowhere mentions a specific right of personal choice in matters of marriage and family life, but the 'liberty' protected by the Due Process Clause of the Fourteenth Amendment covers more than those freedoms explicitly named in the Bill of Rights. See Schware v. Board of Bar Examiners, 353 U.S. 232, 238-239, 77 S.Ct. 752, 755-756, 1 L.Ed.2d 796; Pierce v. Society of Sisters, 268 U.S. 510, 534-535, 45 S.Ct. 571, 573-574, 69 L.Ed. 1070; Meyer v. Nebraska, 262 U.S. 390, 399-400, 43 S.Ct. 625, 626-627, 67 L.Ed. 1042. Cf. Shapiro v. Thompson, 394 U.S. 618, 629-630, 89 S.Ct. 1322, 1328-1329, 22 L.Ed.2d 600; United States v. Guest, 383 U.S. 745, 757-758, 86 S.Ct. 1170, 1177-1178, 16 L.Ed.2d 239; Carrington v. Rash, 380 U.S. 89, 96, 85 S.Ct. 775, 780, 13 L.Ed.2d 675; Aptheker v. Secretary of State, 378 U.S. 500, 505, 84 S.Ct. 1659, 1663, 12 L.Ed.2d 992; Kent v. Dulles, 357 U.S. 116, 127, 78 S.Ct. 1113, 1118, 2 L.Ed.2d 1204; Bolling v. Sharpe, 347 U.S. 497, 499-500, 74 S.Ct. 693, 694-695, 98 L.Ed. 884; Truax v. Raich, 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elsewhere provided in the Constitution. This 'liberty' is not a series of isolated points priced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 . . and which also recognizes, what a reasonable and sensitive judgment must, that certain interests require particularly careful scrutiny of the state needs asserted to justify their abridgment.' Poe v. Ullman, 367 U.S. 497, 543, 81 S.Ct. 1752, 1776, 6 L.Ed.2d 989 (opinion dissenting from dismissal of appeal) (citations omitted). In the words of Mr. Justice Frankfurter, 'Great concepts like . . . 'liberty' . . . were purposely left to gather meaning from experience. For they relate to the whole domain of social and economic fact, and the statesmen who founded this Nation knew too well that only a stagnant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of marriage and family life is one of the liberties protected by the Due Process Clause of the Fourteenth Amendment. Loving v. Virginia, 388 U.S. 1, 12, 87 S.Ct. 1817, 1823, 18 L.Ed.2d 1010; Griswold v. Connecticut, supra; Pierce v. Society of Sisters, supra; Meyer v. Nebraska, supra. See also Prince v. Massachusetts, 321 U.S. 158, 166, 64 S.Ct. 438, 442, 88 L.Ed. 645; Skinner v. Oklahoma, 316 U.S. 535, 541, 62 S.Ct. 1110, 1113, 86 L.Ed. 1655. As recently as last Term, in Eisenstadt v. Baird, 405 U.S. 438, 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 child.' That right necessarily includes the right of a woman to decide whether or not to terminate her pregnancy. 'Certainly the interests of a woman in giving of her physical and emotional self during pregnancy and the interests that will be affected throughout her life by the birth and raising of a child are of a far greater degree of significance and personal intimacy than the right to send a child to private school protected in Pierce v. Society of Sisters, 268 U.S. 510, 45 S.Ct. 571, 69 L.Ed. 1070 (1925),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imagine a more complete abridgment of a constitutional freedom than that worked by the inflexible criminal statute now in force in Texas. The question then becomes whether the state interests advanced to justify this abridgment can survive the 'particularly careful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 amply sufficient to permit a State to regulate abortions as it does other surgical procedures, and perhaps sufficient to permit a State to regulate abortions more stringently or even to prohibit them in the late stages of pregnancy. But such legislation 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The Court's opinion brings to the decision of this troubling question 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 who was in her first trimester of pregnancy at some time during the pendency of her lawsuit. While a party may vindicate his own constitutional rights, he may not seek vindication for the rights of others. Moose Lodge No. 107 v. Irvis, 407 U.S. 163, 92 S.Ct. 1965, 32 L.Ed.2d 627 (1972); Sierra Club v. Morton, 405 U.S. 727, 92 S.Ct. 1361, 31 L.Ed.2d 636 (1972). The Court's statement of facts in this case makes clear, however, that the record in no way indicates the presence of such a plaintiff. We know only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virtually no restrictions on medical abortions performed during the first trimester of pregnancy. In deciding such a hypothetical lawsuit, the Court departs from the longstanding admonition that it should never 'formulate a rule of constitutional law broader than is required by the precise facts to which it is to be applied.' Liverpool, New York &amp; Philadelphia S.S. Co. v. Commissioners of Emigration, 113 U.S. 33, 39, 5 S.Ct. 352, 355, 28 L.Ed. 899 (1885). See also Ashwander v. TVA, 297 U.S. 288, 345, 56 S.Ct.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difficulty in concluding, as the Court does, that the right of 'privacy' is involved in this case. Texas, by the statute here challenged, bars the performance of a medical abortion by a licensed physician on a plaintiff such as Roe. A transaction resulting in an operation such as this is not 'private' in the ordinary usage of that word. Nor is the 'privacy' that the Court finds here even a distant relative of the freedom from searches and seizures protected by the Fourth Amendment to the Constitution, which the Court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regulation of consensual transactions may be a form of 'liberty' protected by the Fourteenth Amendment, there is no doubt that similar claims have been upheld in our earlier decisions on the basis of that liberty. I agree with the statement of Mr. Justice STEWART in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deprivation, only against deprivation without due process of law. The test traditionally applied in the area of social and economic legislation is whether or not a law such as that challenged has a rational relation to a valid state objective. Williamson v. Lee Optical Co., 348 U.S. 483, 491, 75 S.Ct. 461, 466, 99 L.Ed. 563 (1955). The Due Process Clause of the Fourteenth Amendment undoubtedly does place a limit, albeit a broad one, on legislative power to enact laws such as this. If the Texas statute were to prohibit an abortion even where the mother's life is in jeopardy, I have little doubt that such a statute would lack a rational relation to a valid state objective under the test stated in Williamson, supra. But the Court's sweeping invalidation of any restrictions on abortion during the first trimester is impossible to justify under that standard, and the conscious weighing of competing factors that the Court's opinion apparently substitutes for the established test is far more appropriate to a legislative judgment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(1972) (dissenting opinion). But the Court adds a new wrinkle to this test by transposing it from the legal considerations associated with the Equal Protection Clause of the Fourteenth Amendment to this case arising under the Due Process Clause of the Fourteenth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Peckham in that case. As in Lochner and similar cases applying substantive due process standards to economic and social welfare legislation, the adoption of the compelling state interest standard will inevitably require this Court to examine the legislative policies and pass on the wisdom of these policies in the very process of deciding whether a particular state interest put forward may or may not be 'compelling.' The decision here to break pregnancy into three distinct terms and to outline the permissible restrictions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The fact that a majority of the States reflecting, after all the majority sentiment in those States, have had restrictions on abortions for at least a century is a strong indication, it seems to me, that the asserted right to an abortion is not 'so rooted in the traditions and conscience of our people as to be ranked as fundamental,' Snyder v. Massachusetts, 291 U.S. 97, 105, 54 S.Ct. 330, 332, 78 L.Ed. 674 (1934). Even today, when society's views on abortion are changing, the very existence of the debate is evidence that the 'right' to an abortion is not so universally accepted as the appellant would have us believe.</w:t>
      </w:r>
    </w:p>
    <w:p w14:paraId="518E45C5" w14:textId="77777777" w:rsidR="00874493" w:rsidRDefault="004A3F42">
      <w:pPr>
        <w:pStyle w:val="CaseText"/>
      </w:pPr>
      <w:r>
        <w:t>          To reach its result, the Court necessarily has had to find within the Scope of the Fourteenth Amendment a right that was apparently 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of the other state statutes when the Fourteenth Amendment was adopted. The only conclusion possible from this history is that the drafters did not intend to have the Fourteenth Amendment withdraw from the States the power to legislate with respect to this 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difficult to justify. The Texas statute is struck down in toto, even though the Court apparently concedes that at later periods of pregnancy Texas might impose these selfsame statutory limitations on abortion. My understanding of past practice is that a statute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pregnant woman or knowingly procure to be administered with her consent any drug or medicine, or shall use towards her any violence or means whatever externally or internally applied, and thereby procure an abortion, he shall be confined in the penitentiary 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'Whoever shall during parturition of the mother destroy the 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Conn.Pub.Act No. 1 (May 1972 special session) (in 4 Conn.Leg.Serv. 677 (1972)), and Conn.Gen.Stat.Rev. §§ 53-29, 53-30 (1968) (or unborn child); Idaho Code § 18-601 (1948); Ill.Rev.Stat., c. 38, § 21-1 (1971); Ind.Code § 35-1-58-1 (1971); Iowa Code § 701.1 (1971); Ky.Rev.Stat. § 436.020 (1962); LaRev.Stat. § 37:1285(6) (1964) (loss of medical license) (but see § 14-87 (Supp.1972) containing no exception for the life of the mother under the criminal statute); Me.Rev.Stat.Ann., Tit. 17, § 51 (1964); Mass.Gen.Laws Ann., c. 272, § 19 (1970) (using the term 'unlawfully,' construed to exclude an abortion to save the mother's life, Kudish v. Bd. of Registration, 356 Mass. 98, 248 N.E.2d 264 (1969)); Mich.Comp.Laws § 750.14 (1948); Minn.Stat. § 617.18 (1971); Mo.Rev.Stat. § 559.100 (1969); Mont.Rev.Codes Ann. § 94-401 (1969); Neb.Rev.Stat. § 28-405 (1964); Nev.Rev.Stat. § 200.220 (1967); N.H.Rev.Stat.Ann. § 585:13 (1955); N.J.Stat.Ann. § 2A:87-1 (1969) ('without lawful justification'); N.D.Cent.Code §§ 12-25-01, 12-25-02 (1960); Ohio Rev.Code Ann. § 2901.16 (1953); Okla.Stat.Ann., Tit. 21, § 861 (1972-1973 Supp.); Pa.Stat.Ann., Tit. 18, §§ 4718, 4719 (1963) ('unlawful'); R.I.Gen.Laws Ann. § 11-3-1 (1969); S.D.Comp.Laws Ann. § 22-17-1 (1967); Tenn.Code Ann. §§ 39-301, 39-302 (1956);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unconstitutionally vague because of definitional deficiencies. The Texas Court of Criminal Appeals disposed of that suggestion peremptorily, saying only,</w:t>
      </w:r>
    </w:p>
    <w:p w14:paraId="0E82AE08" w14:textId="77777777" w:rsidR="00874493" w:rsidRDefault="004A3F42">
      <w:pPr>
        <w:pStyle w:val="CaseText"/>
      </w:pPr>
      <w:r>
        <w:t>'It is also insisted in the motion in arrest of judgment that 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court recently has held again that the State's abortion statutes are not unconstitutionally vague or overbroad. Thompson v. State, 493 S.W.2d 913 (1971), appeal docketed, No. 71-1200. The court held that 'the State of Texas has a compelling interest to protect fetal life'; that Art. 1191 'is designed to protect fetal life'; that the Texas homicide statutes, particularly Act. 1205 of the Penal Code, are intended to protect a person 'in existence by actual birth' and thereby implicitly recognize other human life that is not 'in existence by actual birth'; that the definition of human life is for the legislature and not the courts; that Art. 11196 'is more definite that the District of Columbia statute upheld in (United States v.) Vuitch' (402 U.S. 62, 91 S.Ct. 1294, 28 L.Ed.2d 601); and that the Texas statute 'is not vague and indefinite or overbroad.' A physician's abortion conviction was affirmed.</w:t>
      </w:r>
    </w:p>
    <w:p w14:paraId="2EE13E59" w14:textId="77777777" w:rsidR="00874493" w:rsidRDefault="004A3F42">
      <w:pPr>
        <w:pStyle w:val="CaseText"/>
      </w:pPr>
      <w:r>
        <w:t>In 493 S.W.2d, at 920 n. 2, the court observed that any issue as to the burden of proof under the exemption of Art. 1196 'is not before us.' But see Veevers v. State, 172 Tex.Cr.R. 162, 168-169, 354 S.W.2d 161, 166-167 (1962). Cf. United States v. Vuitch, 402 U.S. 62, 69-71, 91 S.Ct. 1294, 1298-1299, 28 L.Ed.2d 601 (1971).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reference to any class apart from an allegation that he 'and others similarly situated' must necessarily guess at the meaning of Art. 1196. His application for leave to intervene goes somewhat further, for it asserts that plaintiff Roe does not adequately protect the interest of the doctor 'and the class of people who are physicians . . . (and) the class of people who are . . . patients . . ..' The leave application, however, is not the complaint.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Law 37, 38-40 (D. Smith ed. 1967); G. Williams, The Sanctity of Life and the Criminal Law 148 (1957) (hereinafter Williams); J. Noonan, An Almost Absolute Value in History, in The Morality of Abortion 1, 3-7 (J. Noonan ed. 1970) (hereinafter Noonan); Quay, 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Institutes III *50; 1 W. Hawkins, Pleas of the Crown, c. 31, § 16 (4th ed. 1762); 1 W. Blackstone, Commentaries *129-130; M. Hale, Pleas of the Crown 433 (1st Amer. ed. 1847). For discussions of the role of the quickening concept in English common law, see Lader 78; Noonan 223-226; Means, The Law of New York Concerning Abortion and the Status of the Foetus, 1664- 1968: A Case of Cessation of Constitutionality (pt. 1), 14 N.Y.L.F. 411, 418-428 (1968) (hereinafter Means I); Stern, Abortion: Reform and the Law, 59 J.Crim.L.C.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2.3.736, 2.5.741; Hippocrates, Lib. de Nat.Puer., No. 10. Aristotle's thinking derived from his three-stage theory of life: vegetable, animal, rational. The vegetable stage was reached at conception,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distinction between embryo inanimatus, not yet endowed with a soul, and embryo animatus. He may have drawn upon Exodus 21:22. At one point, however, he expressed the view that human powers cannot determine the point during fetal development at which the critical change occurs. See Augustine, De Origine Animae 4.4 (Pub.Law 44.527). See also W. Reany, The Creation of the Human Soul, c. 2 and 83-86 (1932); Huser, The Crime of Abortion in Canon Law 15 (Catholic Univ. of America, Canon Law Studies No. 162, Washington, D.C.,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 foetus be already formed and animated, and particularly if it be animated.' 2 H. Bracton, De Legibus et Consuetudinibus Angliae 279 (T. Twiss ed. 1879), or, as a later translation puts it, 'if the foetus is already formed or quickened, especially if it is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The Phoenix of Abortional Freedom: Is a Penumbral or Ninth-Amendment Right About to Arise from the Nineteenth-Century Legislative Ashes of a Fourteenth-Century Common-Law Liberty?, 17 N.Y.L.F. 335 (1971) (hereinafter Means II). The author examines the two principal precedents cited marginally by Coke, both contrary to his dictum, and traces the treatment of these and other cases by earlier commentators. He concludes that Coke, who himself participated as an advocate in an abortion case in 1601, may have intentionally misstated the law. The author even suggests a reason: Coke's strong feelings against abortion, coupled with his determination to assert common-law (secular) jurisdiction to assess penalties for an offense that traditionally had been an exclusively ecclesiastical or canon-law crime. See also Lader 78-79, who notes that some scholars doubt that the common law ever was applied to abortion; that the English ecclesiastical courts seem to have lost interest in the problem after 1527; and that the preamble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Commonwealth, 78 Ky. 204, 210 (1879); Eggart v. State, 40 Fla. 527, 532, 25 So. 144, 145 (1898); State v. Alcorn, 7 Idaho 599, 606, 64 P. 1014, 1016 (1901); Edwards v. State, 79 Neb. 251, 252, 112 N.W. 611, 612 (1907); Gray v. State, 77 Tex.Cr.R. 221, 224, 178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41-310 (Supp.1971); Calif. Health &amp; Safety Code §§ 25950-25955.5 (Supp.1972); Colo.Rev.Stat.Ann. §§ 40-2-50 to 40-2-53 (Cum.Supp.1967); Del.Code Ann., Tit. 24, §§ 1790-1793 (Supp.1972); Florida Law of Apr. 13, 1972, c. 72-196, 1972 Fla.Sess.Law Serv., pp. 380-382; Ga.Code §§ 26-1201 to 26-1203 (1972); Kan.Stat.Ann. § 21-3407 (Supp.1971); Md.Ann.Code, Art. 43, §§ 137-139 (1971); Miss.Code Ann. § 2223 (Supp.1972); N.M.Stat.Ann. §§ 40A-5-1 to 40A-5-3 (1972); N.C.Gen.Stat. § 14-45.1 (Supp.1971); Ore.Rev.Stat. §§ 435.405 to 435.495 (1971); S.C.Code Ann. §§ 16-82 to 16-89 (1962 and Supp.1971); Va.Code Ann. §§ 18.1-62 to 18.1-62.3 (Supp.1972). Mr. Justice Clark described some of these States as having 'led the way.' Religion, Morality, and Abortion: A Constitutional Appraisal,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 11.15.060 (1970); Haw.Rev.Stat. § 453-16 (Supp.1971); N.Y.Penal Code § 125.05, subd. 3 (Supp.1972-1973); Wash.Rev.Code §§ 9.02.060 to 9.02.080 (Supp.1972). The precise status of criminal abortion laws in some States is made unclear by recent decisions in 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professional competency and in conformance with standards of good medical practice and the Medical Practice Act of his State; and be it further</w:t>
      </w:r>
    </w:p>
    <w:p w14:paraId="5AF3941D" w14:textId="77777777" w:rsidR="00874493" w:rsidRDefault="004A3F42">
      <w:pPr>
        <w:pStyle w:val="CaseText"/>
      </w:pPr>
      <w:r>
        <w:t>'RESOLVED, That no physician or other professional personnel shall be compelled to perform any act which violates his good medical judgment. Neither physician, hospital, nor hospital personnel shall be required to perform any act violative of personally-held moral principles. In these circumstances good medical practice requires only that the physician or other professional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practicing medicine (or osteopathy) in the employ of the government of the United States or of this state, (and the abortion is performed (in the physician's office or in a medical clinic, or) in a hospital approved by the (Department of Health) or operated by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the physician has reasonable cause to believe (i) there is a substantial risk that continuance of the pregnancy would endanger the life of the mother or would gravely impair the physical or mental health of the mother, (ii) that the child would be born with grave physical or mental defect, or (iii) that the pregnancy resulted from rape or incest, or illicit intercourse with a girl under the age of 16 years).</w:t>
      </w:r>
    </w:p>
    <w:p w14:paraId="662ED100" w14:textId="77777777" w:rsidR="00874493" w:rsidRDefault="004A3F42">
      <w:pPr>
        <w:pStyle w:val="CaseText"/>
      </w:pPr>
      <w:r>
        <w:t>'Section 2. (Penalty.) Any person who performs or procures an abortion other than authorized by this 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provision of this Act or the application thereof to any person or circumstance is held invalid, the invalidity does not affect other provisions or applications of this Act which can be given effect without the invalid provision or application, and to this end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abortion act following a review of the more recent laws on abortion in several states and upon recognition of a more liberal trend in laws on this subject. Recognition was given also to the several decisions in state and federal courts which show a further trend toward liberalization of abortion laws, especially during the first trimester of pregnancy.</w:t>
      </w:r>
    </w:p>
    <w:p w14:paraId="40BE5BCC" w14:textId="77777777" w:rsidR="00874493" w:rsidRDefault="004A3F42">
      <w:pPr>
        <w:pStyle w:val="CaseText"/>
      </w:pPr>
      <w:r>
        <w:t>'Recognizing that a number of problems appeared in New York, a shorter time period for 'unlimited' abortions was advisable. The time period was bracketed to permit the various states to insert a figure more in keeping with the different conditions that might exist among the states. Likewise, the language limiting the place or places in which abortions may be performed was also bracketed to account for different conditions among the states. In addition, limitations on abortions after the initial 'unlimited' period were placed in brackets so that individual states may adopt all or any of these reasons, or place further restrictions upon abortions after the initial period.</w:t>
      </w:r>
    </w:p>
    <w:p w14:paraId="61D47D7F" w14:textId="77777777" w:rsidR="00874493" w:rsidRDefault="004A3F42">
      <w:pPr>
        <w:pStyle w:val="CaseText"/>
      </w:pPr>
      <w:r>
        <w:t>'This Act does not contain any provision relating to medical review committees or prohibitions against sanctions imposed upon medical personnel refusing to participate in abortions because of religious or other similar reasons, or the like. Such 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1048, 1074 (D.C.N.J.1972); Abele v. Markle, 342 F.Supp. 800, 805-806 (D.C.Conn.1972) (Newman, J., concurring in result), appeal docketed, No. 72-56; Walsingham v. State, 250 So.2d 857, 863 (Ervin, J., concurring) (Fla. 1971); State v. Gedicke, 43 N.J.L. 86,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 208, 209 (June 12, 1971) (U.S. Dept. of HEW, Public Health Service) (New York City); Tietze, United States: Therapeutic Abortions, 1963-1968, 59 Studies in Family Planning 5, 7 (1970); Tietze, Mortality with Contraception and Induced Abortion, 45 Studies 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287, 290 (1897); Shaw v. State, 73 Tex.Cr.R. 337, 339, 165 S.W. 930, 931 (1914); Fondren v. State, 74 Tex.Cr.R. 552, 557, 169 S.W. 411, 414 (1914); Gray v. State, 77 Tex.Cr.R. 221, 229, 178 S.W. 337, 341 (1915). There is no immunity in Texas for the father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Fourteenth Amendment status and the typical abortion statute. It has already been pointed out, n. 49, supra,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 'Morning-After Pill' and Other Pre-Implantation Birth-Control Methods and the Law, 46 Ore.L.Rev. 211 (1967); G. Taylor, The Biological Time Bomb 32 (1968); A. Rosenfeld, The Second Genesis 138-139 (1969); Smith, Through a Test Tube Darkly: Artificial Insemination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right has been asserted in either of the cases, and the Texas and the Georgia statutes on their face take no cognizance of the father. We are aware that some statutes recognize the father under certain circumstances. North Carolina, for example, N.C.Gen.Stat. § 14-45.1 (Supp.1971), requires written permission for the abortion from the husband when the woman is a married minor, that is, when she is less than 18 years of age, 41 N.C.A.G. 489 (1971); if the woman is an unmarried minor, written permission from the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'(The Fourth) Amendment protects individual privacy against certain kinds of governmental intrusion, but its protections go further, and often have nothing to do with privacy at all. Other provisions of the Constitution protect personal privacy from other forms of governmental invasion. But the protection of a person's general right to privacy-his right to be let alone by other people-is like the protection of his property and of his very life, left largely to the law of the individual States.' Katz v. United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in the judgment); and to Mr. Justice White, 381 U.S., at 502, 85 S.Ct., at 1691 (opinion concurring in the judgment). See also Mr. Justice Harlan's thorough and thoughtful opinion dissenting from dismissal of the appeal in Poe v. Ullman, 367 U.S. 497, 522,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20. Minnesota (Terr.)-Minn. (Terr.) Rev.Stat., c. 100, §§ 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089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C81E58"/>
    <w:lvl w:ilvl="0">
      <w:start w:val="1"/>
      <w:numFmt w:val="decimal"/>
      <w:lvlText w:val="%1."/>
      <w:lvlJc w:val="left"/>
      <w:pPr>
        <w:tabs>
          <w:tab w:val="num" w:pos="1800"/>
        </w:tabs>
        <w:ind w:left="1800" w:hanging="360"/>
      </w:pPr>
    </w:lvl>
  </w:abstractNum>
  <w:abstractNum w:abstractNumId="2">
    <w:nsid w:val="FFFFFF7D"/>
    <w:multiLevelType w:val="singleLevel"/>
    <w:tmpl w:val="8054A7A0"/>
    <w:lvl w:ilvl="0">
      <w:start w:val="1"/>
      <w:numFmt w:val="decimal"/>
      <w:lvlText w:val="%1."/>
      <w:lvlJc w:val="left"/>
      <w:pPr>
        <w:tabs>
          <w:tab w:val="num" w:pos="1440"/>
        </w:tabs>
        <w:ind w:left="1440" w:hanging="360"/>
      </w:pPr>
    </w:lvl>
  </w:abstractNum>
  <w:abstractNum w:abstractNumId="3">
    <w:nsid w:val="FFFFFF7E"/>
    <w:multiLevelType w:val="singleLevel"/>
    <w:tmpl w:val="3222BE84"/>
    <w:lvl w:ilvl="0">
      <w:start w:val="1"/>
      <w:numFmt w:val="decimal"/>
      <w:lvlText w:val="%1."/>
      <w:lvlJc w:val="left"/>
      <w:pPr>
        <w:tabs>
          <w:tab w:val="num" w:pos="1080"/>
        </w:tabs>
        <w:ind w:left="1080" w:hanging="360"/>
      </w:pPr>
    </w:lvl>
  </w:abstractNum>
  <w:abstractNum w:abstractNumId="4">
    <w:nsid w:val="FFFFFF7F"/>
    <w:multiLevelType w:val="singleLevel"/>
    <w:tmpl w:val="7C183F6E"/>
    <w:lvl w:ilvl="0">
      <w:start w:val="1"/>
      <w:numFmt w:val="decimal"/>
      <w:lvlText w:val="%1."/>
      <w:lvlJc w:val="left"/>
      <w:pPr>
        <w:tabs>
          <w:tab w:val="num" w:pos="720"/>
        </w:tabs>
        <w:ind w:left="720" w:hanging="360"/>
      </w:pPr>
    </w:lvl>
  </w:abstractNum>
  <w:abstractNum w:abstractNumId="5">
    <w:nsid w:val="FFFFFF80"/>
    <w:multiLevelType w:val="singleLevel"/>
    <w:tmpl w:val="4EAA60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CE4A1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6483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C8A5C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958B37C"/>
    <w:lvl w:ilvl="0">
      <w:start w:val="1"/>
      <w:numFmt w:val="decimal"/>
      <w:lvlText w:val="%1."/>
      <w:lvlJc w:val="left"/>
      <w:pPr>
        <w:tabs>
          <w:tab w:val="num" w:pos="360"/>
        </w:tabs>
        <w:ind w:left="360" w:hanging="360"/>
      </w:pPr>
    </w:lvl>
  </w:abstractNum>
  <w:abstractNum w:abstractNumId="10">
    <w:nsid w:val="FFFFFF89"/>
    <w:multiLevelType w:val="singleLevel"/>
    <w:tmpl w:val="BEBCEE2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3A4D53"/>
    <w:rsid w:val="004A3F42"/>
    <w:rsid w:val="00585072"/>
    <w:rsid w:val="0065408C"/>
    <w:rsid w:val="007710F6"/>
    <w:rsid w:val="007D27E8"/>
    <w:rsid w:val="00874493"/>
    <w:rsid w:val="008F1DC7"/>
    <w:rsid w:val="00B55EDB"/>
    <w:rsid w:val="00D247B4"/>
    <w:rsid w:val="00D47735"/>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3A4D53"/>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A4D5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A4D5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A4D53"/>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A4D53"/>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A4D53"/>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CaseText"/>
    <w:qFormat/>
    <w:rsid w:val="0065408C"/>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65408C"/>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3A4D53"/>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3A4D5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3A4D53"/>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A4D53"/>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sid w:val="003A4D53"/>
    <w:rPr>
      <w:rFonts w:eastAsiaTheme="majorEastAsia" w:cstheme="majorBidi"/>
      <w:b/>
      <w:color w:val="000000" w:themeColor="text1"/>
      <w:sz w:val="22"/>
    </w:rPr>
  </w:style>
  <w:style w:type="character" w:customStyle="1" w:styleId="Heading6Char">
    <w:name w:val="Heading 6 Char"/>
    <w:basedOn w:val="DefaultParagraphFont"/>
    <w:link w:val="Heading6"/>
    <w:uiPriority w:val="9"/>
    <w:rsid w:val="003A4D53"/>
    <w:rPr>
      <w:rFonts w:eastAsiaTheme="majorEastAsia" w:cstheme="majorBidi"/>
      <w:b/>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val="0"/>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 w:type="character" w:customStyle="1" w:styleId="ReplacementText">
    <w:name w:val="Replacement Text"/>
    <w:basedOn w:val="Elision"/>
    <w:uiPriority w:val="1"/>
    <w:qFormat/>
    <w:rsid w:val="00D47735"/>
    <w:rPr>
      <w:i w:val="0"/>
      <w:color w:val="2E74B5" w:themeColor="accent1" w:themeShade="BF"/>
      <w:u w:val="dotted"/>
    </w:rPr>
  </w:style>
  <w:style w:type="paragraph" w:customStyle="1" w:styleId="BlockQuote">
    <w:name w:val="Block Quote"/>
    <w:basedOn w:val="Quote"/>
    <w:qFormat/>
    <w:rsid w:val="00B55EDB"/>
    <w:pPr>
      <w:spacing w:line="360" w:lineRule="auto"/>
      <w:jc w:val="left"/>
    </w:pPr>
    <w:rPr>
      <w:i w:val="0"/>
    </w:rPr>
  </w:style>
  <w:style w:type="paragraph" w:styleId="Quote">
    <w:name w:val="Quote"/>
    <w:basedOn w:val="Normal"/>
    <w:next w:val="Normal"/>
    <w:link w:val="QuoteChar"/>
    <w:uiPriority w:val="29"/>
    <w:qFormat/>
    <w:rsid w:val="00B55E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5EDB"/>
    <w:rPr>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CAD38E-26C2-4840-B5BE-5EBB4D41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61</Pages>
  <Words>28529</Words>
  <Characters>162621</Characters>
  <Application>Microsoft Macintosh Word</Application>
  <DocSecurity>0</DocSecurity>
  <Lines>1355</Lines>
  <Paragraphs>381</Paragraphs>
  <ScaleCrop>false</ScaleCrop>
  <LinksUpToDate>false</LinksUpToDate>
  <CharactersWithSpaces>190769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9</cp:revision>
  <dcterms:created xsi:type="dcterms:W3CDTF">2017-07-29T06:28:00Z</dcterms:created>
  <dcterms:modified xsi:type="dcterms:W3CDTF">2017-08-28T04:54:00Z</dcterms:modified>
</cp:coreProperties>
</file>