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E62CAA" w:rsidRPr="00D46014" w14:paraId="0083BAE2" w14:textId="77777777" w:rsidTr="00C66D00">
        <w:tc>
          <w:tcPr>
            <w:tcW w:w="9016" w:type="dxa"/>
            <w:shd w:val="clear" w:color="auto" w:fill="A6A6A6" w:themeFill="background1" w:themeFillShade="A6"/>
          </w:tcPr>
          <w:p w14:paraId="0D513C52"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1. Types of data generated</w:t>
            </w:r>
          </w:p>
        </w:tc>
      </w:tr>
      <w:tr w:rsidR="00E62CAA" w:rsidRPr="00D46014" w14:paraId="1571773C" w14:textId="77777777" w:rsidTr="00C66D00">
        <w:tc>
          <w:tcPr>
            <w:tcW w:w="9016" w:type="dxa"/>
          </w:tcPr>
          <w:p w14:paraId="58A52034"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The types of data generated in this study relate to 30 burial grounds across Edinburgh, including field survey datasets for vascular ground-flora collected across two quadrat sampling periods. This field survey data includes unique species identifications and respective percentage cover estimates, with each species observation </w:t>
            </w:r>
            <w:proofErr w:type="spellStart"/>
            <w:r w:rsidRPr="00D46014">
              <w:rPr>
                <w:rFonts w:ascii="Arial" w:hAnsi="Arial" w:cs="Arial"/>
                <w:sz w:val="24"/>
                <w:szCs w:val="24"/>
              </w:rPr>
              <w:t>ID’d</w:t>
            </w:r>
            <w:proofErr w:type="spellEnd"/>
            <w:r w:rsidRPr="00D46014">
              <w:rPr>
                <w:rFonts w:ascii="Arial" w:hAnsi="Arial" w:cs="Arial"/>
                <w:sz w:val="24"/>
                <w:szCs w:val="24"/>
              </w:rPr>
              <w:t xml:space="preserve"> by burial ground, cumulative quadrat sample number and survey round.</w:t>
            </w:r>
          </w:p>
          <w:p w14:paraId="51D15C42" w14:textId="77777777" w:rsidR="00E62CAA" w:rsidRPr="00D46014" w:rsidRDefault="00E62CAA" w:rsidP="00E62CAA">
            <w:pPr>
              <w:rPr>
                <w:rFonts w:ascii="Arial" w:hAnsi="Arial" w:cs="Arial"/>
                <w:sz w:val="24"/>
                <w:szCs w:val="24"/>
              </w:rPr>
            </w:pPr>
            <w:r w:rsidRPr="00D46014">
              <w:rPr>
                <w:rFonts w:ascii="Arial" w:hAnsi="Arial" w:cs="Arial"/>
                <w:sz w:val="24"/>
                <w:szCs w:val="24"/>
              </w:rPr>
              <w:t>This data was used to derive 2 observations by survey round for species richness, Shannon diversity, the proportion of non-native species for each burial ground, and Bray-</w:t>
            </w:r>
            <w:proofErr w:type="gramStart"/>
            <w:r w:rsidRPr="00D46014">
              <w:rPr>
                <w:rFonts w:ascii="Arial" w:hAnsi="Arial" w:cs="Arial"/>
                <w:sz w:val="24"/>
                <w:szCs w:val="24"/>
              </w:rPr>
              <w:t>Curtis</w:t>
            </w:r>
            <w:proofErr w:type="gramEnd"/>
            <w:r w:rsidRPr="00D46014">
              <w:rPr>
                <w:rFonts w:ascii="Arial" w:hAnsi="Arial" w:cs="Arial"/>
                <w:sz w:val="24"/>
                <w:szCs w:val="24"/>
              </w:rPr>
              <w:t xml:space="preserve"> dissimilarity matrices for burial ground vascular ground-flora communities. </w:t>
            </w:r>
          </w:p>
          <w:p w14:paraId="67CD2E76"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Field surveys also generated a derived relative management activity gradient with scores assigned to each burial grounds using principal component analysis, derived using data generated for 7 management activity proxies: average vegetation height and respective standard deviation data across the quadrats sampled, proportion of quadrats with clipped leaf blades, and ordinal scores for prevalence of horticultural activity, tree and hedge trimming activity, free-growing vegetation, and residual grass clippings. </w:t>
            </w:r>
          </w:p>
          <w:p w14:paraId="457C4094"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Additional data for burial ground site-level characteristics include age, size, canopy percentage cover, and number of habitat types. Spatial data for burial ground size and canopy percentage cover were generated in QGIS using burial ground boundary polygons and canopy cover polygons. </w:t>
            </w:r>
          </w:p>
          <w:p w14:paraId="4AC65431" w14:textId="77777777" w:rsidR="00E62CAA" w:rsidRPr="00D46014" w:rsidRDefault="00E62CAA" w:rsidP="00E62CAA">
            <w:pPr>
              <w:rPr>
                <w:rFonts w:ascii="Arial" w:hAnsi="Arial" w:cs="Arial"/>
                <w:sz w:val="24"/>
                <w:szCs w:val="24"/>
              </w:rPr>
            </w:pPr>
            <w:r w:rsidRPr="00D46014">
              <w:rPr>
                <w:rFonts w:ascii="Arial" w:hAnsi="Arial" w:cs="Arial"/>
                <w:sz w:val="24"/>
                <w:szCs w:val="24"/>
              </w:rPr>
              <w:t>Survey dates were recorded to assign respective Julian days. These site-level characteristics were used as Z-scored predictors for analyses assessing their effect and association with the derived biodiversity metrics and community composition matrices.</w:t>
            </w:r>
          </w:p>
          <w:p w14:paraId="3598C141"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Statistical analyses produced species accumulation curves for pilot survey data collected from 3 burial grounds and a rank-abundance curve depicting the dominance structure of vascular ground-flora species identified across burial grounds. </w:t>
            </w:r>
          </w:p>
          <w:p w14:paraId="403AB234" w14:textId="77777777" w:rsidR="00E62CAA" w:rsidRPr="00D46014" w:rsidRDefault="00E62CAA" w:rsidP="00E62CAA">
            <w:pPr>
              <w:rPr>
                <w:rFonts w:ascii="Arial" w:hAnsi="Arial" w:cs="Arial"/>
                <w:sz w:val="24"/>
                <w:szCs w:val="24"/>
              </w:rPr>
            </w:pPr>
            <w:r w:rsidRPr="00D46014">
              <w:rPr>
                <w:rFonts w:ascii="Arial" w:hAnsi="Arial" w:cs="Arial"/>
                <w:sz w:val="24"/>
                <w:szCs w:val="24"/>
              </w:rPr>
              <w:t>Linear mixed effect model (generalised/robust where applicable) outputs and associated diagnostic plots and power analysis were generated to assess the effect of burial ground predictors on the 3 site-level biodiversity metrics calculated (species richness, Shannon diversity, and proportion of unique species occurrences classified as non-native).</w:t>
            </w:r>
          </w:p>
          <w:p w14:paraId="26D35BB2"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Permutational multivariate analysis of variance outputs, non-metric multidimensional scaling figures, and multivariate-dispersion analyses were generated to test the association of burial ground characteristics with community composition using the derived Bray-Curtis dissimilarity matrices. </w:t>
            </w:r>
          </w:p>
        </w:tc>
      </w:tr>
      <w:tr w:rsidR="00E62CAA" w:rsidRPr="00D46014" w14:paraId="10831056" w14:textId="77777777" w:rsidTr="00C66D00">
        <w:tc>
          <w:tcPr>
            <w:tcW w:w="9016" w:type="dxa"/>
            <w:shd w:val="clear" w:color="auto" w:fill="A6A6A6" w:themeFill="background1" w:themeFillShade="A6"/>
          </w:tcPr>
          <w:p w14:paraId="3CF7FBC9"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2. Types of data preserved</w:t>
            </w:r>
          </w:p>
        </w:tc>
      </w:tr>
      <w:tr w:rsidR="00E62CAA" w:rsidRPr="00D46014" w14:paraId="680262F0" w14:textId="77777777" w:rsidTr="00C66D00">
        <w:tc>
          <w:tcPr>
            <w:tcW w:w="9016" w:type="dxa"/>
          </w:tcPr>
          <w:p w14:paraId="0F165D35"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All data, including raw field-survey data, derived data used for statistical analyses, QGIS project files and associated spatial data, and the annotated R scripts used for analyses are preserved. This allows reproduction of all derived data, statistical analyses outputs and figures used in the final report. QGIS project files contain the grid cells generated to navigate to quadrat sampling points, with each grid cell feature manually </w:t>
            </w:r>
            <w:proofErr w:type="spellStart"/>
            <w:r w:rsidRPr="00D46014">
              <w:rPr>
                <w:rFonts w:ascii="Arial" w:hAnsi="Arial" w:cs="Arial"/>
                <w:sz w:val="24"/>
                <w:szCs w:val="24"/>
              </w:rPr>
              <w:t>ID’d</w:t>
            </w:r>
            <w:proofErr w:type="spellEnd"/>
            <w:r w:rsidRPr="00D46014">
              <w:rPr>
                <w:rFonts w:ascii="Arial" w:hAnsi="Arial" w:cs="Arial"/>
                <w:sz w:val="24"/>
                <w:szCs w:val="24"/>
              </w:rPr>
              <w:t xml:space="preserve"> corresponding to the cumulative quadrat ID in the vascular ground-flora datasets. This is available in a public GitHub repository indefinitely. </w:t>
            </w:r>
          </w:p>
        </w:tc>
      </w:tr>
      <w:tr w:rsidR="00E62CAA" w:rsidRPr="00D46014" w14:paraId="48A93371" w14:textId="77777777" w:rsidTr="00C66D00">
        <w:tc>
          <w:tcPr>
            <w:tcW w:w="9016" w:type="dxa"/>
            <w:shd w:val="clear" w:color="auto" w:fill="A6A6A6" w:themeFill="background1" w:themeFillShade="A6"/>
          </w:tcPr>
          <w:p w14:paraId="3E9A833B"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3. Software and metadata implications</w:t>
            </w:r>
          </w:p>
        </w:tc>
      </w:tr>
      <w:tr w:rsidR="00E62CAA" w:rsidRPr="00D46014" w14:paraId="66DCFC3A" w14:textId="77777777" w:rsidTr="00C66D00">
        <w:tc>
          <w:tcPr>
            <w:tcW w:w="9016" w:type="dxa"/>
          </w:tcPr>
          <w:p w14:paraId="1E275B0E" w14:textId="77777777" w:rsidR="00E62CAA" w:rsidRPr="00D46014" w:rsidRDefault="00E62CAA" w:rsidP="00E62CAA">
            <w:pPr>
              <w:rPr>
                <w:rFonts w:ascii="Arial" w:hAnsi="Arial" w:cs="Arial"/>
                <w:sz w:val="24"/>
                <w:szCs w:val="24"/>
              </w:rPr>
            </w:pPr>
            <w:r w:rsidRPr="00D46014">
              <w:rPr>
                <w:rFonts w:ascii="Arial" w:hAnsi="Arial" w:cs="Arial"/>
                <w:sz w:val="24"/>
                <w:szCs w:val="24"/>
              </w:rPr>
              <w:t>Datasets are stored as .</w:t>
            </w:r>
            <w:proofErr w:type="spellStart"/>
            <w:r w:rsidRPr="00D46014">
              <w:rPr>
                <w:rFonts w:ascii="Arial" w:hAnsi="Arial" w:cs="Arial"/>
                <w:sz w:val="24"/>
                <w:szCs w:val="24"/>
              </w:rPr>
              <w:t>xlxs</w:t>
            </w:r>
            <w:proofErr w:type="spellEnd"/>
            <w:r w:rsidRPr="00D46014">
              <w:rPr>
                <w:rFonts w:ascii="Arial" w:hAnsi="Arial" w:cs="Arial"/>
                <w:sz w:val="24"/>
                <w:szCs w:val="24"/>
              </w:rPr>
              <w:t xml:space="preserve"> spreadsheet files read using Microsoft Excel. Annotated R scripts and project files require RStudio software and R programming </w:t>
            </w:r>
            <w:r w:rsidRPr="00D46014">
              <w:rPr>
                <w:rFonts w:ascii="Arial" w:hAnsi="Arial" w:cs="Arial"/>
                <w:sz w:val="24"/>
                <w:szCs w:val="24"/>
              </w:rPr>
              <w:lastRenderedPageBreak/>
              <w:t xml:space="preserve">language to run the code and produce the figures and analyses provided in the final report. Required packages outside of base R are listed clearly at the beginning of the R script to maximise transferability. QGIS software is required to open the associated QGIS project files and access the spatial data gathered. </w:t>
            </w:r>
          </w:p>
        </w:tc>
      </w:tr>
      <w:tr w:rsidR="00E62CAA" w:rsidRPr="00D46014" w14:paraId="17B29945" w14:textId="77777777" w:rsidTr="00C66D00">
        <w:tc>
          <w:tcPr>
            <w:tcW w:w="9016" w:type="dxa"/>
            <w:shd w:val="clear" w:color="auto" w:fill="A6A6A6" w:themeFill="background1" w:themeFillShade="A6"/>
          </w:tcPr>
          <w:p w14:paraId="46C53C99"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lastRenderedPageBreak/>
              <w:t>4. Length of data preservation</w:t>
            </w:r>
          </w:p>
        </w:tc>
      </w:tr>
      <w:tr w:rsidR="00E62CAA" w:rsidRPr="00D46014" w14:paraId="7AE94C24" w14:textId="77777777" w:rsidTr="00C66D00">
        <w:tc>
          <w:tcPr>
            <w:tcW w:w="9016" w:type="dxa"/>
          </w:tcPr>
          <w:p w14:paraId="39AE9DD2"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Preserved indefinitely in a public GitHub repository. </w:t>
            </w:r>
          </w:p>
        </w:tc>
      </w:tr>
      <w:tr w:rsidR="00E62CAA" w:rsidRPr="00D46014" w14:paraId="1AF0BCCE" w14:textId="77777777" w:rsidTr="00C66D00">
        <w:tc>
          <w:tcPr>
            <w:tcW w:w="9016" w:type="dxa"/>
            <w:shd w:val="clear" w:color="auto" w:fill="A6A6A6" w:themeFill="background1" w:themeFillShade="A6"/>
          </w:tcPr>
          <w:p w14:paraId="631AEC86"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5. Value of data to others</w:t>
            </w:r>
          </w:p>
        </w:tc>
      </w:tr>
      <w:tr w:rsidR="00E62CAA" w:rsidRPr="00D46014" w14:paraId="18068DA0" w14:textId="77777777" w:rsidTr="00C66D00">
        <w:tc>
          <w:tcPr>
            <w:tcW w:w="9016" w:type="dxa"/>
          </w:tcPr>
          <w:p w14:paraId="2087E26F"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The data gathered are useful long-term, providing records for vascular ground-flora species presence and abundance across burial grounds in Edinburgh which can be used as a baseline comparison for any future ecological surveys. For example, this can inform temporal changes to vascular plant biodiversity and community compositions. This can also be used as a complimentary dataset when assessing other trophic group biodiversity within burial grounds or Edinburgh’s urban green spaces in general. The data is also useful for desk-based research, potentially informing land management practices, biodiversity monitoring and species distributions across Edinburgh’s urban green spaces. </w:t>
            </w:r>
          </w:p>
        </w:tc>
      </w:tr>
      <w:tr w:rsidR="00E62CAA" w:rsidRPr="00D46014" w14:paraId="4FD84E50" w14:textId="77777777" w:rsidTr="00C66D00">
        <w:tc>
          <w:tcPr>
            <w:tcW w:w="9016" w:type="dxa"/>
            <w:shd w:val="clear" w:color="auto" w:fill="A6A6A6" w:themeFill="background1" w:themeFillShade="A6"/>
          </w:tcPr>
          <w:p w14:paraId="4E73E9AC"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6. Length of proprietary period</w:t>
            </w:r>
          </w:p>
        </w:tc>
      </w:tr>
      <w:tr w:rsidR="00E62CAA" w:rsidRPr="00D46014" w14:paraId="3ABFE4EC" w14:textId="77777777" w:rsidTr="00C66D00">
        <w:tc>
          <w:tcPr>
            <w:tcW w:w="9016" w:type="dxa"/>
          </w:tcPr>
          <w:p w14:paraId="3841434E" w14:textId="77777777" w:rsidR="00E62CAA" w:rsidRPr="00D46014" w:rsidRDefault="00E62CAA" w:rsidP="00E62CAA">
            <w:pPr>
              <w:rPr>
                <w:rFonts w:ascii="Arial" w:hAnsi="Arial" w:cs="Arial"/>
                <w:sz w:val="24"/>
                <w:szCs w:val="24"/>
              </w:rPr>
            </w:pPr>
            <w:r w:rsidRPr="00D46014">
              <w:rPr>
                <w:rFonts w:ascii="Arial" w:hAnsi="Arial" w:cs="Arial"/>
                <w:sz w:val="24"/>
                <w:szCs w:val="24"/>
              </w:rPr>
              <w:t>NA</w:t>
            </w:r>
          </w:p>
        </w:tc>
      </w:tr>
      <w:tr w:rsidR="00E62CAA" w:rsidRPr="00D46014" w14:paraId="0B0E40BE" w14:textId="77777777" w:rsidTr="00C66D00">
        <w:tc>
          <w:tcPr>
            <w:tcW w:w="9016" w:type="dxa"/>
            <w:shd w:val="clear" w:color="auto" w:fill="A6A6A6" w:themeFill="background1" w:themeFillShade="A6"/>
          </w:tcPr>
          <w:p w14:paraId="6EBE068D"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7. How data will be shared</w:t>
            </w:r>
          </w:p>
        </w:tc>
      </w:tr>
      <w:tr w:rsidR="00E62CAA" w:rsidRPr="00D46014" w14:paraId="0A212FC3" w14:textId="77777777" w:rsidTr="00C66D00">
        <w:tc>
          <w:tcPr>
            <w:tcW w:w="9016" w:type="dxa"/>
          </w:tcPr>
          <w:p w14:paraId="3CD673B1"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Datasets, R project files and scripts, and QGIS project files and associated spatial data are shared in a public </w:t>
            </w:r>
            <w:proofErr w:type="spellStart"/>
            <w:r w:rsidRPr="00D46014">
              <w:rPr>
                <w:rFonts w:ascii="Arial" w:hAnsi="Arial" w:cs="Arial"/>
                <w:sz w:val="24"/>
                <w:szCs w:val="24"/>
              </w:rPr>
              <w:t>Github</w:t>
            </w:r>
            <w:proofErr w:type="spellEnd"/>
            <w:r w:rsidRPr="00D46014">
              <w:rPr>
                <w:rFonts w:ascii="Arial" w:hAnsi="Arial" w:cs="Arial"/>
                <w:sz w:val="24"/>
                <w:szCs w:val="24"/>
              </w:rPr>
              <w:t xml:space="preserve"> repository, structured clearly with README files and README sheets within each dataset included to aid in transparency and reproducibility. </w:t>
            </w:r>
          </w:p>
        </w:tc>
      </w:tr>
      <w:tr w:rsidR="00E62CAA" w:rsidRPr="00D46014" w14:paraId="353F6D91" w14:textId="77777777" w:rsidTr="00C66D00">
        <w:tc>
          <w:tcPr>
            <w:tcW w:w="9016" w:type="dxa"/>
            <w:shd w:val="clear" w:color="auto" w:fill="A6A6A6" w:themeFill="background1" w:themeFillShade="A6"/>
          </w:tcPr>
          <w:p w14:paraId="3631F2E1" w14:textId="77777777" w:rsidR="00E62CAA" w:rsidRPr="00D46014" w:rsidRDefault="00E62CAA" w:rsidP="00E62CAA">
            <w:pPr>
              <w:rPr>
                <w:rFonts w:ascii="Arial" w:hAnsi="Arial" w:cs="Arial"/>
                <w:b/>
                <w:bCs/>
                <w:sz w:val="24"/>
                <w:szCs w:val="24"/>
              </w:rPr>
            </w:pPr>
            <w:r w:rsidRPr="00D46014">
              <w:rPr>
                <w:rFonts w:ascii="Arial" w:hAnsi="Arial" w:cs="Arial"/>
                <w:b/>
                <w:bCs/>
                <w:sz w:val="24"/>
                <w:szCs w:val="24"/>
              </w:rPr>
              <w:t>8. Resources needed to preserve and share data</w:t>
            </w:r>
          </w:p>
        </w:tc>
      </w:tr>
      <w:tr w:rsidR="00E62CAA" w:rsidRPr="00D46014" w14:paraId="0CE57E87" w14:textId="77777777" w:rsidTr="00C66D00">
        <w:tc>
          <w:tcPr>
            <w:tcW w:w="9016" w:type="dxa"/>
          </w:tcPr>
          <w:p w14:paraId="5D5B269F" w14:textId="77777777" w:rsidR="00E62CAA" w:rsidRPr="00D46014" w:rsidRDefault="00E62CAA" w:rsidP="00E62CAA">
            <w:pPr>
              <w:rPr>
                <w:rFonts w:ascii="Arial" w:hAnsi="Arial" w:cs="Arial"/>
                <w:sz w:val="24"/>
                <w:szCs w:val="24"/>
              </w:rPr>
            </w:pPr>
            <w:r w:rsidRPr="00D46014">
              <w:rPr>
                <w:rFonts w:ascii="Arial" w:hAnsi="Arial" w:cs="Arial"/>
                <w:sz w:val="24"/>
                <w:szCs w:val="24"/>
              </w:rPr>
              <w:t xml:space="preserve">Access to the GitHub repository </w:t>
            </w:r>
          </w:p>
        </w:tc>
      </w:tr>
    </w:tbl>
    <w:p w14:paraId="26207310" w14:textId="77777777" w:rsidR="009D0D1A" w:rsidRDefault="009D0D1A"/>
    <w:sectPr w:rsidR="009D0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AA"/>
    <w:rsid w:val="000908AC"/>
    <w:rsid w:val="001B720F"/>
    <w:rsid w:val="00430F07"/>
    <w:rsid w:val="004C590A"/>
    <w:rsid w:val="005166AC"/>
    <w:rsid w:val="0070201C"/>
    <w:rsid w:val="00842D64"/>
    <w:rsid w:val="009D0D1A"/>
    <w:rsid w:val="00AC259F"/>
    <w:rsid w:val="00BC7261"/>
    <w:rsid w:val="00C60AAE"/>
    <w:rsid w:val="00C65E81"/>
    <w:rsid w:val="00E62CAA"/>
    <w:rsid w:val="00F40F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A434"/>
  <w15:chartTrackingRefBased/>
  <w15:docId w15:val="{43C2D239-A0C8-4556-A68E-D262757B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AA"/>
  </w:style>
  <w:style w:type="paragraph" w:styleId="Heading1">
    <w:name w:val="heading 1"/>
    <w:basedOn w:val="Normal"/>
    <w:next w:val="Normal"/>
    <w:link w:val="Heading1Char"/>
    <w:uiPriority w:val="9"/>
    <w:qFormat/>
    <w:rsid w:val="00E6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CAA"/>
    <w:rPr>
      <w:rFonts w:eastAsiaTheme="majorEastAsia" w:cstheme="majorBidi"/>
      <w:color w:val="272727" w:themeColor="text1" w:themeTint="D8"/>
    </w:rPr>
  </w:style>
  <w:style w:type="paragraph" w:styleId="Title">
    <w:name w:val="Title"/>
    <w:basedOn w:val="Normal"/>
    <w:next w:val="Normal"/>
    <w:link w:val="TitleChar"/>
    <w:uiPriority w:val="10"/>
    <w:qFormat/>
    <w:rsid w:val="00E6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CAA"/>
    <w:pPr>
      <w:spacing w:before="160"/>
      <w:jc w:val="center"/>
    </w:pPr>
    <w:rPr>
      <w:i/>
      <w:iCs/>
      <w:color w:val="404040" w:themeColor="text1" w:themeTint="BF"/>
    </w:rPr>
  </w:style>
  <w:style w:type="character" w:customStyle="1" w:styleId="QuoteChar">
    <w:name w:val="Quote Char"/>
    <w:basedOn w:val="DefaultParagraphFont"/>
    <w:link w:val="Quote"/>
    <w:uiPriority w:val="29"/>
    <w:rsid w:val="00E62CAA"/>
    <w:rPr>
      <w:i/>
      <w:iCs/>
      <w:color w:val="404040" w:themeColor="text1" w:themeTint="BF"/>
    </w:rPr>
  </w:style>
  <w:style w:type="paragraph" w:styleId="ListParagraph">
    <w:name w:val="List Paragraph"/>
    <w:basedOn w:val="Normal"/>
    <w:uiPriority w:val="34"/>
    <w:qFormat/>
    <w:rsid w:val="00E62CAA"/>
    <w:pPr>
      <w:ind w:left="720"/>
      <w:contextualSpacing/>
    </w:pPr>
  </w:style>
  <w:style w:type="character" w:styleId="IntenseEmphasis">
    <w:name w:val="Intense Emphasis"/>
    <w:basedOn w:val="DefaultParagraphFont"/>
    <w:uiPriority w:val="21"/>
    <w:qFormat/>
    <w:rsid w:val="00E62CAA"/>
    <w:rPr>
      <w:i/>
      <w:iCs/>
      <w:color w:val="0F4761" w:themeColor="accent1" w:themeShade="BF"/>
    </w:rPr>
  </w:style>
  <w:style w:type="paragraph" w:styleId="IntenseQuote">
    <w:name w:val="Intense Quote"/>
    <w:basedOn w:val="Normal"/>
    <w:next w:val="Normal"/>
    <w:link w:val="IntenseQuoteChar"/>
    <w:uiPriority w:val="30"/>
    <w:qFormat/>
    <w:rsid w:val="00E6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CAA"/>
    <w:rPr>
      <w:i/>
      <w:iCs/>
      <w:color w:val="0F4761" w:themeColor="accent1" w:themeShade="BF"/>
    </w:rPr>
  </w:style>
  <w:style w:type="character" w:styleId="IntenseReference">
    <w:name w:val="Intense Reference"/>
    <w:basedOn w:val="DefaultParagraphFont"/>
    <w:uiPriority w:val="32"/>
    <w:qFormat/>
    <w:rsid w:val="00E62CAA"/>
    <w:rPr>
      <w:b/>
      <w:bCs/>
      <w:smallCaps/>
      <w:color w:val="0F4761" w:themeColor="accent1" w:themeShade="BF"/>
      <w:spacing w:val="5"/>
    </w:rPr>
  </w:style>
  <w:style w:type="table" w:styleId="TableGrid">
    <w:name w:val="Table Grid"/>
    <w:basedOn w:val="TableNormal"/>
    <w:uiPriority w:val="39"/>
    <w:rsid w:val="00E62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High</dc:creator>
  <cp:keywords/>
  <dc:description/>
  <cp:lastModifiedBy>Emma High</cp:lastModifiedBy>
  <cp:revision>1</cp:revision>
  <dcterms:created xsi:type="dcterms:W3CDTF">2026-08-21T06:30:00Z</dcterms:created>
  <dcterms:modified xsi:type="dcterms:W3CDTF">2026-08-21T06:31:00Z</dcterms:modified>
</cp:coreProperties>
</file>