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Targeted latent tuberculosis infection screening in the APY Lands</w:t>
      </w:r>
    </w:p>
    <w:p>
      <w:pPr>
        <w:pStyle w:val="Subtitle"/>
      </w:pPr>
      <w:r>
        <w:t xml:space="preserve">Working health-economic analysis for SA Health planning and refinement</w:t>
      </w:r>
    </w:p>
    <w:p>
      <w:r>
        <w:t xml:space="preserve">Analysis date: 02 September 2026</w:t>
      </w:r>
    </w:p>
    <w:p>
      <w:r>
        <w:t xml:space="preserve">Code commit: 12f697aa7caccad9a9290a7c7eef2dad54257e46</w:t>
      </w:r>
    </w:p>
    <w:p>
      <w:pPr>
        <w:pStyle w:val="Heading1"/>
      </w:pPr>
      <w:r>
        <w:t xml:space="preserve">Important use note</w:t>
      </w:r>
    </w:p>
    <w:p>
      <w:r>
        <w:t xml:space="preserve">This working analysis supports programme planning and refinement. It is not final policy evidence, does not prove cost-effectiveness, and must not be used to deny clinically indicated screening, treatment or care.</w:t>
      </w:r>
    </w:p>
    <w:p>
      <w:r>
        <w:br w:type="page"/>
      </w:r>
    </w:p>
    <w:p>
      <w:pPr>
        <w:pStyle w:val="Heading1"/>
      </w:pPr>
      <w:r>
        <w:t xml:space="preserve">Executive summary</w:t>
      </w:r>
    </w:p>
    <w:p>
      <w:r>
        <w:t xml:space="preserve">This report extends the earlier APY targeted LTBI screening analysis with a health-economic working analysis. The reference strategy screens 30% of the eligible population over two years using IGRA and offers 3HP preventive treatment.</w:t>
      </w:r>
    </w:p>
    <w:p>
      <w:r>
        <w:t xml:space="preserve">Across 2,000 simulations, the compatibility anchor estimates 12.0 direct active-TB cases averted over 20 years. This is a direct individual-level result and excludes secondary transmission effects.</w:t>
      </w:r>
    </w:p>
    <w:p>
      <w:r>
        <w:t xml:space="preserve">Included intervention delivery expenditure is AUD 95,052. Avoided active-TB care contributes an offset of AUD 187,422, giving a net included health-system saving of AUD 92,370 under the working assumptions.</w:t>
      </w:r>
    </w:p>
    <w:p>
      <w:r>
        <w:t xml:space="preserve">That apparent saving is conditional on the current costing scope. Programme setup, programme running, travel, outreach and staffing costs are not yet locally costed and must not be interpreted as truly zero.</w:t>
      </w:r>
    </w:p>
    <w:tbl>
      <w:tblPr>
        <w:tblStyle w:val="TableGrid"/>
        <w:tblW w:w="9638" w:type="dxa"/>
        <w:tblLayout w:type="fixed"/>
        <w:tblLook w:firstRow="1" w:noHBand="0" w:noVBand="1"/>
      </w:tblPr>
      <w:tr>
        <w:tc>
          <w:tcPr>
            <w:tcW w:w="3212" w:type="dxa"/>
            <w:shd w:fill="D9EAF7"/>
          </w:tcPr>
          <w:p>
            <w:r>
              <w:rPr>
                <w:b/>
              </w:rPr>
              <w:t xml:space="preserve">Measure</w:t>
            </w:r>
          </w:p>
        </w:tc>
        <w:tc>
          <w:tcPr>
            <w:tcW w:w="3212" w:type="dxa"/>
            <w:shd w:fill="D9EAF7"/>
          </w:tcPr>
          <w:p>
            <w:r>
              <w:rPr>
                <w:b/>
              </w:rPr>
              <w:t xml:space="preserve">Value</w:t>
            </w:r>
          </w:p>
        </w:tc>
        <w:tc>
          <w:tcPr>
            <w:tcW w:w="3212" w:type="dxa"/>
            <w:shd w:fill="D9EAF7"/>
          </w:tcPr>
          <w:p>
            <w:r>
              <w:rPr>
                <w:b/>
              </w:rPr>
              <w:t xml:space="preserve">Interpretation</w:t>
            </w:r>
          </w:p>
        </w:tc>
      </w:tr>
      <w:tr>
        <w:tc>
          <w:tcPr>
            <w:tcW w:w="3212" w:type="dxa"/>
          </w:tcPr>
          <w:p>
            <w:r>
              <w:rPr/>
              <w:t xml:space="preserve">Eligible population</w:t>
            </w:r>
          </w:p>
        </w:tc>
        <w:tc>
          <w:tcPr>
            <w:tcW w:w="3212" w:type="dxa"/>
          </w:tcPr>
          <w:p>
            <w:r>
              <w:rPr/>
              <w:t xml:space="preserve">1,500</w:t>
            </w:r>
          </w:p>
        </w:tc>
        <w:tc>
          <w:tcPr>
            <w:tcW w:w="3212" w:type="dxa"/>
          </w:tcPr>
          <w:p>
            <w:r>
              <w:rPr/>
              <w:t xml:space="preserve">people</w:t>
            </w:r>
          </w:p>
        </w:tc>
      </w:tr>
      <w:tr>
        <w:tc>
          <w:tcPr>
            <w:tcW w:w="3212" w:type="dxa"/>
          </w:tcPr>
          <w:p>
            <w:r>
              <w:rPr/>
              <w:t xml:space="preserve">People screened</w:t>
            </w:r>
          </w:p>
        </w:tc>
        <w:tc>
          <w:tcPr>
            <w:tcW w:w="3212" w:type="dxa"/>
          </w:tcPr>
          <w:p>
            <w:r>
              <w:rPr/>
              <w:t xml:space="preserve">450</w:t>
            </w:r>
          </w:p>
        </w:tc>
        <w:tc>
          <w:tcPr>
            <w:tcW w:w="3212" w:type="dxa"/>
          </w:tcPr>
          <w:p>
            <w:r>
              <w:rPr/>
              <w:t xml:space="preserve">people</w:t>
            </w:r>
          </w:p>
        </w:tc>
      </w:tr>
      <w:tr>
        <w:tc>
          <w:tcPr>
            <w:tcW w:w="3212" w:type="dxa"/>
          </w:tcPr>
          <w:p>
            <w:r>
              <w:rPr/>
              <w:t xml:space="preserve">Active TB cases averted</w:t>
            </w:r>
          </w:p>
        </w:tc>
        <w:tc>
          <w:tcPr>
            <w:tcW w:w="3212" w:type="dxa"/>
          </w:tcPr>
          <w:p>
            <w:r>
              <w:rPr/>
              <w:t xml:space="preserve">12</w:t>
            </w:r>
          </w:p>
        </w:tc>
        <w:tc>
          <w:tcPr>
            <w:tcW w:w="3212" w:type="dxa"/>
          </w:tcPr>
          <w:p>
            <w:r>
              <w:rPr/>
              <w:t xml:space="preserve">cases over 20 years</w:t>
            </w:r>
          </w:p>
        </w:tc>
      </w:tr>
      <w:tr>
        <w:tc>
          <w:tcPr>
            <w:tcW w:w="3212" w:type="dxa"/>
          </w:tcPr>
          <w:p>
            <w:r>
              <w:rPr/>
              <w:t xml:space="preserve">Included gross delivery expenditure</w:t>
            </w:r>
          </w:p>
        </w:tc>
        <w:tc>
          <w:tcPr>
            <w:tcW w:w="3212" w:type="dxa"/>
          </w:tcPr>
          <w:p>
            <w:r>
              <w:rPr/>
              <w:t xml:space="preserve">AUD 95,052</w:t>
            </w:r>
          </w:p>
        </w:tc>
        <w:tc>
          <w:tcPr>
            <w:tcW w:w="3212" w:type="dxa"/>
          </w:tcPr>
          <w:p>
            <w:r>
              <w:rPr/>
              <w:t xml:space="preserve">AUD 2019, 3% discounted</w:t>
            </w:r>
          </w:p>
        </w:tc>
      </w:tr>
      <w:tr>
        <w:tc>
          <w:tcPr>
            <w:tcW w:w="3212" w:type="dxa"/>
          </w:tcPr>
          <w:p>
            <w:r>
              <w:rPr/>
              <w:t xml:space="preserve">Active-TB care cost offset</w:t>
            </w:r>
          </w:p>
        </w:tc>
        <w:tc>
          <w:tcPr>
            <w:tcW w:w="3212" w:type="dxa"/>
          </w:tcPr>
          <w:p>
            <w:r>
              <w:rPr/>
              <w:t xml:space="preserve">AUD 187,422</w:t>
            </w:r>
          </w:p>
        </w:tc>
        <w:tc>
          <w:tcPr>
            <w:tcW w:w="3212" w:type="dxa"/>
          </w:tcPr>
          <w:p>
            <w:r>
              <w:rPr/>
              <w:t xml:space="preserve">AUD 2019, 3% discounted</w:t>
            </w:r>
          </w:p>
        </w:tc>
      </w:tr>
      <w:tr>
        <w:tc>
          <w:tcPr>
            <w:tcW w:w="3212" w:type="dxa"/>
          </w:tcPr>
          <w:p>
            <w:r>
              <w:rPr/>
              <w:t xml:space="preserve">Net included health-system result</w:t>
            </w:r>
          </w:p>
        </w:tc>
        <w:tc>
          <w:tcPr>
            <w:tcW w:w="3212" w:type="dxa"/>
          </w:tcPr>
          <w:p>
            <w:r>
              <w:rPr/>
              <w:t xml:space="preserve">AUD 92,370 net saving</w:t>
            </w:r>
          </w:p>
        </w:tc>
        <w:tc>
          <w:tcPr>
            <w:tcW w:w="3212" w:type="dxa"/>
          </w:tcPr>
          <w:p>
            <w:r>
              <w:rPr/>
              <w:t xml:space="preserve">AUD 2019, 3% discounted</w:t>
            </w:r>
          </w:p>
        </w:tc>
      </w:tr>
      <w:tr>
        <w:tc>
          <w:tcPr>
            <w:tcW w:w="3212" w:type="dxa"/>
          </w:tcPr>
          <w:p>
            <w:r>
              <w:rPr/>
              <w:t xml:space="preserve">Provisional DALYs averted</w:t>
            </w:r>
          </w:p>
        </w:tc>
        <w:tc>
          <w:tcPr>
            <w:tcW w:w="3212" w:type="dxa"/>
          </w:tcPr>
          <w:p>
            <w:r>
              <w:rPr/>
              <w:t xml:space="preserve">16.2</w:t>
            </w:r>
          </w:p>
        </w:tc>
        <w:tc>
          <w:tcPr>
            <w:tcW w:w="3212" w:type="dxa"/>
          </w:tcPr>
          <w:p>
            <w:r>
              <w:rPr/>
              <w:t xml:space="preserve">secondary, provisional</w:t>
            </w:r>
          </w:p>
        </w:tc>
      </w:tr>
      <w:tr>
        <w:tc>
          <w:tcPr>
            <w:tcW w:w="3212" w:type="dxa"/>
          </w:tcPr>
          <w:p>
            <w:r>
              <w:rPr/>
              <w:t xml:space="preserve">Willingness-to-pay threshold</w:t>
            </w:r>
          </w:p>
        </w:tc>
        <w:tc>
          <w:tcPr>
            <w:tcW w:w="3212" w:type="dxa"/>
          </w:tcPr>
          <w:p>
            <w:r>
              <w:rPr/>
              <w:t xml:space="preserve">Not supplied</w:t>
            </w:r>
          </w:p>
        </w:tc>
        <w:tc>
          <w:tcPr>
            <w:tcW w:w="3212" w:type="dxa"/>
          </w:tcPr>
          <w:p>
            <w:r>
              <w:rPr/>
              <w:t xml:space="preserve">NMB not calculated</w:t>
            </w:r>
          </w:p>
        </w:tc>
      </w:tr>
    </w:tbl>
    <w:p>
      <w:r>
        <w:t xml:space="preserve"/>
      </w:r>
    </w:p>
    <w:p>
      <w:pPr>
        <w:pStyle w:val="Heading1"/>
      </w:pPr>
      <w:r>
        <w:t xml:space="preserve">Background and policy question</w:t>
      </w:r>
    </w:p>
    <w:p>
      <w:r>
        <w:t xml:space="preserve">Targeted LTBI screening can prevent future active TB, but it shifts resources into earlier testing, review and preventive treatment.</w:t>
      </w:r>
    </w:p>
    <w:p>
      <w:r>
        <w:t xml:space="preserve">The policy question is whether those up-front health-system costs are justified by the expected reduction in active TB and later active-TB care.</w:t>
      </w:r>
    </w:p>
    <w:p>
      <w:r>
        <w:t xml:space="preserve">An editable economic model is useful because local programme delivery costs, bundling and implementation resources can materially change the net result.</w:t>
      </w:r>
    </w:p>
    <w:p>
      <w:pPr>
        <w:pStyle w:val="Heading1"/>
      </w:pPr>
      <w:r>
        <w:t xml:space="preserve">Decision problem and reference strategy</w:t>
      </w:r>
    </w:p>
    <w:p>
      <w:r>
        <w:t xml:space="preserve">Comparator: current practice, including ordinary background TB diagnosis and care, without an additional systematic LTBI screening programme.</w:t>
      </w:r>
    </w:p>
    <w:p>
      <w:r>
        <w:t xml:space="preserve">Intervention: targeted systematic LTBI screening with IGRA and 3HP preventive treatment, prioritising people most likely to avoid active TB.</w:t>
      </w:r>
    </w:p>
    <w:p>
      <w:r>
        <w:t xml:space="preserve">Population: all 1500 APY demonstration residents eligible; 30.0% screened over 2 years with 20 years of follow-up.</w:t>
      </w:r>
    </w:p>
    <w:p>
      <w:r>
        <w:t xml:space="preserve">Economic perspective: Australian health-care system; currency and price year: AUD 2019; primary discounting: 3% for costs and DALYs, with 0% retained for comparison.</w:t>
      </w:r>
    </w:p>
    <w:p>
      <w:pPr>
        <w:pStyle w:val="Heading1"/>
      </w:pPr>
      <w:r>
        <w:t xml:space="preserve">Methods</w:t>
      </w:r>
    </w:p>
    <w:p>
      <w:r>
        <w:t xml:space="preserve">The primary epidemiological anchor is a stochastic individual-level compatibility run reproducing the frozen earlier APY reference analysis.</w:t>
      </w:r>
    </w:p>
    <w:p>
      <w:r>
        <w:t xml:space="preserve">The model simulates the population, prioritises screening using the active-TB-prevention targeting rule, applies test performance, treatment initiation, completion, adverse-event stopping and treatment efficacy, and records events in a shared ledger.</w:t>
      </w:r>
    </w:p>
    <w:p>
      <w:r>
        <w:t xml:space="preserve">Costs are calculated from event-ledger quantities: screening tests per person screened, pathway costs per screened person or treatment start, regimen costs per treatment start, ADR management per ADR-related stop, and active-TB care per active-TB case.</w:t>
      </w:r>
    </w:p>
    <w:p>
      <w:r>
        <w:t xml:space="preserve">Annual costs and DALYs are discounted by model year. Quantities such as people screened and TB cases are not discounted.</w:t>
      </w:r>
    </w:p>
    <w:p>
      <w:r>
        <w:t xml:space="preserve">DALYs use acute active-TB disability and mortality assumptions. Treatment, ADR and post-TB health losses are excluded from the primary analysis through explicit reviewed-exclusion records.</w:t>
      </w:r>
    </w:p>
    <w:p>
      <w:r>
        <w:t xml:space="preserve">Simulation percentiles describe finite-population variation under fixed parameter assumptions. They are not confidence intervals, credible intervals or a probabilistic sensitivity analysis.</w:t>
      </w:r>
    </w:p>
    <w:p>
      <w:r>
        <w:drawing>
          <wp:inline xmlns:wp="http://schemas.openxmlformats.org/drawingml/2006/wordprocessingDrawing" distT="0" distB="0" distL="0" distR="0">
            <wp:extent cx="5900000" cy="3658000"/>
            <wp:docPr id="1" name="image1.png"/>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a:stretch>
                      <a:fillRect/>
                    </a:stretch>
                  </pic:blipFill>
                  <pic:spPr>
                    <a:xfrm>
                      <a:off x="0" y="0"/>
                      <a:ext cx="5900000" cy="3658000"/>
                    </a:xfrm>
                    <a:prstGeom prst="rect">
                      <a:avLst/>
                    </a:prstGeom>
                  </pic:spPr>
                </pic:pic>
              </a:graphicData>
            </a:graphic>
          </wp:inline>
        </w:drawing>
      </w:r>
    </w:p>
    <w:p>
      <w:pPr>
        <w:pStyle w:val="Caption"/>
      </w:pPr>
      <w:r>
        <w:t xml:space="preserve">Figure 1. Screening and preventive-treatment cascade.</w:t>
      </w:r>
    </w:p>
    <w:p>
      <w:pPr>
        <w:pStyle w:val="Heading1"/>
      </w:pPr>
      <w:r>
        <w:t xml:space="preserve">Economic inputs</w:t>
      </w:r>
    </w:p>
    <w:p>
      <w:r>
        <w:t xml:space="preserve">Costs are reported in AUD 2019. A displayed zero is not treated as proof that a resource has no cost: unresolved local programme resources are labelled separately.</w:t>
      </w:r>
    </w:p>
    <w:tbl>
      <w:tblPr>
        <w:tblStyle w:val="TableGrid"/>
        <w:tblW w:w="9638" w:type="dxa"/>
        <w:tblLayout w:type="fixed"/>
        <w:tblLook w:firstRow="1" w:noHBand="0" w:noVBand="1"/>
      </w:tblPr>
      <w:tr>
        <w:tc>
          <w:tcPr>
            <w:tcW w:w="1927" w:type="dxa"/>
            <w:shd w:fill="D9EAF7"/>
          </w:tcPr>
          <w:p>
            <w:r>
              <w:rPr>
                <w:b/>
              </w:rPr>
              <w:t xml:space="preserve">Cost item</w:t>
            </w:r>
          </w:p>
        </w:tc>
        <w:tc>
          <w:tcPr>
            <w:tcW w:w="1927" w:type="dxa"/>
            <w:shd w:fill="D9EAF7"/>
          </w:tcPr>
          <w:p>
            <w:r>
              <w:rPr>
                <w:b/>
              </w:rPr>
              <w:t xml:space="preserve">Value</w:t>
            </w:r>
          </w:p>
        </w:tc>
        <w:tc>
          <w:tcPr>
            <w:tcW w:w="1927" w:type="dxa"/>
            <w:shd w:fill="D9EAF7"/>
          </w:tcPr>
          <w:p>
            <w:r>
              <w:rPr>
                <w:b/>
              </w:rPr>
              <w:t xml:space="preserve">Unit</w:t>
            </w:r>
          </w:p>
        </w:tc>
        <w:tc>
          <w:tcPr>
            <w:tcW w:w="1927" w:type="dxa"/>
            <w:shd w:fill="D9EAF7"/>
          </w:tcPr>
          <w:p>
            <w:r>
              <w:rPr>
                <w:b/>
              </w:rPr>
              <w:t xml:space="preserve">Status</w:t>
            </w:r>
          </w:p>
        </w:tc>
        <w:tc>
          <w:tcPr>
            <w:tcW w:w="1927" w:type="dxa"/>
            <w:shd w:fill="D9EAF7"/>
          </w:tcPr>
          <w:p>
            <w:r>
              <w:rPr>
                <w:b/>
              </w:rPr>
              <w:t xml:space="preserve">Caveat</w:t>
            </w:r>
          </w:p>
        </w:tc>
      </w:tr>
      <w:tr>
        <w:tc>
          <w:tcPr>
            <w:tcW w:w="1927" w:type="dxa"/>
          </w:tcPr>
          <w:p>
            <w:r>
              <w:rPr/>
              <w:t xml:space="preserve">IGRA screening test per person</w:t>
            </w:r>
          </w:p>
        </w:tc>
        <w:tc>
          <w:tcPr>
            <w:tcW w:w="1927" w:type="dxa"/>
          </w:tcPr>
          <w:p>
            <w:r>
              <w:rPr/>
              <w:t xml:space="preserve">AUD 113</w:t>
            </w:r>
          </w:p>
        </w:tc>
        <w:tc>
          <w:tcPr>
            <w:tcW w:w="1927" w:type="dxa"/>
          </w:tcPr>
          <w:p>
            <w:r>
              <w:rPr/>
              <w:t xml:space="preserve">cost per person screened</w:t>
            </w:r>
          </w:p>
        </w:tc>
        <w:tc>
          <w:tcPr>
            <w:tcW w:w="1927" w:type="dxa"/>
          </w:tcPr>
          <w:p>
            <w:r>
              <w:rPr/>
              <w:t xml:space="preserve">Reviewed working numerical assumption</w:t>
            </w:r>
          </w:p>
        </w:tc>
        <w:tc>
          <w:tcPr>
            <w:tcW w:w="1927" w:type="dxa"/>
          </w:tcPr>
          <w:p>
            <w:r>
              <w:rPr/>
              <w:t xml:space="preserve">Supports current cost-consequence calculation.</w:t>
            </w:r>
          </w:p>
        </w:tc>
      </w:tr>
      <w:tr>
        <w:tc>
          <w:tcPr>
            <w:tcW w:w="1927" w:type="dxa"/>
          </w:tcPr>
          <w:p>
            <w:r>
              <w:rPr/>
              <w:t xml:space="preserve">3HP preventive regimen per started course</w:t>
            </w:r>
          </w:p>
        </w:tc>
        <w:tc>
          <w:tcPr>
            <w:tcW w:w="1927" w:type="dxa"/>
          </w:tcPr>
          <w:p>
            <w:r>
              <w:rPr/>
              <w:t xml:space="preserve">AUD 166</w:t>
            </w:r>
          </w:p>
        </w:tc>
        <w:tc>
          <w:tcPr>
            <w:tcW w:w="1927" w:type="dxa"/>
          </w:tcPr>
          <w:p>
            <w:r>
              <w:rPr/>
              <w:t xml:space="preserve">cost per started course</w:t>
            </w:r>
          </w:p>
        </w:tc>
        <w:tc>
          <w:tcPr>
            <w:tcW w:w="1927" w:type="dxa"/>
          </w:tcPr>
          <w:p>
            <w:r>
              <w:rPr/>
              <w:t xml:space="preserve">Reviewed working numerical assumption</w:t>
            </w:r>
          </w:p>
        </w:tc>
        <w:tc>
          <w:tcPr>
            <w:tcW w:w="1927" w:type="dxa"/>
          </w:tcPr>
          <w:p>
            <w:r>
              <w:rPr/>
              <w:t xml:space="preserve">Supports current cost-consequence calculation.</w:t>
            </w:r>
          </w:p>
        </w:tc>
      </w:tr>
      <w:tr>
        <w:tc>
          <w:tcPr>
            <w:tcW w:w="1927" w:type="dxa"/>
          </w:tcPr>
          <w:p>
            <w:r>
              <w:rPr/>
              <w:t xml:space="preserve">Active-TB disease care per case</w:t>
            </w:r>
          </w:p>
        </w:tc>
        <w:tc>
          <w:tcPr>
            <w:tcW w:w="1927" w:type="dxa"/>
          </w:tcPr>
          <w:p>
            <w:r>
              <w:rPr/>
              <w:t xml:space="preserve">AUD 19,080</w:t>
            </w:r>
          </w:p>
        </w:tc>
        <w:tc>
          <w:tcPr>
            <w:tcW w:w="1927" w:type="dxa"/>
          </w:tcPr>
          <w:p>
            <w:r>
              <w:rPr/>
              <w:t xml:space="preserve">cost per active TB case</w:t>
            </w:r>
          </w:p>
        </w:tc>
        <w:tc>
          <w:tcPr>
            <w:tcW w:w="1927" w:type="dxa"/>
          </w:tcPr>
          <w:p>
            <w:r>
              <w:rPr/>
              <w:t xml:space="preserve">Reviewed working numerical assumption</w:t>
            </w:r>
          </w:p>
        </w:tc>
        <w:tc>
          <w:tcPr>
            <w:tcW w:w="1927" w:type="dxa"/>
          </w:tcPr>
          <w:p>
            <w:r>
              <w:rPr/>
              <w:t xml:space="preserve">Supports current cost-consequence calculation.</w:t>
            </w:r>
          </w:p>
        </w:tc>
      </w:tr>
      <w:tr>
        <w:tc>
          <w:tcPr>
            <w:tcW w:w="1927" w:type="dxa"/>
          </w:tcPr>
          <w:p>
            <w:r>
              <w:rPr/>
              <w:t xml:space="preserve">TPT ADR management per ADR stop</w:t>
            </w:r>
          </w:p>
        </w:tc>
        <w:tc>
          <w:tcPr>
            <w:tcW w:w="1927" w:type="dxa"/>
          </w:tcPr>
          <w:p>
            <w:r>
              <w:rPr/>
              <w:t xml:space="preserve">AUD 39</w:t>
            </w:r>
          </w:p>
        </w:tc>
        <w:tc>
          <w:tcPr>
            <w:tcW w:w="1927" w:type="dxa"/>
          </w:tcPr>
          <w:p>
            <w:r>
              <w:rPr/>
              <w:t xml:space="preserve">cost per ADR stop</w:t>
            </w:r>
          </w:p>
        </w:tc>
        <w:tc>
          <w:tcPr>
            <w:tcW w:w="1927" w:type="dxa"/>
          </w:tcPr>
          <w:p>
            <w:r>
              <w:rPr/>
              <w:t xml:space="preserve">Reviewed working numerical assumption</w:t>
            </w:r>
          </w:p>
        </w:tc>
        <w:tc>
          <w:tcPr>
            <w:tcW w:w="1927" w:type="dxa"/>
          </w:tcPr>
          <w:p>
            <w:r>
              <w:rPr/>
              <w:t xml:space="preserve">Supports current cost-consequence calculation.</w:t>
            </w:r>
          </w:p>
        </w:tc>
      </w:tr>
      <w:tr>
        <w:tc>
          <w:tcPr>
            <w:tcW w:w="1927" w:type="dxa"/>
          </w:tcPr>
          <w:p>
            <w:r>
              <w:rPr/>
              <w:t xml:space="preserve">Return/results pathway cost per screened person</w:t>
            </w:r>
          </w:p>
        </w:tc>
        <w:tc>
          <w:tcPr>
            <w:tcW w:w="1927" w:type="dxa"/>
          </w:tcPr>
          <w:p>
            <w:r>
              <w:rPr/>
              <w:t xml:space="preserve">AUD 50</w:t>
            </w:r>
          </w:p>
        </w:tc>
        <w:tc>
          <w:tcPr>
            <w:tcW w:w="1927" w:type="dxa"/>
          </w:tcPr>
          <w:p>
            <w:r>
              <w:rPr/>
              <w:t xml:space="preserve">AUD per person screened</w:t>
            </w:r>
          </w:p>
        </w:tc>
        <w:tc>
          <w:tcPr>
            <w:tcW w:w="1927" w:type="dxa"/>
          </w:tcPr>
          <w:p>
            <w:r>
              <w:rPr/>
              <w:t xml:space="preserve">Reviewed working numerical assumption</w:t>
            </w:r>
          </w:p>
        </w:tc>
        <w:tc>
          <w:tcPr>
            <w:tcW w:w="1927" w:type="dxa"/>
          </w:tcPr>
          <w:p>
            <w:r>
              <w:rPr/>
              <w:t xml:space="preserve">Supports current cost-consequence calculation.</w:t>
            </w:r>
          </w:p>
        </w:tc>
      </w:tr>
      <w:tr>
        <w:tc>
          <w:tcPr>
            <w:tcW w:w="1927" w:type="dxa"/>
          </w:tcPr>
          <w:p>
            <w:r>
              <w:rPr/>
              <w:t xml:space="preserve">Clinical-review pathway cost per TPT start</w:t>
            </w:r>
          </w:p>
        </w:tc>
        <w:tc>
          <w:tcPr>
            <w:tcW w:w="1927" w:type="dxa"/>
          </w:tcPr>
          <w:p>
            <w:r>
              <w:rPr/>
              <w:t xml:space="preserve">AUD 50</w:t>
            </w:r>
          </w:p>
        </w:tc>
        <w:tc>
          <w:tcPr>
            <w:tcW w:w="1927" w:type="dxa"/>
          </w:tcPr>
          <w:p>
            <w:r>
              <w:rPr/>
              <w:t xml:space="preserve">AUD per TPT start</w:t>
            </w:r>
          </w:p>
        </w:tc>
        <w:tc>
          <w:tcPr>
            <w:tcW w:w="1927" w:type="dxa"/>
          </w:tcPr>
          <w:p>
            <w:r>
              <w:rPr/>
              <w:t xml:space="preserve">Reviewed working numerical assumption</w:t>
            </w:r>
          </w:p>
        </w:tc>
        <w:tc>
          <w:tcPr>
            <w:tcW w:w="1927" w:type="dxa"/>
          </w:tcPr>
          <w:p>
            <w:r>
              <w:rPr/>
              <w:t xml:space="preserve">Supports current cost-consequence calculation.</w:t>
            </w:r>
          </w:p>
        </w:tc>
      </w:tr>
      <w:tr>
        <w:tc>
          <w:tcPr>
            <w:tcW w:w="1927" w:type="dxa"/>
          </w:tcPr>
          <w:p>
            <w:r>
              <w:rPr/>
              <w:t xml:space="preserve">Active-TB exclusion / CXR / laboratory work-up per TPT start</w:t>
            </w:r>
          </w:p>
        </w:tc>
        <w:tc>
          <w:tcPr>
            <w:tcW w:w="1927" w:type="dxa"/>
          </w:tcPr>
          <w:p>
            <w:r>
              <w:rPr/>
              <w:t xml:space="preserve">AUD 150</w:t>
            </w:r>
          </w:p>
        </w:tc>
        <w:tc>
          <w:tcPr>
            <w:tcW w:w="1927" w:type="dxa"/>
          </w:tcPr>
          <w:p>
            <w:r>
              <w:rPr/>
              <w:t xml:space="preserve">AUD per TPT start</w:t>
            </w:r>
          </w:p>
        </w:tc>
        <w:tc>
          <w:tcPr>
            <w:tcW w:w="1927" w:type="dxa"/>
          </w:tcPr>
          <w:p>
            <w:r>
              <w:rPr/>
              <w:t xml:space="preserve">Reviewed working numerical assumption</w:t>
            </w:r>
          </w:p>
        </w:tc>
        <w:tc>
          <w:tcPr>
            <w:tcW w:w="1927" w:type="dxa"/>
          </w:tcPr>
          <w:p>
            <w:r>
              <w:rPr/>
              <w:t xml:space="preserve">Supports current cost-consequence calculation.</w:t>
            </w:r>
          </w:p>
        </w:tc>
      </w:tr>
      <w:tr>
        <w:tc>
          <w:tcPr>
            <w:tcW w:w="1927" w:type="dxa"/>
          </w:tcPr>
          <w:p>
            <w:r>
              <w:rPr/>
              <w:t xml:space="preserve">False-positive incremental care per false-positive TPT start</w:t>
            </w:r>
          </w:p>
        </w:tc>
        <w:tc>
          <w:tcPr>
            <w:tcW w:w="1927" w:type="dxa"/>
          </w:tcPr>
          <w:p>
            <w:r>
              <w:rPr/>
              <w:t xml:space="preserve">Reviewed as bundled/no additional cost</w:t>
            </w:r>
          </w:p>
        </w:tc>
        <w:tc>
          <w:tcPr>
            <w:tcW w:w="1927" w:type="dxa"/>
          </w:tcPr>
          <w:p>
            <w:r>
              <w:rPr/>
              <w:t xml:space="preserve">cost per false-positive TPT started</w:t>
            </w:r>
          </w:p>
        </w:tc>
        <w:tc>
          <w:tcPr>
            <w:tcW w:w="1927" w:type="dxa"/>
          </w:tcPr>
          <w:p>
            <w:r>
              <w:rPr/>
              <w:t xml:space="preserve">Reviewed as bundled/no additional cost</w:t>
            </w:r>
          </w:p>
        </w:tc>
        <w:tc>
          <w:tcPr>
            <w:tcW w:w="1927" w:type="dxa"/>
          </w:tcPr>
          <w:p>
            <w:r>
              <w:rPr/>
              <w:t xml:space="preserve">Supports current cost-consequence calculation.</w:t>
            </w:r>
          </w:p>
        </w:tc>
      </w:tr>
      <w:tr>
        <w:tc>
          <w:tcPr>
            <w:tcW w:w="1927" w:type="dxa"/>
          </w:tcPr>
          <w:p>
            <w:r>
              <w:rPr/>
              <w:t xml:space="preserve">Programme setup total cost</w:t>
            </w:r>
          </w:p>
        </w:tc>
        <w:tc>
          <w:tcPr>
            <w:tcW w:w="1927" w:type="dxa"/>
          </w:tcPr>
          <w:p>
            <w:r>
              <w:rPr/>
              <w:t xml:space="preserve">Reviewed exclusion</w:t>
            </w:r>
          </w:p>
        </w:tc>
        <w:tc>
          <w:tcPr>
            <w:tcW w:w="1927" w:type="dxa"/>
          </w:tcPr>
          <w:p>
            <w:r>
              <w:rPr/>
              <w:t xml:space="preserve">total once at programme start</w:t>
            </w:r>
          </w:p>
        </w:tc>
        <w:tc>
          <w:tcPr>
            <w:tcW w:w="1927" w:type="dxa"/>
          </w:tcPr>
          <w:p>
            <w:r>
              <w:rPr/>
              <w:t xml:space="preserve">Reviewed exclusion</w:t>
            </w:r>
          </w:p>
        </w:tc>
        <w:tc>
          <w:tcPr>
            <w:tcW w:w="1927" w:type="dxa"/>
          </w:tcPr>
          <w:p>
            <w:r>
              <w:rPr/>
              <w:t xml:space="preserve">Not yet locally costed; zero compatibility value in the primary working reference.</w:t>
            </w:r>
          </w:p>
        </w:tc>
      </w:tr>
      <w:tr>
        <w:tc>
          <w:tcPr>
            <w:tcW w:w="1927" w:type="dxa"/>
          </w:tcPr>
          <w:p>
            <w:r>
              <w:rPr/>
              <w:t xml:space="preserve">Programme running cost</w:t>
            </w:r>
          </w:p>
        </w:tc>
        <w:tc>
          <w:tcPr>
            <w:tcW w:w="1927" w:type="dxa"/>
          </w:tcPr>
          <w:p>
            <w:r>
              <w:rPr/>
              <w:t xml:space="preserve">Reviewed exclusion</w:t>
            </w:r>
          </w:p>
        </w:tc>
        <w:tc>
          <w:tcPr>
            <w:tcW w:w="1927" w:type="dxa"/>
          </w:tcPr>
          <w:p>
            <w:r>
              <w:rPr/>
              <w:t xml:space="preserve">annual or total over screening programme</w:t>
            </w:r>
          </w:p>
        </w:tc>
        <w:tc>
          <w:tcPr>
            <w:tcW w:w="1927" w:type="dxa"/>
          </w:tcPr>
          <w:p>
            <w:r>
              <w:rPr/>
              <w:t xml:space="preserve">Reviewed exclusion</w:t>
            </w:r>
          </w:p>
        </w:tc>
        <w:tc>
          <w:tcPr>
            <w:tcW w:w="1927" w:type="dxa"/>
          </w:tcPr>
          <w:p>
            <w:r>
              <w:rPr/>
              <w:t xml:space="preserve">Not yet locally costed; zero compatibility value in the primary working reference.</w:t>
            </w:r>
          </w:p>
        </w:tc>
      </w:tr>
      <w:tr>
        <w:tc>
          <w:tcPr>
            <w:tcW w:w="1927" w:type="dxa"/>
          </w:tcPr>
          <w:p>
            <w:r>
              <w:rPr/>
              <w:t xml:space="preserve">Travel, outreach and staff-support cost per screened person</w:t>
            </w:r>
          </w:p>
        </w:tc>
        <w:tc>
          <w:tcPr>
            <w:tcW w:w="1927" w:type="dxa"/>
          </w:tcPr>
          <w:p>
            <w:r>
              <w:rPr/>
              <w:t xml:space="preserve">AUD 0</w:t>
            </w:r>
          </w:p>
        </w:tc>
        <w:tc>
          <w:tcPr>
            <w:tcW w:w="1927" w:type="dxa"/>
          </w:tcPr>
          <w:p>
            <w:r>
              <w:rPr/>
              <w:t xml:space="preserve">AUD per person screened</w:t>
            </w:r>
          </w:p>
        </w:tc>
        <w:tc>
          <w:tcPr>
            <w:tcW w:w="1927" w:type="dxa"/>
          </w:tcPr>
          <w:p>
            <w:r>
              <w:rPr/>
              <w:t xml:space="preserve">Reviewed working numerical assumption</w:t>
            </w:r>
          </w:p>
        </w:tc>
        <w:tc>
          <w:tcPr>
            <w:tcW w:w="1927" w:type="dxa"/>
          </w:tcPr>
          <w:p>
            <w:r>
              <w:rPr/>
              <w:t xml:space="preserve">Not yet locally costed; zero compatibility value in the primary working reference.</w:t>
            </w:r>
          </w:p>
        </w:tc>
      </w:tr>
    </w:tbl>
    <w:p>
      <w:r>
        <w:t xml:space="preserve"/>
      </w:r>
    </w:p>
    <w:p>
      <w:pPr>
        <w:pStyle w:val="Heading1"/>
      </w:pPr>
      <w:r>
        <w:t xml:space="preserve">Health outcomes and DALY assumptions</w:t>
      </w:r>
    </w:p>
    <w:tbl>
      <w:tblPr>
        <w:tblStyle w:val="TableGrid"/>
        <w:tblW w:w="9638" w:type="dxa"/>
        <w:tblLayout w:type="fixed"/>
        <w:tblLook w:firstRow="1" w:noHBand="0" w:noVBand="1"/>
      </w:tblPr>
      <w:tr>
        <w:tc>
          <w:tcPr>
            <w:tcW w:w="1927" w:type="dxa"/>
            <w:shd w:fill="D9EAF7"/>
          </w:tcPr>
          <w:p>
            <w:r>
              <w:rPr>
                <w:b/>
              </w:rPr>
              <w:t xml:space="preserve">Assumption</w:t>
            </w:r>
          </w:p>
        </w:tc>
        <w:tc>
          <w:tcPr>
            <w:tcW w:w="1927" w:type="dxa"/>
            <w:shd w:fill="D9EAF7"/>
          </w:tcPr>
          <w:p>
            <w:r>
              <w:rPr>
                <w:b/>
              </w:rPr>
              <w:t xml:space="preserve">Value</w:t>
            </w:r>
          </w:p>
        </w:tc>
        <w:tc>
          <w:tcPr>
            <w:tcW w:w="1927" w:type="dxa"/>
            <w:shd w:fill="D9EAF7"/>
          </w:tcPr>
          <w:p>
            <w:r>
              <w:rPr>
                <w:b/>
              </w:rPr>
              <w:t xml:space="preserve">Unit</w:t>
            </w:r>
          </w:p>
        </w:tc>
        <w:tc>
          <w:tcPr>
            <w:tcW w:w="1927" w:type="dxa"/>
            <w:shd w:fill="D9EAF7"/>
          </w:tcPr>
          <w:p>
            <w:r>
              <w:rPr>
                <w:b/>
              </w:rPr>
              <w:t xml:space="preserve">Status</w:t>
            </w:r>
          </w:p>
        </w:tc>
        <w:tc>
          <w:tcPr>
            <w:tcW w:w="1927" w:type="dxa"/>
            <w:shd w:fill="D9EAF7"/>
          </w:tcPr>
          <w:p>
            <w:r>
              <w:rPr>
                <w:b/>
              </w:rPr>
              <w:t xml:space="preserve">Caveat</w:t>
            </w:r>
          </w:p>
        </w:tc>
      </w:tr>
      <w:tr>
        <w:tc>
          <w:tcPr>
            <w:tcW w:w="1927" w:type="dxa"/>
          </w:tcPr>
          <w:p>
            <w:r>
              <w:rPr/>
              <w:t xml:space="preserve">Active-TB disability weight</w:t>
            </w:r>
          </w:p>
        </w:tc>
        <w:tc>
          <w:tcPr>
            <w:tcW w:w="1927" w:type="dxa"/>
          </w:tcPr>
          <w:p>
            <w:r>
              <w:rPr/>
              <w:t xml:space="preserve">0.333</w:t>
            </w:r>
          </w:p>
        </w:tc>
        <w:tc>
          <w:tcPr>
            <w:tcW w:w="1927" w:type="dxa"/>
          </w:tcPr>
          <w:p>
            <w:r>
              <w:rPr/>
              <w:t xml:space="preserve">disability weight</w:t>
            </w:r>
          </w:p>
        </w:tc>
        <w:tc>
          <w:tcPr>
            <w:tcW w:w="1927" w:type="dxa"/>
          </w:tcPr>
          <w:p>
            <w:r>
              <w:rPr/>
              <w:t xml:space="preserve">Reviewed working numerical assumption</w:t>
            </w:r>
          </w:p>
        </w:tc>
        <w:tc>
          <w:tcPr>
            <w:tcW w:w="1927" w:type="dxa"/>
          </w:tcPr>
          <w:p>
            <w:r>
              <w:rPr/>
              <w:t xml:space="preserve">Supports secondary provisional DALY/ICER outputs.</w:t>
            </w:r>
          </w:p>
        </w:tc>
      </w:tr>
      <w:tr>
        <w:tc>
          <w:tcPr>
            <w:tcW w:w="1927" w:type="dxa"/>
          </w:tcPr>
          <w:p>
            <w:r>
              <w:rPr/>
              <w:t xml:space="preserve">daly.active_tb_duration_years</w:t>
            </w:r>
          </w:p>
        </w:tc>
        <w:tc>
          <w:tcPr>
            <w:tcW w:w="1927" w:type="dxa"/>
          </w:tcPr>
          <w:p>
            <w:r>
              <w:rPr/>
              <w:t xml:space="preserve">Excluded in primary analysis</w:t>
            </w:r>
          </w:p>
        </w:tc>
        <w:tc>
          <w:tcPr>
            <w:tcW w:w="1927" w:type="dxa"/>
          </w:tcPr>
          <w:p>
            <w:r>
              <w:rPr/>
              <w:t xml:space="preserve"/>
            </w:r>
          </w:p>
        </w:tc>
        <w:tc>
          <w:tcPr>
            <w:tcW w:w="1927" w:type="dxa"/>
          </w:tcPr>
          <w:p>
            <w:r>
              <w:rPr/>
              <w:t xml:space="preserve">Unresolved</w:t>
            </w:r>
          </w:p>
        </w:tc>
        <w:tc>
          <w:tcPr>
            <w:tcW w:w="1927" w:type="dxa"/>
          </w:tcPr>
          <w:p>
            <w:r>
              <w:rPr/>
              <w:t xml:space="preserve"/>
            </w:r>
          </w:p>
        </w:tc>
      </w:tr>
      <w:tr>
        <w:tc>
          <w:tcPr>
            <w:tcW w:w="1927" w:type="dxa"/>
          </w:tcPr>
          <w:p>
            <w:r>
              <w:rPr/>
              <w:t xml:space="preserve">TB case-fatality risk</w:t>
            </w:r>
          </w:p>
        </w:tc>
        <w:tc>
          <w:tcPr>
            <w:tcW w:w="1927" w:type="dxa"/>
          </w:tcPr>
          <w:p>
            <w:r>
              <w:rPr/>
              <w:t xml:space="preserve">0.074</w:t>
            </w:r>
          </w:p>
        </w:tc>
        <w:tc>
          <w:tcPr>
            <w:tcW w:w="1927" w:type="dxa"/>
          </w:tcPr>
          <w:p>
            <w:r>
              <w:rPr/>
              <w:t xml:space="preserve">probability</w:t>
            </w:r>
          </w:p>
        </w:tc>
        <w:tc>
          <w:tcPr>
            <w:tcW w:w="1927" w:type="dxa"/>
          </w:tcPr>
          <w:p>
            <w:r>
              <w:rPr/>
              <w:t xml:space="preserve">Reviewed working numerical assumption</w:t>
            </w:r>
          </w:p>
        </w:tc>
        <w:tc>
          <w:tcPr>
            <w:tcW w:w="1927" w:type="dxa"/>
          </w:tcPr>
          <w:p>
            <w:r>
              <w:rPr/>
              <w:t xml:space="preserve">Supports secondary provisional DALY/ICER outputs.</w:t>
            </w:r>
          </w:p>
        </w:tc>
      </w:tr>
      <w:tr>
        <w:tc>
          <w:tcPr>
            <w:tcW w:w="1927" w:type="dxa"/>
          </w:tcPr>
          <w:p>
            <w:r>
              <w:rPr/>
              <w:t xml:space="preserve">YLL per TB death</w:t>
            </w:r>
          </w:p>
        </w:tc>
        <w:tc>
          <w:tcPr>
            <w:tcW w:w="1927" w:type="dxa"/>
          </w:tcPr>
          <w:p>
            <w:r>
              <w:rPr/>
              <w:t xml:space="preserve">20.0</w:t>
            </w:r>
          </w:p>
        </w:tc>
        <w:tc>
          <w:tcPr>
            <w:tcW w:w="1927" w:type="dxa"/>
          </w:tcPr>
          <w:p>
            <w:r>
              <w:rPr/>
              <w:t xml:space="preserve">years</w:t>
            </w:r>
          </w:p>
        </w:tc>
        <w:tc>
          <w:tcPr>
            <w:tcW w:w="1927" w:type="dxa"/>
          </w:tcPr>
          <w:p>
            <w:r>
              <w:rPr/>
              <w:t xml:space="preserve">Reviewed working numerical assumption</w:t>
            </w:r>
          </w:p>
        </w:tc>
        <w:tc>
          <w:tcPr>
            <w:tcW w:w="1927" w:type="dxa"/>
          </w:tcPr>
          <w:p>
            <w:r>
              <w:rPr/>
              <w:t xml:space="preserve">Supports secondary provisional DALY/ICER outputs.</w:t>
            </w:r>
          </w:p>
        </w:tc>
      </w:tr>
      <w:tr>
        <w:tc>
          <w:tcPr>
            <w:tcW w:w="1927" w:type="dxa"/>
          </w:tcPr>
          <w:p>
            <w:r>
              <w:rPr/>
              <w:t xml:space="preserve">TPT health loss inclusion or exclusion</w:t>
            </w:r>
          </w:p>
        </w:tc>
        <w:tc>
          <w:tcPr>
            <w:tcW w:w="1927" w:type="dxa"/>
          </w:tcPr>
          <w:p>
            <w:r>
              <w:rPr/>
              <w:t xml:space="preserve">Excluded in primary analysis</w:t>
            </w:r>
          </w:p>
        </w:tc>
        <w:tc>
          <w:tcPr>
            <w:tcW w:w="1927" w:type="dxa"/>
          </w:tcPr>
          <w:p>
            <w:r>
              <w:rPr/>
              <w:t xml:space="preserve">DALYs per TPT start</w:t>
            </w:r>
          </w:p>
        </w:tc>
        <w:tc>
          <w:tcPr>
            <w:tcW w:w="1927" w:type="dxa"/>
          </w:tcPr>
          <w:p>
            <w:r>
              <w:rPr/>
              <w:t xml:space="preserve">Reviewed exclusion</w:t>
            </w:r>
          </w:p>
        </w:tc>
        <w:tc>
          <w:tcPr>
            <w:tcW w:w="1927" w:type="dxa"/>
          </w:tcPr>
          <w:p>
            <w:r>
              <w:rPr/>
              <w:t xml:space="preserve">Supports secondary provisional DALY/ICER outputs.</w:t>
            </w:r>
          </w:p>
        </w:tc>
      </w:tr>
      <w:tr>
        <w:tc>
          <w:tcPr>
            <w:tcW w:w="1927" w:type="dxa"/>
          </w:tcPr>
          <w:p>
            <w:r>
              <w:rPr/>
              <w:t xml:space="preserve">ADR health loss inclusion or exclusion</w:t>
            </w:r>
          </w:p>
        </w:tc>
        <w:tc>
          <w:tcPr>
            <w:tcW w:w="1927" w:type="dxa"/>
          </w:tcPr>
          <w:p>
            <w:r>
              <w:rPr/>
              <w:t xml:space="preserve">Excluded in primary analysis</w:t>
            </w:r>
          </w:p>
        </w:tc>
        <w:tc>
          <w:tcPr>
            <w:tcW w:w="1927" w:type="dxa"/>
          </w:tcPr>
          <w:p>
            <w:r>
              <w:rPr/>
              <w:t xml:space="preserve">DALYs per ADR stop</w:t>
            </w:r>
          </w:p>
        </w:tc>
        <w:tc>
          <w:tcPr>
            <w:tcW w:w="1927" w:type="dxa"/>
          </w:tcPr>
          <w:p>
            <w:r>
              <w:rPr/>
              <w:t xml:space="preserve">Reviewed exclusion</w:t>
            </w:r>
          </w:p>
        </w:tc>
        <w:tc>
          <w:tcPr>
            <w:tcW w:w="1927" w:type="dxa"/>
          </w:tcPr>
          <w:p>
            <w:r>
              <w:rPr/>
              <w:t xml:space="preserve">Supports secondary provisional DALY/ICER outputs.</w:t>
            </w:r>
          </w:p>
        </w:tc>
      </w:tr>
      <w:tr>
        <w:tc>
          <w:tcPr>
            <w:tcW w:w="1927" w:type="dxa"/>
          </w:tcPr>
          <w:p>
            <w:r>
              <w:rPr/>
              <w:t xml:space="preserve">Post-TB sequelae inclusion or exclusion</w:t>
            </w:r>
          </w:p>
        </w:tc>
        <w:tc>
          <w:tcPr>
            <w:tcW w:w="1927" w:type="dxa"/>
          </w:tcPr>
          <w:p>
            <w:r>
              <w:rPr/>
              <w:t xml:space="preserve">Excluded in primary analysis</w:t>
            </w:r>
          </w:p>
        </w:tc>
        <w:tc>
          <w:tcPr>
            <w:tcW w:w="1927" w:type="dxa"/>
          </w:tcPr>
          <w:p>
            <w:r>
              <w:rPr/>
              <w:t xml:space="preserve">DALYs</w:t>
            </w:r>
          </w:p>
        </w:tc>
        <w:tc>
          <w:tcPr>
            <w:tcW w:w="1927" w:type="dxa"/>
          </w:tcPr>
          <w:p>
            <w:r>
              <w:rPr/>
              <w:t xml:space="preserve">Reviewed exclusion</w:t>
            </w:r>
          </w:p>
        </w:tc>
        <w:tc>
          <w:tcPr>
            <w:tcW w:w="1927" w:type="dxa"/>
          </w:tcPr>
          <w:p>
            <w:r>
              <w:rPr/>
              <w:t xml:space="preserve">Supports secondary provisional DALY/ICER outputs.</w:t>
            </w:r>
          </w:p>
        </w:tc>
      </w:tr>
    </w:tbl>
    <w:p>
      <w:r>
        <w:t xml:space="preserve"/>
      </w:r>
    </w:p>
    <w:p>
      <w:pPr>
        <w:pStyle w:val="Heading1"/>
      </w:pPr>
      <w:r>
        <w:t xml:space="preserve">Epidemiological results</w:t>
      </w:r>
    </w:p>
    <w:tbl>
      <w:tblPr>
        <w:tblStyle w:val="TableGrid"/>
        <w:tblW w:w="9638" w:type="dxa"/>
        <w:tblLayout w:type="fixed"/>
        <w:tblLook w:firstRow="1" w:noHBand="0" w:noVBand="1"/>
      </w:tblPr>
      <w:tr>
        <w:tc>
          <w:tcPr>
            <w:tcW w:w="3212" w:type="dxa"/>
            <w:shd w:fill="D9EAF7"/>
          </w:tcPr>
          <w:p>
            <w:r>
              <w:rPr>
                <w:b/>
              </w:rPr>
              <w:t xml:space="preserve">Measure</w:t>
            </w:r>
          </w:p>
        </w:tc>
        <w:tc>
          <w:tcPr>
            <w:tcW w:w="3212" w:type="dxa"/>
            <w:shd w:fill="D9EAF7"/>
          </w:tcPr>
          <w:p>
            <w:r>
              <w:rPr>
                <w:b/>
              </w:rPr>
              <w:t xml:space="preserve">Value</w:t>
            </w:r>
          </w:p>
        </w:tc>
        <w:tc>
          <w:tcPr>
            <w:tcW w:w="3212" w:type="dxa"/>
            <w:shd w:fill="D9EAF7"/>
          </w:tcPr>
          <w:p>
            <w:r>
              <w:rPr>
                <w:b/>
              </w:rPr>
              <w:t xml:space="preserve">Interpretation</w:t>
            </w:r>
          </w:p>
        </w:tc>
      </w:tr>
      <w:tr>
        <w:tc>
          <w:tcPr>
            <w:tcW w:w="3212" w:type="dxa"/>
          </w:tcPr>
          <w:p>
            <w:r>
              <w:rPr/>
              <w:t xml:space="preserve">Eligible population</w:t>
            </w:r>
          </w:p>
        </w:tc>
        <w:tc>
          <w:tcPr>
            <w:tcW w:w="3212" w:type="dxa"/>
          </w:tcPr>
          <w:p>
            <w:r>
              <w:rPr/>
              <w:t xml:space="preserve">1,500</w:t>
            </w:r>
          </w:p>
        </w:tc>
        <w:tc>
          <w:tcPr>
            <w:tcW w:w="3212" w:type="dxa"/>
          </w:tcPr>
          <w:p>
            <w:r>
              <w:rPr/>
              <w:t xml:space="preserve">people</w:t>
            </w:r>
          </w:p>
        </w:tc>
      </w:tr>
      <w:tr>
        <w:tc>
          <w:tcPr>
            <w:tcW w:w="3212" w:type="dxa"/>
          </w:tcPr>
          <w:p>
            <w:r>
              <w:rPr/>
              <w:t xml:space="preserve">Screened</w:t>
            </w:r>
          </w:p>
        </w:tc>
        <w:tc>
          <w:tcPr>
            <w:tcW w:w="3212" w:type="dxa"/>
          </w:tcPr>
          <w:p>
            <w:r>
              <w:rPr/>
              <w:t xml:space="preserve">450</w:t>
            </w:r>
          </w:p>
        </w:tc>
        <w:tc>
          <w:tcPr>
            <w:tcW w:w="3212" w:type="dxa"/>
          </w:tcPr>
          <w:p>
            <w:r>
              <w:rPr/>
              <w:t xml:space="preserve">people</w:t>
            </w:r>
          </w:p>
        </w:tc>
      </w:tr>
      <w:tr>
        <w:tc>
          <w:tcPr>
            <w:tcW w:w="3212" w:type="dxa"/>
          </w:tcPr>
          <w:p>
            <w:r>
              <w:rPr/>
              <w:t xml:space="preserve">True-positive latent results</w:t>
            </w:r>
          </w:p>
        </w:tc>
        <w:tc>
          <w:tcPr>
            <w:tcW w:w="3212" w:type="dxa"/>
          </w:tcPr>
          <w:p>
            <w:r>
              <w:rPr/>
              <w:t xml:space="preserve">65.9</w:t>
            </w:r>
          </w:p>
        </w:tc>
        <w:tc>
          <w:tcPr>
            <w:tcW w:w="3212" w:type="dxa"/>
          </w:tcPr>
          <w:p>
            <w:r>
              <w:rPr/>
              <w:t xml:space="preserve">people</w:t>
            </w:r>
          </w:p>
        </w:tc>
      </w:tr>
      <w:tr>
        <w:tc>
          <w:tcPr>
            <w:tcW w:w="3212" w:type="dxa"/>
          </w:tcPr>
          <w:p>
            <w:r>
              <w:rPr/>
              <w:t xml:space="preserve">False-positive results</w:t>
            </w:r>
          </w:p>
        </w:tc>
        <w:tc>
          <w:tcPr>
            <w:tcW w:w="3212" w:type="dxa"/>
          </w:tcPr>
          <w:p>
            <w:r>
              <w:rPr/>
              <w:t xml:space="preserve">7.4</w:t>
            </w:r>
          </w:p>
        </w:tc>
        <w:tc>
          <w:tcPr>
            <w:tcW w:w="3212" w:type="dxa"/>
          </w:tcPr>
          <w:p>
            <w:r>
              <w:rPr/>
              <w:t xml:space="preserve">people</w:t>
            </w:r>
          </w:p>
        </w:tc>
      </w:tr>
      <w:tr>
        <w:tc>
          <w:tcPr>
            <w:tcW w:w="3212" w:type="dxa"/>
          </w:tcPr>
          <w:p>
            <w:r>
              <w:rPr/>
              <w:t xml:space="preserve">Preventive treatments initiated</w:t>
            </w:r>
          </w:p>
        </w:tc>
        <w:tc>
          <w:tcPr>
            <w:tcW w:w="3212" w:type="dxa"/>
          </w:tcPr>
          <w:p>
            <w:r>
              <w:rPr/>
              <w:t xml:space="preserve">62.2</w:t>
            </w:r>
          </w:p>
        </w:tc>
        <w:tc>
          <w:tcPr>
            <w:tcW w:w="3212" w:type="dxa"/>
          </w:tcPr>
          <w:p>
            <w:r>
              <w:rPr/>
              <w:t xml:space="preserve">people</w:t>
            </w:r>
          </w:p>
        </w:tc>
      </w:tr>
      <w:tr>
        <w:tc>
          <w:tcPr>
            <w:tcW w:w="3212" w:type="dxa"/>
          </w:tcPr>
          <w:p>
            <w:r>
              <w:rPr/>
              <w:t xml:space="preserve">Preventive treatments completed</w:t>
            </w:r>
          </w:p>
        </w:tc>
        <w:tc>
          <w:tcPr>
            <w:tcW w:w="3212" w:type="dxa"/>
          </w:tcPr>
          <w:p>
            <w:r>
              <w:rPr/>
              <w:t xml:space="preserve">49.7</w:t>
            </w:r>
          </w:p>
        </w:tc>
        <w:tc>
          <w:tcPr>
            <w:tcW w:w="3212" w:type="dxa"/>
          </w:tcPr>
          <w:p>
            <w:r>
              <w:rPr/>
              <w:t xml:space="preserve">people</w:t>
            </w:r>
          </w:p>
        </w:tc>
      </w:tr>
      <w:tr>
        <w:tc>
          <w:tcPr>
            <w:tcW w:w="3212" w:type="dxa"/>
          </w:tcPr>
          <w:p>
            <w:r>
              <w:rPr/>
              <w:t xml:space="preserve">ADR-related treatment stops</w:t>
            </w:r>
          </w:p>
        </w:tc>
        <w:tc>
          <w:tcPr>
            <w:tcW w:w="3212" w:type="dxa"/>
          </w:tcPr>
          <w:p>
            <w:r>
              <w:rPr/>
              <w:t xml:space="preserve">3.1</w:t>
            </w:r>
          </w:p>
        </w:tc>
        <w:tc>
          <w:tcPr>
            <w:tcW w:w="3212" w:type="dxa"/>
          </w:tcPr>
          <w:p>
            <w:r>
              <w:rPr/>
              <w:t xml:space="preserve">people</w:t>
            </w:r>
          </w:p>
        </w:tc>
      </w:tr>
      <w:tr>
        <w:tc>
          <w:tcPr>
            <w:tcW w:w="3212" w:type="dxa"/>
          </w:tcPr>
          <w:p>
            <w:r>
              <w:rPr/>
              <w:t xml:space="preserve">Infections effectively treated</w:t>
            </w:r>
          </w:p>
        </w:tc>
        <w:tc>
          <w:tcPr>
            <w:tcW w:w="3212" w:type="dxa"/>
          </w:tcPr>
          <w:p>
            <w:r>
              <w:rPr/>
              <w:t xml:space="preserve">36.7</w:t>
            </w:r>
          </w:p>
        </w:tc>
        <w:tc>
          <w:tcPr>
            <w:tcW w:w="3212" w:type="dxa"/>
          </w:tcPr>
          <w:p>
            <w:r>
              <w:rPr/>
              <w:t xml:space="preserve">people</w:t>
            </w:r>
          </w:p>
        </w:tc>
      </w:tr>
      <w:tr>
        <w:tc>
          <w:tcPr>
            <w:tcW w:w="3212" w:type="dxa"/>
          </w:tcPr>
          <w:p>
            <w:r>
              <w:rPr/>
              <w:t xml:space="preserve">Comparator active TB</w:t>
            </w:r>
          </w:p>
        </w:tc>
        <w:tc>
          <w:tcPr>
            <w:tcW w:w="3212" w:type="dxa"/>
          </w:tcPr>
          <w:p>
            <w:r>
              <w:rPr/>
              <w:t xml:space="preserve">37.3</w:t>
            </w:r>
          </w:p>
        </w:tc>
        <w:tc>
          <w:tcPr>
            <w:tcW w:w="3212" w:type="dxa"/>
          </w:tcPr>
          <w:p>
            <w:r>
              <w:rPr/>
              <w:t xml:space="preserve">cases</w:t>
            </w:r>
          </w:p>
        </w:tc>
      </w:tr>
      <w:tr>
        <w:tc>
          <w:tcPr>
            <w:tcW w:w="3212" w:type="dxa"/>
          </w:tcPr>
          <w:p>
            <w:r>
              <w:rPr/>
              <w:t xml:space="preserve">Intervention active TB</w:t>
            </w:r>
          </w:p>
        </w:tc>
        <w:tc>
          <w:tcPr>
            <w:tcW w:w="3212" w:type="dxa"/>
          </w:tcPr>
          <w:p>
            <w:r>
              <w:rPr/>
              <w:t xml:space="preserve">25.3</w:t>
            </w:r>
          </w:p>
        </w:tc>
        <w:tc>
          <w:tcPr>
            <w:tcW w:w="3212" w:type="dxa"/>
          </w:tcPr>
          <w:p>
            <w:r>
              <w:rPr/>
              <w:t xml:space="preserve">cases</w:t>
            </w:r>
          </w:p>
        </w:tc>
      </w:tr>
      <w:tr>
        <w:tc>
          <w:tcPr>
            <w:tcW w:w="3212" w:type="dxa"/>
          </w:tcPr>
          <w:p>
            <w:r>
              <w:rPr/>
              <w:t xml:space="preserve">Active TB cases averted</w:t>
            </w:r>
          </w:p>
        </w:tc>
        <w:tc>
          <w:tcPr>
            <w:tcW w:w="3212" w:type="dxa"/>
          </w:tcPr>
          <w:p>
            <w:r>
              <w:rPr/>
              <w:t xml:space="preserve">12.0</w:t>
            </w:r>
          </w:p>
        </w:tc>
        <w:tc>
          <w:tcPr>
            <w:tcW w:w="3212" w:type="dxa"/>
          </w:tcPr>
          <w:p>
            <w:r>
              <w:rPr/>
              <w:t xml:space="preserve">cases</w:t>
            </w:r>
          </w:p>
        </w:tc>
      </w:tr>
      <w:tr>
        <w:tc>
          <w:tcPr>
            <w:tcW w:w="3212" w:type="dxa"/>
          </w:tcPr>
          <w:p>
            <w:r>
              <w:rPr/>
              <w:t xml:space="preserve">Relative reduction</w:t>
            </w:r>
          </w:p>
        </w:tc>
        <w:tc>
          <w:tcPr>
            <w:tcW w:w="3212" w:type="dxa"/>
          </w:tcPr>
          <w:p>
            <w:r>
              <w:rPr/>
              <w:t xml:space="preserve">32.1%</w:t>
            </w:r>
          </w:p>
        </w:tc>
        <w:tc>
          <w:tcPr>
            <w:tcW w:w="3212" w:type="dxa"/>
          </w:tcPr>
          <w:p>
            <w:r>
              <w:rPr/>
              <w:t xml:space="preserve">direct active-TB outcomes</w:t>
            </w:r>
          </w:p>
        </w:tc>
      </w:tr>
    </w:tbl>
    <w:p>
      <w:r>
        <w:t xml:space="preserve"/>
      </w:r>
    </w:p>
    <w:p>
      <w:r>
        <w:drawing>
          <wp:inline xmlns:wp="http://schemas.openxmlformats.org/drawingml/2006/wordprocessingDrawing" distT="0" distB="0" distL="0" distR="0">
            <wp:extent cx="5900000" cy="3658000"/>
            <wp:docPr id="2" name="image2.png"/>
            <a:graphic xmlns:a="http://schemas.openxmlformats.org/drawingml/2006/main">
              <a:graphicData uri="http://schemas.openxmlformats.org/drawingml/2006/picture">
                <pic:pic xmlns:pic="http://schemas.openxmlformats.org/drawingml/2006/picture">
                  <pic:nvPicPr>
                    <pic:cNvPr id="2" name="image2.png"/>
                    <pic:cNvPicPr/>
                  </pic:nvPicPr>
                  <pic:blipFill>
                    <a:blip r:embed="rId2"/>
                    <a:stretch>
                      <a:fillRect/>
                    </a:stretch>
                  </pic:blipFill>
                  <pic:spPr>
                    <a:xfrm>
                      <a:off x="0" y="0"/>
                      <a:ext cx="5900000" cy="3658000"/>
                    </a:xfrm>
                    <a:prstGeom prst="rect">
                      <a:avLst/>
                    </a:prstGeom>
                  </pic:spPr>
                </pic:pic>
              </a:graphicData>
            </a:graphic>
          </wp:inline>
        </w:drawing>
      </w:r>
    </w:p>
    <w:p>
      <w:pPr>
        <w:pStyle w:val="Caption"/>
      </w:pPr>
      <w:r>
        <w:t xml:space="preserve">Figure 2. Comparator and intervention active-TB outcomes.</w:t>
      </w:r>
    </w:p>
    <w:p>
      <w:pPr>
        <w:pStyle w:val="Heading1"/>
      </w:pPr>
      <w:r>
        <w:t xml:space="preserve">Cost-consequence results</w:t>
      </w:r>
    </w:p>
    <w:p>
      <w:r>
        <w:t xml:space="preserve">Under the primary working assumptions, comparator active-TB care costs are AUD 626,261; intervention total costs are AUD 533,891.</w:t>
      </w:r>
    </w:p>
    <w:p>
      <w:r>
        <w:t xml:space="preserve">The signed incremental cost is AUD -92,370. Because this is negative, the included health-system costs are lower with screening and preventive treatment in the model. This should be read as a net included health-system saving, not as proof that programme delivery is costless.</w:t>
      </w:r>
    </w:p>
    <w:tbl>
      <w:tblPr>
        <w:tblStyle w:val="TableGrid"/>
        <w:tblW w:w="9638" w:type="dxa"/>
        <w:tblLayout w:type="fixed"/>
        <w:tblLook w:firstRow="1" w:noHBand="0" w:noVBand="1"/>
      </w:tblPr>
      <w:tr>
        <w:tc>
          <w:tcPr>
            <w:tcW w:w="1927" w:type="dxa"/>
            <w:shd w:fill="D9EAF7"/>
          </w:tcPr>
          <w:p>
            <w:r>
              <w:rPr>
                <w:b/>
              </w:rPr>
              <w:t xml:space="preserve">Category</w:t>
            </w:r>
          </w:p>
        </w:tc>
        <w:tc>
          <w:tcPr>
            <w:tcW w:w="1927" w:type="dxa"/>
            <w:shd w:fill="D9EAF7"/>
          </w:tcPr>
          <w:p>
            <w:r>
              <w:rPr>
                <w:b/>
              </w:rPr>
              <w:t xml:space="preserve">Comparator</w:t>
            </w:r>
          </w:p>
        </w:tc>
        <w:tc>
          <w:tcPr>
            <w:tcW w:w="1927" w:type="dxa"/>
            <w:shd w:fill="D9EAF7"/>
          </w:tcPr>
          <w:p>
            <w:r>
              <w:rPr>
                <w:b/>
              </w:rPr>
              <w:t xml:space="preserve">Intervention</w:t>
            </w:r>
          </w:p>
        </w:tc>
        <w:tc>
          <w:tcPr>
            <w:tcW w:w="1927" w:type="dxa"/>
            <w:shd w:fill="D9EAF7"/>
          </w:tcPr>
          <w:p>
            <w:r>
              <w:rPr>
                <w:b/>
              </w:rPr>
              <w:t xml:space="preserve">Incremental</w:t>
            </w:r>
          </w:p>
        </w:tc>
        <w:tc>
          <w:tcPr>
            <w:tcW w:w="1927" w:type="dxa"/>
            <w:shd w:fill="D9EAF7"/>
          </w:tcPr>
          <w:p>
            <w:r>
              <w:rPr>
                <w:b/>
              </w:rPr>
              <w:t xml:space="preserve">Interpretation</w:t>
            </w:r>
          </w:p>
        </w:tc>
      </w:tr>
      <w:tr>
        <w:tc>
          <w:tcPr>
            <w:tcW w:w="1927" w:type="dxa"/>
          </w:tcPr>
          <w:p>
            <w:r>
              <w:rPr/>
              <w:t xml:space="preserve">Screening test</w:t>
            </w:r>
          </w:p>
        </w:tc>
        <w:tc>
          <w:tcPr>
            <w:tcW w:w="1927" w:type="dxa"/>
          </w:tcPr>
          <w:p>
            <w:r>
              <w:rPr/>
              <w:t xml:space="preserve">AUD 0</w:t>
            </w:r>
          </w:p>
        </w:tc>
        <w:tc>
          <w:tcPr>
            <w:tcW w:w="1927" w:type="dxa"/>
          </w:tcPr>
          <w:p>
            <w:r>
              <w:rPr/>
              <w:t xml:space="preserve">AUD 50,323</w:t>
            </w:r>
          </w:p>
        </w:tc>
        <w:tc>
          <w:tcPr>
            <w:tcW w:w="1927" w:type="dxa"/>
          </w:tcPr>
          <w:p>
            <w:r>
              <w:rPr/>
              <w:t xml:space="preserve">AUD 50,323</w:t>
            </w:r>
          </w:p>
        </w:tc>
        <w:tc>
          <w:tcPr>
            <w:tcW w:w="1927" w:type="dxa"/>
          </w:tcPr>
          <w:p>
            <w:r>
              <w:rPr/>
              <w:t xml:space="preserve">Included mapped event cost.</w:t>
            </w:r>
          </w:p>
        </w:tc>
      </w:tr>
      <w:tr>
        <w:tc>
          <w:tcPr>
            <w:tcW w:w="1927" w:type="dxa"/>
          </w:tcPr>
          <w:p>
            <w:r>
              <w:rPr/>
              <w:t xml:space="preserve">Return/results</w:t>
            </w:r>
          </w:p>
        </w:tc>
        <w:tc>
          <w:tcPr>
            <w:tcW w:w="1927" w:type="dxa"/>
          </w:tcPr>
          <w:p>
            <w:r>
              <w:rPr/>
              <w:t xml:space="preserve">AUD 0</w:t>
            </w:r>
          </w:p>
        </w:tc>
        <w:tc>
          <w:tcPr>
            <w:tcW w:w="1927" w:type="dxa"/>
          </w:tcPr>
          <w:p>
            <w:r>
              <w:rPr/>
              <w:t xml:space="preserve">AUD 22,173</w:t>
            </w:r>
          </w:p>
        </w:tc>
        <w:tc>
          <w:tcPr>
            <w:tcW w:w="1927" w:type="dxa"/>
          </w:tcPr>
          <w:p>
            <w:r>
              <w:rPr/>
              <w:t xml:space="preserve">AUD 22,173</w:t>
            </w:r>
          </w:p>
        </w:tc>
        <w:tc>
          <w:tcPr>
            <w:tcW w:w="1927" w:type="dxa"/>
          </w:tcPr>
          <w:p>
            <w:r>
              <w:rPr/>
              <w:t xml:space="preserve">SA Health pathway working cost; possible bundle overlap should be reviewed.</w:t>
            </w:r>
          </w:p>
        </w:tc>
      </w:tr>
      <w:tr>
        <w:tc>
          <w:tcPr>
            <w:tcW w:w="1927" w:type="dxa"/>
          </w:tcPr>
          <w:p>
            <w:r>
              <w:rPr/>
              <w:t xml:space="preserve">Clinical review</w:t>
            </w:r>
          </w:p>
        </w:tc>
        <w:tc>
          <w:tcPr>
            <w:tcW w:w="1927" w:type="dxa"/>
          </w:tcPr>
          <w:p>
            <w:r>
              <w:rPr/>
              <w:t xml:space="preserve">AUD 0</w:t>
            </w:r>
          </w:p>
        </w:tc>
        <w:tc>
          <w:tcPr>
            <w:tcW w:w="1927" w:type="dxa"/>
          </w:tcPr>
          <w:p>
            <w:r>
              <w:rPr/>
              <w:t xml:space="preserve">AUD 3,069</w:t>
            </w:r>
          </w:p>
        </w:tc>
        <w:tc>
          <w:tcPr>
            <w:tcW w:w="1927" w:type="dxa"/>
          </w:tcPr>
          <w:p>
            <w:r>
              <w:rPr/>
              <w:t xml:space="preserve">AUD 3,069</w:t>
            </w:r>
          </w:p>
        </w:tc>
        <w:tc>
          <w:tcPr>
            <w:tcW w:w="1927" w:type="dxa"/>
          </w:tcPr>
          <w:p>
            <w:r>
              <w:rPr/>
              <w:t xml:space="preserve">SA Health pathway working cost; possible bundle overlap should be reviewed.</w:t>
            </w:r>
          </w:p>
        </w:tc>
      </w:tr>
      <w:tr>
        <w:tc>
          <w:tcPr>
            <w:tcW w:w="1927" w:type="dxa"/>
          </w:tcPr>
          <w:p>
            <w:r>
              <w:rPr/>
              <w:t xml:space="preserve">Active-TB exclusion/work-up</w:t>
            </w:r>
          </w:p>
        </w:tc>
        <w:tc>
          <w:tcPr>
            <w:tcW w:w="1927" w:type="dxa"/>
          </w:tcPr>
          <w:p>
            <w:r>
              <w:rPr/>
              <w:t xml:space="preserve">AUD 0</w:t>
            </w:r>
          </w:p>
        </w:tc>
        <w:tc>
          <w:tcPr>
            <w:tcW w:w="1927" w:type="dxa"/>
          </w:tcPr>
          <w:p>
            <w:r>
              <w:rPr/>
              <w:t xml:space="preserve">AUD 9,208</w:t>
            </w:r>
          </w:p>
        </w:tc>
        <w:tc>
          <w:tcPr>
            <w:tcW w:w="1927" w:type="dxa"/>
          </w:tcPr>
          <w:p>
            <w:r>
              <w:rPr/>
              <w:t xml:space="preserve">AUD 9,208</w:t>
            </w:r>
          </w:p>
        </w:tc>
        <w:tc>
          <w:tcPr>
            <w:tcW w:w="1927" w:type="dxa"/>
          </w:tcPr>
          <w:p>
            <w:r>
              <w:rPr/>
              <w:t xml:space="preserve">SA Health pathway working cost; possible bundle overlap should be reviewed.</w:t>
            </w:r>
          </w:p>
        </w:tc>
      </w:tr>
      <w:tr>
        <w:tc>
          <w:tcPr>
            <w:tcW w:w="1927" w:type="dxa"/>
          </w:tcPr>
          <w:p>
            <w:r>
              <w:rPr/>
              <w:t xml:space="preserve">Preventive regimen</w:t>
            </w:r>
          </w:p>
        </w:tc>
        <w:tc>
          <w:tcPr>
            <w:tcW w:w="1927" w:type="dxa"/>
          </w:tcPr>
          <w:p>
            <w:r>
              <w:rPr/>
              <w:t xml:space="preserve">AUD 0</w:t>
            </w:r>
          </w:p>
        </w:tc>
        <w:tc>
          <w:tcPr>
            <w:tcW w:w="1927" w:type="dxa"/>
          </w:tcPr>
          <w:p>
            <w:r>
              <w:rPr/>
              <w:t xml:space="preserve">AUD 10,159</w:t>
            </w:r>
          </w:p>
        </w:tc>
        <w:tc>
          <w:tcPr>
            <w:tcW w:w="1927" w:type="dxa"/>
          </w:tcPr>
          <w:p>
            <w:r>
              <w:rPr/>
              <w:t xml:space="preserve">AUD 10,159</w:t>
            </w:r>
          </w:p>
        </w:tc>
        <w:tc>
          <w:tcPr>
            <w:tcW w:w="1927" w:type="dxa"/>
          </w:tcPr>
          <w:p>
            <w:r>
              <w:rPr/>
              <w:t xml:space="preserve">Included mapped event cost.</w:t>
            </w:r>
          </w:p>
        </w:tc>
      </w:tr>
      <w:tr>
        <w:tc>
          <w:tcPr>
            <w:tcW w:w="1927" w:type="dxa"/>
          </w:tcPr>
          <w:p>
            <w:r>
              <w:rPr/>
              <w:t xml:space="preserve">ADR management</w:t>
            </w:r>
          </w:p>
        </w:tc>
        <w:tc>
          <w:tcPr>
            <w:tcW w:w="1927" w:type="dxa"/>
          </w:tcPr>
          <w:p>
            <w:r>
              <w:rPr/>
              <w:t xml:space="preserve">AUD 0</w:t>
            </w:r>
          </w:p>
        </w:tc>
        <w:tc>
          <w:tcPr>
            <w:tcW w:w="1927" w:type="dxa"/>
          </w:tcPr>
          <w:p>
            <w:r>
              <w:rPr/>
              <w:t xml:space="preserve">AUD 120</w:t>
            </w:r>
          </w:p>
        </w:tc>
        <w:tc>
          <w:tcPr>
            <w:tcW w:w="1927" w:type="dxa"/>
          </w:tcPr>
          <w:p>
            <w:r>
              <w:rPr/>
              <w:t xml:space="preserve">AUD 120</w:t>
            </w:r>
          </w:p>
        </w:tc>
        <w:tc>
          <w:tcPr>
            <w:tcW w:w="1927" w:type="dxa"/>
          </w:tcPr>
          <w:p>
            <w:r>
              <w:rPr/>
              <w:t xml:space="preserve">Included mapped event cost.</w:t>
            </w:r>
          </w:p>
        </w:tc>
      </w:tr>
      <w:tr>
        <w:tc>
          <w:tcPr>
            <w:tcW w:w="1927" w:type="dxa"/>
          </w:tcPr>
          <w:p>
            <w:r>
              <w:rPr/>
              <w:t xml:space="preserve">Programme setup</w:t>
            </w:r>
          </w:p>
        </w:tc>
        <w:tc>
          <w:tcPr>
            <w:tcW w:w="1927" w:type="dxa"/>
          </w:tcPr>
          <w:p>
            <w:r>
              <w:rPr/>
              <w:t xml:space="preserve">AUD 0</w:t>
            </w:r>
          </w:p>
        </w:tc>
        <w:tc>
          <w:tcPr>
            <w:tcW w:w="1927" w:type="dxa"/>
          </w:tcPr>
          <w:p>
            <w:r>
              <w:rPr/>
              <w:t xml:space="preserve">AUD 0</w:t>
            </w:r>
          </w:p>
        </w:tc>
        <w:tc>
          <w:tcPr>
            <w:tcW w:w="1927" w:type="dxa"/>
          </w:tcPr>
          <w:p>
            <w:r>
              <w:rPr/>
              <w:t xml:space="preserve">AUD 0</w:t>
            </w:r>
          </w:p>
        </w:tc>
        <w:tc>
          <w:tcPr>
            <w:tcW w:w="1927" w:type="dxa"/>
          </w:tcPr>
          <w:p>
            <w:r>
              <w:rPr/>
              <w:t xml:space="preserve">Not yet locally costed in primary reference.</w:t>
            </w:r>
          </w:p>
        </w:tc>
      </w:tr>
      <w:tr>
        <w:tc>
          <w:tcPr>
            <w:tcW w:w="1927" w:type="dxa"/>
          </w:tcPr>
          <w:p>
            <w:r>
              <w:rPr/>
              <w:t xml:space="preserve">Programme running</w:t>
            </w:r>
          </w:p>
        </w:tc>
        <w:tc>
          <w:tcPr>
            <w:tcW w:w="1927" w:type="dxa"/>
          </w:tcPr>
          <w:p>
            <w:r>
              <w:rPr/>
              <w:t xml:space="preserve">AUD 0</w:t>
            </w:r>
          </w:p>
        </w:tc>
        <w:tc>
          <w:tcPr>
            <w:tcW w:w="1927" w:type="dxa"/>
          </w:tcPr>
          <w:p>
            <w:r>
              <w:rPr/>
              <w:t xml:space="preserve">AUD 0</w:t>
            </w:r>
          </w:p>
        </w:tc>
        <w:tc>
          <w:tcPr>
            <w:tcW w:w="1927" w:type="dxa"/>
          </w:tcPr>
          <w:p>
            <w:r>
              <w:rPr/>
              <w:t xml:space="preserve">AUD 0</w:t>
            </w:r>
          </w:p>
        </w:tc>
        <w:tc>
          <w:tcPr>
            <w:tcW w:w="1927" w:type="dxa"/>
          </w:tcPr>
          <w:p>
            <w:r>
              <w:rPr/>
              <w:t xml:space="preserve">Not yet locally costed in primary reference.</w:t>
            </w:r>
          </w:p>
        </w:tc>
      </w:tr>
      <w:tr>
        <w:tc>
          <w:tcPr>
            <w:tcW w:w="1927" w:type="dxa"/>
          </w:tcPr>
          <w:p>
            <w:r>
              <w:rPr/>
              <w:t xml:space="preserve">Travel/outreach/staff</w:t>
            </w:r>
          </w:p>
        </w:tc>
        <w:tc>
          <w:tcPr>
            <w:tcW w:w="1927" w:type="dxa"/>
          </w:tcPr>
          <w:p>
            <w:r>
              <w:rPr/>
              <w:t xml:space="preserve">AUD 0</w:t>
            </w:r>
          </w:p>
        </w:tc>
        <w:tc>
          <w:tcPr>
            <w:tcW w:w="1927" w:type="dxa"/>
          </w:tcPr>
          <w:p>
            <w:r>
              <w:rPr/>
              <w:t xml:space="preserve">AUD 0</w:t>
            </w:r>
          </w:p>
        </w:tc>
        <w:tc>
          <w:tcPr>
            <w:tcW w:w="1927" w:type="dxa"/>
          </w:tcPr>
          <w:p>
            <w:r>
              <w:rPr/>
              <w:t xml:space="preserve">AUD 0</w:t>
            </w:r>
          </w:p>
        </w:tc>
        <w:tc>
          <w:tcPr>
            <w:tcW w:w="1927" w:type="dxa"/>
          </w:tcPr>
          <w:p>
            <w:r>
              <w:rPr/>
              <w:t xml:space="preserve">Not yet locally costed in primary reference.</w:t>
            </w:r>
          </w:p>
        </w:tc>
      </w:tr>
      <w:tr>
        <w:tc>
          <w:tcPr>
            <w:tcW w:w="1927" w:type="dxa"/>
          </w:tcPr>
          <w:p>
            <w:r>
              <w:rPr/>
              <w:t xml:space="preserve">Active-TB care</w:t>
            </w:r>
          </w:p>
        </w:tc>
        <w:tc>
          <w:tcPr>
            <w:tcW w:w="1927" w:type="dxa"/>
          </w:tcPr>
          <w:p>
            <w:r>
              <w:rPr/>
              <w:t xml:space="preserve">AUD 626,261</w:t>
            </w:r>
          </w:p>
        </w:tc>
        <w:tc>
          <w:tcPr>
            <w:tcW w:w="1927" w:type="dxa"/>
          </w:tcPr>
          <w:p>
            <w:r>
              <w:rPr/>
              <w:t xml:space="preserve">AUD 438,839</w:t>
            </w:r>
          </w:p>
        </w:tc>
        <w:tc>
          <w:tcPr>
            <w:tcW w:w="1927" w:type="dxa"/>
          </w:tcPr>
          <w:p>
            <w:r>
              <w:rPr/>
              <w:t xml:space="preserve">AUD -187,422</w:t>
            </w:r>
          </w:p>
        </w:tc>
        <w:tc>
          <w:tcPr>
            <w:tcW w:w="1927" w:type="dxa"/>
          </w:tcPr>
          <w:p>
            <w:r>
              <w:rPr/>
              <w:t xml:space="preserve">Offset from fewer modelled active-TB cases.</w:t>
            </w:r>
          </w:p>
        </w:tc>
      </w:tr>
      <w:tr>
        <w:tc>
          <w:tcPr>
            <w:tcW w:w="1927" w:type="dxa"/>
          </w:tcPr>
          <w:p>
            <w:r>
              <w:rPr/>
              <w:t xml:space="preserve">Total</w:t>
            </w:r>
          </w:p>
        </w:tc>
        <w:tc>
          <w:tcPr>
            <w:tcW w:w="1927" w:type="dxa"/>
          </w:tcPr>
          <w:p>
            <w:r>
              <w:rPr/>
              <w:t xml:space="preserve">AUD 626,261</w:t>
            </w:r>
          </w:p>
        </w:tc>
        <w:tc>
          <w:tcPr>
            <w:tcW w:w="1927" w:type="dxa"/>
          </w:tcPr>
          <w:p>
            <w:r>
              <w:rPr/>
              <w:t xml:space="preserve">AUD 533,891</w:t>
            </w:r>
          </w:p>
        </w:tc>
        <w:tc>
          <w:tcPr>
            <w:tcW w:w="1927" w:type="dxa"/>
          </w:tcPr>
          <w:p>
            <w:r>
              <w:rPr/>
              <w:t xml:space="preserve">AUD -92,370</w:t>
            </w:r>
          </w:p>
        </w:tc>
        <w:tc>
          <w:tcPr>
            <w:tcW w:w="1927" w:type="dxa"/>
          </w:tcPr>
          <w:p>
            <w:r>
              <w:rPr/>
              <w:t xml:space="preserve">Included mapped event cost.</w:t>
            </w:r>
          </w:p>
        </w:tc>
      </w:tr>
    </w:tbl>
    <w:p>
      <w:r>
        <w:t xml:space="preserve"/>
      </w:r>
    </w:p>
    <w:p>
      <w:r>
        <w:drawing>
          <wp:inline xmlns:wp="http://schemas.openxmlformats.org/drawingml/2006/wordprocessingDrawing" distT="0" distB="0" distL="0" distR="0">
            <wp:extent cx="5900000" cy="3658000"/>
            <wp:docPr id="3" name="image3.png"/>
            <a:graphic xmlns:a="http://schemas.openxmlformats.org/drawingml/2006/main">
              <a:graphicData uri="http://schemas.openxmlformats.org/drawingml/2006/picture">
                <pic:pic xmlns:pic="http://schemas.openxmlformats.org/drawingml/2006/picture">
                  <pic:nvPicPr>
                    <pic:cNvPr id="3" name="image3.png"/>
                    <pic:cNvPicPr/>
                  </pic:nvPicPr>
                  <pic:blipFill>
                    <a:blip r:embed="rId3"/>
                    <a:stretch>
                      <a:fillRect/>
                    </a:stretch>
                  </pic:blipFill>
                  <pic:spPr>
                    <a:xfrm>
                      <a:off x="0" y="0"/>
                      <a:ext cx="5900000" cy="3658000"/>
                    </a:xfrm>
                    <a:prstGeom prst="rect">
                      <a:avLst/>
                    </a:prstGeom>
                  </pic:spPr>
                </pic:pic>
              </a:graphicData>
            </a:graphic>
          </wp:inline>
        </w:drawing>
      </w:r>
    </w:p>
    <w:p>
      <w:pPr>
        <w:pStyle w:val="Caption"/>
      </w:pPr>
      <w:r>
        <w:t xml:space="preserve">Figure 3. Cost-category comparison by arm.</w:t>
      </w:r>
    </w:p>
    <w:p>
      <w:pPr>
        <w:pStyle w:val="Heading1"/>
      </w:pPr>
      <w:r>
        <w:t xml:space="preserve">Gross and net ratios</w:t>
      </w:r>
    </w:p>
    <w:p>
      <w:r>
        <w:t xml:space="preserve">Gross delivery measures use intervention delivery expenditure before active-TB care offsets.</w:t>
      </w:r>
    </w:p>
    <w:tbl>
      <w:tblPr>
        <w:tblStyle w:val="TableGrid"/>
        <w:tblW w:w="9638" w:type="dxa"/>
        <w:tblLayout w:type="fixed"/>
        <w:tblLook w:firstRow="1" w:noHBand="0" w:noVBand="1"/>
      </w:tblPr>
      <w:tr>
        <w:tc>
          <w:tcPr>
            <w:tcW w:w="2409" w:type="dxa"/>
            <w:shd w:fill="D9EAF7"/>
          </w:tcPr>
          <w:p>
            <w:r>
              <w:rPr>
                <w:b/>
              </w:rPr>
              <w:t xml:space="preserve">Measure</w:t>
            </w:r>
          </w:p>
        </w:tc>
        <w:tc>
          <w:tcPr>
            <w:tcW w:w="2409" w:type="dxa"/>
            <w:shd w:fill="D9EAF7"/>
          </w:tcPr>
          <w:p>
            <w:r>
              <w:rPr>
                <w:b/>
              </w:rPr>
              <w:t xml:space="preserve">Numerator</w:t>
            </w:r>
          </w:p>
        </w:tc>
        <w:tc>
          <w:tcPr>
            <w:tcW w:w="2409" w:type="dxa"/>
            <w:shd w:fill="D9EAF7"/>
          </w:tcPr>
          <w:p>
            <w:r>
              <w:rPr>
                <w:b/>
              </w:rPr>
              <w:t xml:space="preserve">Denominator</w:t>
            </w:r>
          </w:p>
        </w:tc>
        <w:tc>
          <w:tcPr>
            <w:tcW w:w="2409" w:type="dxa"/>
            <w:shd w:fill="D9EAF7"/>
          </w:tcPr>
          <w:p>
            <w:r>
              <w:rPr>
                <w:b/>
              </w:rPr>
              <w:t xml:space="preserve">Result</w:t>
            </w:r>
          </w:p>
        </w:tc>
      </w:tr>
      <w:tr>
        <w:tc>
          <w:tcPr>
            <w:tcW w:w="2409" w:type="dxa"/>
          </w:tcPr>
          <w:p>
            <w:r>
              <w:rPr/>
              <w:t xml:space="preserve">Intervention delivery expenditure per person screened</w:t>
            </w:r>
          </w:p>
        </w:tc>
        <w:tc>
          <w:tcPr>
            <w:tcW w:w="2409" w:type="dxa"/>
          </w:tcPr>
          <w:p>
            <w:r>
              <w:rPr/>
              <w:t xml:space="preserve">AUD 95,052</w:t>
            </w:r>
          </w:p>
        </w:tc>
        <w:tc>
          <w:tcPr>
            <w:tcW w:w="2409" w:type="dxa"/>
          </w:tcPr>
          <w:p>
            <w:r>
              <w:rPr/>
              <w:t xml:space="preserve">450.0</w:t>
            </w:r>
          </w:p>
        </w:tc>
        <w:tc>
          <w:tcPr>
            <w:tcW w:w="2409" w:type="dxa"/>
          </w:tcPr>
          <w:p>
            <w:r>
              <w:rPr/>
              <w:t xml:space="preserve">AUD 211</w:t>
            </w:r>
          </w:p>
        </w:tc>
      </w:tr>
      <w:tr>
        <w:tc>
          <w:tcPr>
            <w:tcW w:w="2409" w:type="dxa"/>
          </w:tcPr>
          <w:p>
            <w:r>
              <w:rPr/>
              <w:t xml:space="preserve">Intervention delivery expenditure per TPT start</w:t>
            </w:r>
          </w:p>
        </w:tc>
        <w:tc>
          <w:tcPr>
            <w:tcW w:w="2409" w:type="dxa"/>
          </w:tcPr>
          <w:p>
            <w:r>
              <w:rPr/>
              <w:t xml:space="preserve">AUD 95,052</w:t>
            </w:r>
          </w:p>
        </w:tc>
        <w:tc>
          <w:tcPr>
            <w:tcW w:w="2409" w:type="dxa"/>
          </w:tcPr>
          <w:p>
            <w:r>
              <w:rPr/>
              <w:t xml:space="preserve">62.2</w:t>
            </w:r>
          </w:p>
        </w:tc>
        <w:tc>
          <w:tcPr>
            <w:tcW w:w="2409" w:type="dxa"/>
          </w:tcPr>
          <w:p>
            <w:r>
              <w:rPr/>
              <w:t xml:space="preserve">AUD 1,527</w:t>
            </w:r>
          </w:p>
        </w:tc>
      </w:tr>
      <w:tr>
        <w:tc>
          <w:tcPr>
            <w:tcW w:w="2409" w:type="dxa"/>
          </w:tcPr>
          <w:p>
            <w:r>
              <w:rPr/>
              <w:t xml:space="preserve">Intervention delivery expenditure per TPT completion</w:t>
            </w:r>
          </w:p>
        </w:tc>
        <w:tc>
          <w:tcPr>
            <w:tcW w:w="2409" w:type="dxa"/>
          </w:tcPr>
          <w:p>
            <w:r>
              <w:rPr/>
              <w:t xml:space="preserve">AUD 95,052</w:t>
            </w:r>
          </w:p>
        </w:tc>
        <w:tc>
          <w:tcPr>
            <w:tcW w:w="2409" w:type="dxa"/>
          </w:tcPr>
          <w:p>
            <w:r>
              <w:rPr/>
              <w:t xml:space="preserve">49.7</w:t>
            </w:r>
          </w:p>
        </w:tc>
        <w:tc>
          <w:tcPr>
            <w:tcW w:w="2409" w:type="dxa"/>
          </w:tcPr>
          <w:p>
            <w:r>
              <w:rPr/>
              <w:t xml:space="preserve">AUD 1,912</w:t>
            </w:r>
          </w:p>
        </w:tc>
      </w:tr>
      <w:tr>
        <w:tc>
          <w:tcPr>
            <w:tcW w:w="2409" w:type="dxa"/>
          </w:tcPr>
          <w:p>
            <w:r>
              <w:rPr/>
              <w:t xml:space="preserve">Intervention delivery expenditure per infection effectively treated</w:t>
            </w:r>
          </w:p>
        </w:tc>
        <w:tc>
          <w:tcPr>
            <w:tcW w:w="2409" w:type="dxa"/>
          </w:tcPr>
          <w:p>
            <w:r>
              <w:rPr/>
              <w:t xml:space="preserve">AUD 95,052</w:t>
            </w:r>
          </w:p>
        </w:tc>
        <w:tc>
          <w:tcPr>
            <w:tcW w:w="2409" w:type="dxa"/>
          </w:tcPr>
          <w:p>
            <w:r>
              <w:rPr/>
              <w:t xml:space="preserve">36.7</w:t>
            </w:r>
          </w:p>
        </w:tc>
        <w:tc>
          <w:tcPr>
            <w:tcW w:w="2409" w:type="dxa"/>
          </w:tcPr>
          <w:p>
            <w:r>
              <w:rPr/>
              <w:t xml:space="preserve">AUD 2,589</w:t>
            </w:r>
          </w:p>
        </w:tc>
      </w:tr>
      <w:tr>
        <w:tc>
          <w:tcPr>
            <w:tcW w:w="2409" w:type="dxa"/>
          </w:tcPr>
          <w:p>
            <w:r>
              <w:rPr/>
              <w:t xml:space="preserve">Intervention delivery expenditure per active TB case averted</w:t>
            </w:r>
          </w:p>
        </w:tc>
        <w:tc>
          <w:tcPr>
            <w:tcW w:w="2409" w:type="dxa"/>
          </w:tcPr>
          <w:p>
            <w:r>
              <w:rPr/>
              <w:t xml:space="preserve">AUD 95,052</w:t>
            </w:r>
          </w:p>
        </w:tc>
        <w:tc>
          <w:tcPr>
            <w:tcW w:w="2409" w:type="dxa"/>
          </w:tcPr>
          <w:p>
            <w:r>
              <w:rPr/>
              <w:t xml:space="preserve">12.0</w:t>
            </w:r>
          </w:p>
        </w:tc>
        <w:tc>
          <w:tcPr>
            <w:tcW w:w="2409" w:type="dxa"/>
          </w:tcPr>
          <w:p>
            <w:r>
              <w:rPr/>
              <w:t xml:space="preserve">AUD 7,943</w:t>
            </w:r>
          </w:p>
        </w:tc>
      </w:tr>
    </w:tbl>
    <w:p>
      <w:r>
        <w:t xml:space="preserve"/>
      </w:r>
    </w:p>
    <w:p>
      <w:r>
        <w:t xml:space="preserve">Net health-system measures use incremental health-system cost after active-TB care offsets.</w:t>
      </w:r>
    </w:p>
    <w:tbl>
      <w:tblPr>
        <w:tblStyle w:val="TableGrid"/>
        <w:tblW w:w="9638" w:type="dxa"/>
        <w:tblLayout w:type="fixed"/>
        <w:tblLook w:firstRow="1" w:noHBand="0" w:noVBand="1"/>
      </w:tblPr>
      <w:tr>
        <w:tc>
          <w:tcPr>
            <w:tcW w:w="2409" w:type="dxa"/>
            <w:shd w:fill="D9EAF7"/>
          </w:tcPr>
          <w:p>
            <w:r>
              <w:rPr>
                <w:b/>
              </w:rPr>
              <w:t xml:space="preserve">Measure</w:t>
            </w:r>
          </w:p>
        </w:tc>
        <w:tc>
          <w:tcPr>
            <w:tcW w:w="2409" w:type="dxa"/>
            <w:shd w:fill="D9EAF7"/>
          </w:tcPr>
          <w:p>
            <w:r>
              <w:rPr>
                <w:b/>
              </w:rPr>
              <w:t xml:space="preserve">Numerator</w:t>
            </w:r>
          </w:p>
        </w:tc>
        <w:tc>
          <w:tcPr>
            <w:tcW w:w="2409" w:type="dxa"/>
            <w:shd w:fill="D9EAF7"/>
          </w:tcPr>
          <w:p>
            <w:r>
              <w:rPr>
                <w:b/>
              </w:rPr>
              <w:t xml:space="preserve">Denominator</w:t>
            </w:r>
          </w:p>
        </w:tc>
        <w:tc>
          <w:tcPr>
            <w:tcW w:w="2409" w:type="dxa"/>
            <w:shd w:fill="D9EAF7"/>
          </w:tcPr>
          <w:p>
            <w:r>
              <w:rPr>
                <w:b/>
              </w:rPr>
              <w:t xml:space="preserve">Result</w:t>
            </w:r>
          </w:p>
        </w:tc>
      </w:tr>
      <w:tr>
        <w:tc>
          <w:tcPr>
            <w:tcW w:w="2409" w:type="dxa"/>
          </w:tcPr>
          <w:p>
            <w:r>
              <w:rPr/>
              <w:t xml:space="preserve">Net health-system saving per person screened</w:t>
            </w:r>
          </w:p>
        </w:tc>
        <w:tc>
          <w:tcPr>
            <w:tcW w:w="2409" w:type="dxa"/>
          </w:tcPr>
          <w:p>
            <w:r>
              <w:rPr/>
              <w:t xml:space="preserve">AUD 92,370 net saving</w:t>
            </w:r>
          </w:p>
        </w:tc>
        <w:tc>
          <w:tcPr>
            <w:tcW w:w="2409" w:type="dxa"/>
          </w:tcPr>
          <w:p>
            <w:r>
              <w:rPr/>
              <w:t xml:space="preserve">450.0</w:t>
            </w:r>
          </w:p>
        </w:tc>
        <w:tc>
          <w:tcPr>
            <w:tcW w:w="2409" w:type="dxa"/>
          </w:tcPr>
          <w:p>
            <w:r>
              <w:rPr/>
              <w:t xml:space="preserve">AUD 205 saving</w:t>
            </w:r>
          </w:p>
        </w:tc>
      </w:tr>
      <w:tr>
        <w:tc>
          <w:tcPr>
            <w:tcW w:w="2409" w:type="dxa"/>
          </w:tcPr>
          <w:p>
            <w:r>
              <w:rPr/>
              <w:t xml:space="preserve">Net health-system saving per TPT completion</w:t>
            </w:r>
          </w:p>
        </w:tc>
        <w:tc>
          <w:tcPr>
            <w:tcW w:w="2409" w:type="dxa"/>
          </w:tcPr>
          <w:p>
            <w:r>
              <w:rPr/>
              <w:t xml:space="preserve">AUD 92,370 net saving</w:t>
            </w:r>
          </w:p>
        </w:tc>
        <w:tc>
          <w:tcPr>
            <w:tcW w:w="2409" w:type="dxa"/>
          </w:tcPr>
          <w:p>
            <w:r>
              <w:rPr/>
              <w:t xml:space="preserve">49.7</w:t>
            </w:r>
          </w:p>
        </w:tc>
        <w:tc>
          <w:tcPr>
            <w:tcW w:w="2409" w:type="dxa"/>
          </w:tcPr>
          <w:p>
            <w:r>
              <w:rPr/>
              <w:t xml:space="preserve">AUD 1,858 saving</w:t>
            </w:r>
          </w:p>
        </w:tc>
      </w:tr>
      <w:tr>
        <w:tc>
          <w:tcPr>
            <w:tcW w:w="2409" w:type="dxa"/>
          </w:tcPr>
          <w:p>
            <w:r>
              <w:rPr/>
              <w:t xml:space="preserve">Net health-system saving per active TB case averted</w:t>
            </w:r>
          </w:p>
        </w:tc>
        <w:tc>
          <w:tcPr>
            <w:tcW w:w="2409" w:type="dxa"/>
          </w:tcPr>
          <w:p>
            <w:r>
              <w:rPr/>
              <w:t xml:space="preserve">AUD 92,370 net saving</w:t>
            </w:r>
          </w:p>
        </w:tc>
        <w:tc>
          <w:tcPr>
            <w:tcW w:w="2409" w:type="dxa"/>
          </w:tcPr>
          <w:p>
            <w:r>
              <w:rPr/>
              <w:t xml:space="preserve">12.0</w:t>
            </w:r>
          </w:p>
        </w:tc>
        <w:tc>
          <w:tcPr>
            <w:tcW w:w="2409" w:type="dxa"/>
          </w:tcPr>
          <w:p>
            <w:r>
              <w:rPr/>
              <w:t xml:space="preserve">AUD 7,719 saving</w:t>
            </w:r>
          </w:p>
        </w:tc>
      </w:tr>
    </w:tbl>
    <w:p>
      <w:r>
        <w:t xml:space="preserve"/>
      </w:r>
    </w:p>
    <w:p>
      <w:pPr>
        <w:pStyle w:val="Heading1"/>
      </w:pPr>
      <w:r>
        <w:t xml:space="preserve">Budget impact over time</w:t>
      </w:r>
    </w:p>
    <w:p>
      <w:r>
        <w:drawing>
          <wp:inline xmlns:wp="http://schemas.openxmlformats.org/drawingml/2006/wordprocessingDrawing" distT="0" distB="0" distL="0" distR="0">
            <wp:extent cx="5900000" cy="3658000"/>
            <wp:docPr id="4" name="image4.png"/>
            <a:graphic xmlns:a="http://schemas.openxmlformats.org/drawingml/2006/main">
              <a:graphicData uri="http://schemas.openxmlformats.org/drawingml/2006/picture">
                <pic:pic xmlns:pic="http://schemas.openxmlformats.org/drawingml/2006/picture">
                  <pic:nvPicPr>
                    <pic:cNvPr id="4" name="image4.png"/>
                    <pic:cNvPicPr/>
                  </pic:nvPicPr>
                  <pic:blipFill>
                    <a:blip r:embed="rId4"/>
                    <a:stretch>
                      <a:fillRect/>
                    </a:stretch>
                  </pic:blipFill>
                  <pic:spPr>
                    <a:xfrm>
                      <a:off x="0" y="0"/>
                      <a:ext cx="5900000" cy="3658000"/>
                    </a:xfrm>
                    <a:prstGeom prst="rect">
                      <a:avLst/>
                    </a:prstGeom>
                  </pic:spPr>
                </pic:pic>
              </a:graphicData>
            </a:graphic>
          </wp:inline>
        </w:drawing>
      </w:r>
    </w:p>
    <w:p>
      <w:pPr>
        <w:pStyle w:val="Caption"/>
      </w:pPr>
      <w:r>
        <w:t xml:space="preserve">Figure 4. Annual budget impact and later active-TB care offsets.</w:t>
      </w:r>
    </w:p>
    <w:tbl>
      <w:tblPr>
        <w:tblStyle w:val="TableGrid"/>
        <w:tblW w:w="9638" w:type="dxa"/>
        <w:tblLayout w:type="fixed"/>
        <w:tblLook w:firstRow="1" w:noHBand="0" w:noVBand="1"/>
      </w:tblPr>
      <w:tr>
        <w:tc>
          <w:tcPr>
            <w:tcW w:w="1606" w:type="dxa"/>
            <w:shd w:fill="D9EAF7"/>
          </w:tcPr>
          <w:p>
            <w:r>
              <w:rPr>
                <w:b/>
              </w:rPr>
              <w:t xml:space="preserve">Year</w:t>
            </w:r>
          </w:p>
        </w:tc>
        <w:tc>
          <w:tcPr>
            <w:tcW w:w="1606" w:type="dxa"/>
            <w:shd w:fill="D9EAF7"/>
          </w:tcPr>
          <w:p>
            <w:r>
              <w:rPr>
                <w:b/>
              </w:rPr>
              <w:t xml:space="preserve">Delivery expenditure</w:t>
            </w:r>
          </w:p>
        </w:tc>
        <w:tc>
          <w:tcPr>
            <w:tcW w:w="1606" w:type="dxa"/>
            <w:shd w:fill="D9EAF7"/>
          </w:tcPr>
          <w:p>
            <w:r>
              <w:rPr>
                <w:b/>
              </w:rPr>
              <w:t xml:space="preserve">Comparator TB care</w:t>
            </w:r>
          </w:p>
        </w:tc>
        <w:tc>
          <w:tcPr>
            <w:tcW w:w="1606" w:type="dxa"/>
            <w:shd w:fill="D9EAF7"/>
          </w:tcPr>
          <w:p>
            <w:r>
              <w:rPr>
                <w:b/>
              </w:rPr>
              <w:t xml:space="preserve">Intervention TB care</w:t>
            </w:r>
          </w:p>
        </w:tc>
        <w:tc>
          <w:tcPr>
            <w:tcW w:w="1606" w:type="dxa"/>
            <w:shd w:fill="D9EAF7"/>
          </w:tcPr>
          <w:p>
            <w:r>
              <w:rPr>
                <w:b/>
              </w:rPr>
              <w:t xml:space="preserve">Annual incremental</w:t>
            </w:r>
          </w:p>
        </w:tc>
        <w:tc>
          <w:tcPr>
            <w:tcW w:w="1606" w:type="dxa"/>
            <w:shd w:fill="D9EAF7"/>
          </w:tcPr>
          <w:p>
            <w:r>
              <w:rPr>
                <w:b/>
              </w:rPr>
              <w:t xml:space="preserve">Cumulative incremental</w:t>
            </w:r>
          </w:p>
        </w:tc>
      </w:tr>
      <w:tr>
        <w:tc>
          <w:tcPr>
            <w:tcW w:w="1606" w:type="dxa"/>
          </w:tcPr>
          <w:p>
            <w:r>
              <w:rPr/>
              <w:t xml:space="preserve">0</w:t>
            </w:r>
          </w:p>
        </w:tc>
        <w:tc>
          <w:tcPr>
            <w:tcW w:w="1606" w:type="dxa"/>
          </w:tcPr>
          <w:p>
            <w:r>
              <w:rPr/>
              <w:t xml:space="preserve">AUD 48,938</w:t>
            </w:r>
          </w:p>
        </w:tc>
        <w:tc>
          <w:tcPr>
            <w:tcW w:w="1606" w:type="dxa"/>
          </w:tcPr>
          <w:p>
            <w:r>
              <w:rPr/>
              <w:t xml:space="preserve">AUD 220,675</w:t>
            </w:r>
          </w:p>
        </w:tc>
        <w:tc>
          <w:tcPr>
            <w:tcW w:w="1606" w:type="dxa"/>
          </w:tcPr>
          <w:p>
            <w:r>
              <w:rPr/>
              <w:t xml:space="preserve">AUD 206,727</w:t>
            </w:r>
          </w:p>
        </w:tc>
        <w:tc>
          <w:tcPr>
            <w:tcW w:w="1606" w:type="dxa"/>
          </w:tcPr>
          <w:p>
            <w:r>
              <w:rPr/>
              <w:t xml:space="preserve">AUD 34,990</w:t>
            </w:r>
          </w:p>
        </w:tc>
        <w:tc>
          <w:tcPr>
            <w:tcW w:w="1606" w:type="dxa"/>
          </w:tcPr>
          <w:p>
            <w:r>
              <w:rPr/>
              <w:t xml:space="preserve">AUD 34,990</w:t>
            </w:r>
          </w:p>
        </w:tc>
      </w:tr>
      <w:tr>
        <w:tc>
          <w:tcPr>
            <w:tcW w:w="1606" w:type="dxa"/>
          </w:tcPr>
          <w:p>
            <w:r>
              <w:rPr/>
              <w:t xml:space="preserve">1</w:t>
            </w:r>
          </w:p>
        </w:tc>
        <w:tc>
          <w:tcPr>
            <w:tcW w:w="1606" w:type="dxa"/>
          </w:tcPr>
          <w:p>
            <w:r>
              <w:rPr/>
              <w:t xml:space="preserve">AUD 46,111</w:t>
            </w:r>
          </w:p>
        </w:tc>
        <w:tc>
          <w:tcPr>
            <w:tcW w:w="1606" w:type="dxa"/>
          </w:tcPr>
          <w:p>
            <w:r>
              <w:rPr/>
              <w:t xml:space="preserve">AUD 146,691</w:t>
            </w:r>
          </w:p>
        </w:tc>
        <w:tc>
          <w:tcPr>
            <w:tcW w:w="1606" w:type="dxa"/>
          </w:tcPr>
          <w:p>
            <w:r>
              <w:rPr/>
              <w:t xml:space="preserve">AUD 101,140</w:t>
            </w:r>
          </w:p>
        </w:tc>
        <w:tc>
          <w:tcPr>
            <w:tcW w:w="1606" w:type="dxa"/>
          </w:tcPr>
          <w:p>
            <w:r>
              <w:rPr/>
              <w:t xml:space="preserve">AUD 560</w:t>
            </w:r>
          </w:p>
        </w:tc>
        <w:tc>
          <w:tcPr>
            <w:tcW w:w="1606" w:type="dxa"/>
          </w:tcPr>
          <w:p>
            <w:r>
              <w:rPr/>
              <w:t xml:space="preserve">AUD 35,551</w:t>
            </w:r>
          </w:p>
        </w:tc>
      </w:tr>
      <w:tr>
        <w:tc>
          <w:tcPr>
            <w:tcW w:w="1606" w:type="dxa"/>
          </w:tcPr>
          <w:p>
            <w:r>
              <w:rPr/>
              <w:t xml:space="preserve">2</w:t>
            </w:r>
          </w:p>
        </w:tc>
        <w:tc>
          <w:tcPr>
            <w:tcW w:w="1606" w:type="dxa"/>
          </w:tcPr>
          <w:p>
            <w:r>
              <w:rPr/>
              <w:t xml:space="preserve">AUD 4</w:t>
            </w:r>
          </w:p>
        </w:tc>
        <w:tc>
          <w:tcPr>
            <w:tcW w:w="1606" w:type="dxa"/>
          </w:tcPr>
          <w:p>
            <w:r>
              <w:rPr/>
              <w:t xml:space="preserve">AUD 23,946</w:t>
            </w:r>
          </w:p>
        </w:tc>
        <w:tc>
          <w:tcPr>
            <w:tcW w:w="1606" w:type="dxa"/>
          </w:tcPr>
          <w:p>
            <w:r>
              <w:rPr/>
              <w:t xml:space="preserve">AUD 12,076</w:t>
            </w:r>
          </w:p>
        </w:tc>
        <w:tc>
          <w:tcPr>
            <w:tcW w:w="1606" w:type="dxa"/>
          </w:tcPr>
          <w:p>
            <w:r>
              <w:rPr/>
              <w:t xml:space="preserve">AUD -11,866</w:t>
            </w:r>
          </w:p>
        </w:tc>
        <w:tc>
          <w:tcPr>
            <w:tcW w:w="1606" w:type="dxa"/>
          </w:tcPr>
          <w:p>
            <w:r>
              <w:rPr/>
              <w:t xml:space="preserve">AUD 23,685</w:t>
            </w:r>
          </w:p>
        </w:tc>
      </w:tr>
      <w:tr>
        <w:tc>
          <w:tcPr>
            <w:tcW w:w="1606" w:type="dxa"/>
          </w:tcPr>
          <w:p>
            <w:r>
              <w:rPr/>
              <w:t xml:space="preserve">3</w:t>
            </w:r>
          </w:p>
        </w:tc>
        <w:tc>
          <w:tcPr>
            <w:tcW w:w="1606" w:type="dxa"/>
          </w:tcPr>
          <w:p>
            <w:r>
              <w:rPr/>
              <w:t xml:space="preserve">AUD 0</w:t>
            </w:r>
          </w:p>
        </w:tc>
        <w:tc>
          <w:tcPr>
            <w:tcW w:w="1606" w:type="dxa"/>
          </w:tcPr>
          <w:p>
            <w:r>
              <w:rPr/>
              <w:t xml:space="preserve">AUD 22,402</w:t>
            </w:r>
          </w:p>
        </w:tc>
        <w:tc>
          <w:tcPr>
            <w:tcW w:w="1606" w:type="dxa"/>
          </w:tcPr>
          <w:p>
            <w:r>
              <w:rPr/>
              <w:t xml:space="preserve">AUD 11,105</w:t>
            </w:r>
          </w:p>
        </w:tc>
        <w:tc>
          <w:tcPr>
            <w:tcW w:w="1606" w:type="dxa"/>
          </w:tcPr>
          <w:p>
            <w:r>
              <w:rPr/>
              <w:t xml:space="preserve">AUD -11,297</w:t>
            </w:r>
          </w:p>
        </w:tc>
        <w:tc>
          <w:tcPr>
            <w:tcW w:w="1606" w:type="dxa"/>
          </w:tcPr>
          <w:p>
            <w:r>
              <w:rPr/>
              <w:t xml:space="preserve">AUD 12,388</w:t>
            </w:r>
          </w:p>
        </w:tc>
      </w:tr>
      <w:tr>
        <w:tc>
          <w:tcPr>
            <w:tcW w:w="1606" w:type="dxa"/>
          </w:tcPr>
          <w:p>
            <w:r>
              <w:rPr/>
              <w:t xml:space="preserve">4</w:t>
            </w:r>
          </w:p>
        </w:tc>
        <w:tc>
          <w:tcPr>
            <w:tcW w:w="1606" w:type="dxa"/>
          </w:tcPr>
          <w:p>
            <w:r>
              <w:rPr/>
              <w:t xml:space="preserve">AUD 0</w:t>
            </w:r>
          </w:p>
        </w:tc>
        <w:tc>
          <w:tcPr>
            <w:tcW w:w="1606" w:type="dxa"/>
          </w:tcPr>
          <w:p>
            <w:r>
              <w:rPr/>
              <w:t xml:space="preserve">AUD 21,292</w:t>
            </w:r>
          </w:p>
        </w:tc>
        <w:tc>
          <w:tcPr>
            <w:tcW w:w="1606" w:type="dxa"/>
          </w:tcPr>
          <w:p>
            <w:r>
              <w:rPr/>
              <w:t xml:space="preserve">AUD 10,417</w:t>
            </w:r>
          </w:p>
        </w:tc>
        <w:tc>
          <w:tcPr>
            <w:tcW w:w="1606" w:type="dxa"/>
          </w:tcPr>
          <w:p>
            <w:r>
              <w:rPr/>
              <w:t xml:space="preserve">AUD -10,875</w:t>
            </w:r>
          </w:p>
        </w:tc>
        <w:tc>
          <w:tcPr>
            <w:tcW w:w="1606" w:type="dxa"/>
          </w:tcPr>
          <w:p>
            <w:r>
              <w:rPr/>
              <w:t xml:space="preserve">AUD 1,513</w:t>
            </w:r>
          </w:p>
        </w:tc>
      </w:tr>
      <w:tr>
        <w:tc>
          <w:tcPr>
            <w:tcW w:w="1606" w:type="dxa"/>
          </w:tcPr>
          <w:p>
            <w:r>
              <w:rPr/>
              <w:t xml:space="preserve">5</w:t>
            </w:r>
          </w:p>
        </w:tc>
        <w:tc>
          <w:tcPr>
            <w:tcW w:w="1606" w:type="dxa"/>
          </w:tcPr>
          <w:p>
            <w:r>
              <w:rPr/>
              <w:t xml:space="preserve">AUD 0</w:t>
            </w:r>
          </w:p>
        </w:tc>
        <w:tc>
          <w:tcPr>
            <w:tcW w:w="1606" w:type="dxa"/>
          </w:tcPr>
          <w:p>
            <w:r>
              <w:rPr/>
              <w:t xml:space="preserve">AUD 19,075</w:t>
            </w:r>
          </w:p>
        </w:tc>
        <w:tc>
          <w:tcPr>
            <w:tcW w:w="1606" w:type="dxa"/>
          </w:tcPr>
          <w:p>
            <w:r>
              <w:rPr/>
              <w:t xml:space="preserve">AUD 9,398</w:t>
            </w:r>
          </w:p>
        </w:tc>
        <w:tc>
          <w:tcPr>
            <w:tcW w:w="1606" w:type="dxa"/>
          </w:tcPr>
          <w:p>
            <w:r>
              <w:rPr/>
              <w:t xml:space="preserve">AUD -9,677</w:t>
            </w:r>
          </w:p>
        </w:tc>
        <w:tc>
          <w:tcPr>
            <w:tcW w:w="1606" w:type="dxa"/>
          </w:tcPr>
          <w:p>
            <w:r>
              <w:rPr/>
              <w:t xml:space="preserve">AUD -8,164</w:t>
            </w:r>
          </w:p>
        </w:tc>
      </w:tr>
      <w:tr>
        <w:tc>
          <w:tcPr>
            <w:tcW w:w="1606" w:type="dxa"/>
          </w:tcPr>
          <w:p>
            <w:r>
              <w:rPr/>
              <w:t xml:space="preserve">6</w:t>
            </w:r>
          </w:p>
        </w:tc>
        <w:tc>
          <w:tcPr>
            <w:tcW w:w="1606" w:type="dxa"/>
          </w:tcPr>
          <w:p>
            <w:r>
              <w:rPr/>
              <w:t xml:space="preserve">AUD 0</w:t>
            </w:r>
          </w:p>
        </w:tc>
        <w:tc>
          <w:tcPr>
            <w:tcW w:w="1606" w:type="dxa"/>
          </w:tcPr>
          <w:p>
            <w:r>
              <w:rPr/>
              <w:t xml:space="preserve">AUD 17,888</w:t>
            </w:r>
          </w:p>
        </w:tc>
        <w:tc>
          <w:tcPr>
            <w:tcW w:w="1606" w:type="dxa"/>
          </w:tcPr>
          <w:p>
            <w:r>
              <w:rPr/>
              <w:t xml:space="preserve">AUD 8,868</w:t>
            </w:r>
          </w:p>
        </w:tc>
        <w:tc>
          <w:tcPr>
            <w:tcW w:w="1606" w:type="dxa"/>
          </w:tcPr>
          <w:p>
            <w:r>
              <w:rPr/>
              <w:t xml:space="preserve">AUD -9,020</w:t>
            </w:r>
          </w:p>
        </w:tc>
        <w:tc>
          <w:tcPr>
            <w:tcW w:w="1606" w:type="dxa"/>
          </w:tcPr>
          <w:p>
            <w:r>
              <w:rPr/>
              <w:t xml:space="preserve">AUD -17,184</w:t>
            </w:r>
          </w:p>
        </w:tc>
      </w:tr>
      <w:tr>
        <w:tc>
          <w:tcPr>
            <w:tcW w:w="1606" w:type="dxa"/>
          </w:tcPr>
          <w:p>
            <w:r>
              <w:rPr/>
              <w:t xml:space="preserve">7</w:t>
            </w:r>
          </w:p>
        </w:tc>
        <w:tc>
          <w:tcPr>
            <w:tcW w:w="1606" w:type="dxa"/>
          </w:tcPr>
          <w:p>
            <w:r>
              <w:rPr/>
              <w:t xml:space="preserve">AUD 0</w:t>
            </w:r>
          </w:p>
        </w:tc>
        <w:tc>
          <w:tcPr>
            <w:tcW w:w="1606" w:type="dxa"/>
          </w:tcPr>
          <w:p>
            <w:r>
              <w:rPr/>
              <w:t xml:space="preserve">AUD 16,289</w:t>
            </w:r>
          </w:p>
        </w:tc>
        <w:tc>
          <w:tcPr>
            <w:tcW w:w="1606" w:type="dxa"/>
          </w:tcPr>
          <w:p>
            <w:r>
              <w:rPr/>
              <w:t xml:space="preserve">AUD 8,214</w:t>
            </w:r>
          </w:p>
        </w:tc>
        <w:tc>
          <w:tcPr>
            <w:tcW w:w="1606" w:type="dxa"/>
          </w:tcPr>
          <w:p>
            <w:r>
              <w:rPr/>
              <w:t xml:space="preserve">AUD -8,075</w:t>
            </w:r>
          </w:p>
        </w:tc>
        <w:tc>
          <w:tcPr>
            <w:tcW w:w="1606" w:type="dxa"/>
          </w:tcPr>
          <w:p>
            <w:r>
              <w:rPr/>
              <w:t xml:space="preserve">AUD -25,259</w:t>
            </w:r>
          </w:p>
        </w:tc>
      </w:tr>
      <w:tr>
        <w:tc>
          <w:tcPr>
            <w:tcW w:w="1606" w:type="dxa"/>
          </w:tcPr>
          <w:p>
            <w:r>
              <w:rPr/>
              <w:t xml:space="preserve">8</w:t>
            </w:r>
          </w:p>
        </w:tc>
        <w:tc>
          <w:tcPr>
            <w:tcW w:w="1606" w:type="dxa"/>
          </w:tcPr>
          <w:p>
            <w:r>
              <w:rPr/>
              <w:t xml:space="preserve">AUD 0</w:t>
            </w:r>
          </w:p>
        </w:tc>
        <w:tc>
          <w:tcPr>
            <w:tcW w:w="1606" w:type="dxa"/>
          </w:tcPr>
          <w:p>
            <w:r>
              <w:rPr/>
              <w:t xml:space="preserve">AUD 15,416</w:t>
            </w:r>
          </w:p>
        </w:tc>
        <w:tc>
          <w:tcPr>
            <w:tcW w:w="1606" w:type="dxa"/>
          </w:tcPr>
          <w:p>
            <w:r>
              <w:rPr/>
              <w:t xml:space="preserve">AUD 7,779</w:t>
            </w:r>
          </w:p>
        </w:tc>
        <w:tc>
          <w:tcPr>
            <w:tcW w:w="1606" w:type="dxa"/>
          </w:tcPr>
          <w:p>
            <w:r>
              <w:rPr/>
              <w:t xml:space="preserve">AUD -7,636</w:t>
            </w:r>
          </w:p>
        </w:tc>
        <w:tc>
          <w:tcPr>
            <w:tcW w:w="1606" w:type="dxa"/>
          </w:tcPr>
          <w:p>
            <w:r>
              <w:rPr/>
              <w:t xml:space="preserve">AUD -32,895</w:t>
            </w:r>
          </w:p>
        </w:tc>
      </w:tr>
      <w:tr>
        <w:tc>
          <w:tcPr>
            <w:tcW w:w="1606" w:type="dxa"/>
          </w:tcPr>
          <w:p>
            <w:r>
              <w:rPr/>
              <w:t xml:space="preserve">9</w:t>
            </w:r>
          </w:p>
        </w:tc>
        <w:tc>
          <w:tcPr>
            <w:tcW w:w="1606" w:type="dxa"/>
          </w:tcPr>
          <w:p>
            <w:r>
              <w:rPr/>
              <w:t xml:space="preserve">AUD 0</w:t>
            </w:r>
          </w:p>
        </w:tc>
        <w:tc>
          <w:tcPr>
            <w:tcW w:w="1606" w:type="dxa"/>
          </w:tcPr>
          <w:p>
            <w:r>
              <w:rPr/>
              <w:t xml:space="preserve">AUD 15,062</w:t>
            </w:r>
          </w:p>
        </w:tc>
        <w:tc>
          <w:tcPr>
            <w:tcW w:w="1606" w:type="dxa"/>
          </w:tcPr>
          <w:p>
            <w:r>
              <w:rPr/>
              <w:t xml:space="preserve">AUD 7,421</w:t>
            </w:r>
          </w:p>
        </w:tc>
        <w:tc>
          <w:tcPr>
            <w:tcW w:w="1606" w:type="dxa"/>
          </w:tcPr>
          <w:p>
            <w:r>
              <w:rPr/>
              <w:t xml:space="preserve">AUD -7,640</w:t>
            </w:r>
          </w:p>
        </w:tc>
        <w:tc>
          <w:tcPr>
            <w:tcW w:w="1606" w:type="dxa"/>
          </w:tcPr>
          <w:p>
            <w:r>
              <w:rPr/>
              <w:t xml:space="preserve">AUD -40,536</w:t>
            </w:r>
          </w:p>
        </w:tc>
      </w:tr>
    </w:tbl>
    <w:p>
      <w:r>
        <w:t xml:space="preserve"/>
      </w:r>
    </w:p>
    <w:p>
      <w:r>
        <w:t xml:space="preserve">The complete annual table is included in the report-ready CSV outputs.</w:t>
      </w:r>
    </w:p>
    <w:p>
      <w:pPr>
        <w:pStyle w:val="Heading1"/>
      </w:pPr>
      <w:r>
        <w:t xml:space="preserve">Scenario and sensitivity analysis</w:t>
      </w:r>
    </w:p>
    <w:tbl>
      <w:tblPr>
        <w:tblStyle w:val="TableGrid"/>
        <w:tblW w:w="9638" w:type="dxa"/>
        <w:tblLayout w:type="fixed"/>
        <w:tblLook w:firstRow="1" w:noHBand="0" w:noVBand="1"/>
      </w:tblPr>
      <w:tr>
        <w:tc>
          <w:tcPr>
            <w:tcW w:w="1927" w:type="dxa"/>
            <w:shd w:fill="D9EAF7"/>
          </w:tcPr>
          <w:p>
            <w:r>
              <w:rPr>
                <w:b/>
              </w:rPr>
              <w:t xml:space="preserve">Scenario</w:t>
            </w:r>
          </w:p>
        </w:tc>
        <w:tc>
          <w:tcPr>
            <w:tcW w:w="1927" w:type="dxa"/>
            <w:shd w:fill="D9EAF7"/>
          </w:tcPr>
          <w:p>
            <w:r>
              <w:rPr>
                <w:b/>
              </w:rPr>
              <w:t xml:space="preserve">Incremental cost</w:t>
            </w:r>
          </w:p>
        </w:tc>
        <w:tc>
          <w:tcPr>
            <w:tcW w:w="1927" w:type="dxa"/>
            <w:shd w:fill="D9EAF7"/>
          </w:tcPr>
          <w:p>
            <w:r>
              <w:rPr>
                <w:b/>
              </w:rPr>
              <w:t xml:space="preserve">Active TB cases averted</w:t>
            </w:r>
          </w:p>
        </w:tc>
        <w:tc>
          <w:tcPr>
            <w:tcW w:w="1927" w:type="dxa"/>
            <w:shd w:fill="D9EAF7"/>
          </w:tcPr>
          <w:p>
            <w:r>
              <w:rPr>
                <w:b/>
              </w:rPr>
              <w:t xml:space="preserve">DALYs averted</w:t>
            </w:r>
          </w:p>
        </w:tc>
        <w:tc>
          <w:tcPr>
            <w:tcW w:w="1927" w:type="dxa"/>
            <w:shd w:fill="D9EAF7"/>
          </w:tcPr>
          <w:p>
            <w:r>
              <w:rPr>
                <w:b/>
              </w:rPr>
              <w:t xml:space="preserve">Interpretation</w:t>
            </w:r>
          </w:p>
        </w:tc>
      </w:tr>
      <w:tr>
        <w:tc>
          <w:tcPr>
            <w:tcW w:w="1927" w:type="dxa"/>
          </w:tcPr>
          <w:p>
            <w:r>
              <w:rPr/>
              <w:t xml:space="preserve">Primary working reference</w:t>
            </w:r>
          </w:p>
        </w:tc>
        <w:tc>
          <w:tcPr>
            <w:tcW w:w="1927" w:type="dxa"/>
          </w:tcPr>
          <w:p>
            <w:r>
              <w:rPr/>
              <w:t xml:space="preserve">AUD 92,370 net saving</w:t>
            </w:r>
          </w:p>
        </w:tc>
        <w:tc>
          <w:tcPr>
            <w:tcW w:w="1927" w:type="dxa"/>
          </w:tcPr>
          <w:p>
            <w:r>
              <w:rPr/>
              <w:t xml:space="preserve">11.97</w:t>
            </w:r>
          </w:p>
        </w:tc>
        <w:tc>
          <w:tcPr>
            <w:tcW w:w="1927" w:type="dxa"/>
          </w:tcPr>
          <w:p>
            <w:r>
              <w:rPr/>
              <w:t xml:space="preserve">16.2</w:t>
            </w:r>
          </w:p>
        </w:tc>
        <w:tc>
          <w:tcPr>
            <w:tcW w:w="1927" w:type="dxa"/>
          </w:tcPr>
          <w:p>
            <w:r>
              <w:rPr/>
              <w:t xml:space="preserve">Primary working reference; local programme resources remain not locally costed.</w:t>
            </w:r>
          </w:p>
        </w:tc>
      </w:tr>
      <w:tr>
        <w:tc>
          <w:tcPr>
            <w:tcW w:w="1927" w:type="dxa"/>
          </w:tcPr>
          <w:p>
            <w:r>
              <w:rPr/>
              <w:t xml:space="preserve">Illustrative AUD 500,000 setup</w:t>
            </w:r>
          </w:p>
        </w:tc>
        <w:tc>
          <w:tcPr>
            <w:tcW w:w="1927" w:type="dxa"/>
          </w:tcPr>
          <w:p>
            <w:r>
              <w:rPr/>
              <w:t xml:space="preserve">AUD 407,630 net cost</w:t>
            </w:r>
          </w:p>
        </w:tc>
        <w:tc>
          <w:tcPr>
            <w:tcW w:w="1927" w:type="dxa"/>
          </w:tcPr>
          <w:p>
            <w:r>
              <w:rPr/>
              <w:t xml:space="preserve">11.97</w:t>
            </w:r>
          </w:p>
        </w:tc>
        <w:tc>
          <w:tcPr>
            <w:tcW w:w="1927" w:type="dxa"/>
          </w:tcPr>
          <w:p>
            <w:r>
              <w:rPr/>
              <w:t xml:space="preserve">16.2</w:t>
            </w:r>
          </w:p>
        </w:tc>
        <w:tc>
          <w:tcPr>
            <w:tcW w:w="1927" w:type="dxa"/>
          </w:tcPr>
          <w:p>
            <w:r>
              <w:rPr/>
              <w:t xml:space="preserve">Adds illustrative setup cost; epidemiological outcomes unchanged.</w:t>
            </w:r>
          </w:p>
        </w:tc>
      </w:tr>
      <w:tr>
        <w:tc>
          <w:tcPr>
            <w:tcW w:w="1927" w:type="dxa"/>
          </w:tcPr>
          <w:p>
            <w:r>
              <w:rPr/>
              <w:t xml:space="preserve">Bundled/excluded pathway costs</w:t>
            </w:r>
          </w:p>
        </w:tc>
        <w:tc>
          <w:tcPr>
            <w:tcW w:w="1927" w:type="dxa"/>
          </w:tcPr>
          <w:p>
            <w:r>
              <w:rPr/>
              <w:t xml:space="preserve">AUD 126,819 net saving</w:t>
            </w:r>
          </w:p>
        </w:tc>
        <w:tc>
          <w:tcPr>
            <w:tcW w:w="1927" w:type="dxa"/>
          </w:tcPr>
          <w:p>
            <w:r>
              <w:rPr/>
              <w:t xml:space="preserve">11.97</w:t>
            </w:r>
          </w:p>
        </w:tc>
        <w:tc>
          <w:tcPr>
            <w:tcW w:w="1927" w:type="dxa"/>
          </w:tcPr>
          <w:p>
            <w:r>
              <w:rPr/>
              <w:t xml:space="preserve">16.2</w:t>
            </w:r>
          </w:p>
        </w:tc>
        <w:tc>
          <w:tcPr>
            <w:tcW w:w="1927" w:type="dxa"/>
          </w:tcPr>
          <w:p>
            <w:r>
              <w:rPr/>
              <w:t xml:space="preserve">Excludes selected pathway components to test possible overlap with bundled costs.</w:t>
            </w:r>
          </w:p>
        </w:tc>
      </w:tr>
      <w:tr>
        <w:tc>
          <w:tcPr>
            <w:tcW w:w="1927" w:type="dxa"/>
          </w:tcPr>
          <w:p>
            <w:r>
              <w:rPr/>
              <w:t xml:space="preserve">Higher post-TB DALY burden</w:t>
            </w:r>
          </w:p>
        </w:tc>
        <w:tc>
          <w:tcPr>
            <w:tcW w:w="1927" w:type="dxa"/>
          </w:tcPr>
          <w:p>
            <w:r>
              <w:rPr/>
              <w:t xml:space="preserve">AUD 92,370 net saving</w:t>
            </w:r>
          </w:p>
        </w:tc>
        <w:tc>
          <w:tcPr>
            <w:tcW w:w="1927" w:type="dxa"/>
          </w:tcPr>
          <w:p>
            <w:r>
              <w:rPr/>
              <w:t xml:space="preserve">11.97</w:t>
            </w:r>
          </w:p>
        </w:tc>
        <w:tc>
          <w:tcPr>
            <w:tcW w:w="1927" w:type="dxa"/>
          </w:tcPr>
          <w:p>
            <w:r>
              <w:rPr/>
              <w:t xml:space="preserve">73.1</w:t>
            </w:r>
          </w:p>
        </w:tc>
        <w:tc>
          <w:tcPr>
            <w:tcW w:w="1927" w:type="dxa"/>
          </w:tcPr>
          <w:p>
            <w:r>
              <w:rPr/>
              <w:t xml:space="preserve">Costs unchanged; DALY gain increases under secondary post-TB burden assumption.</w:t>
            </w:r>
          </w:p>
        </w:tc>
      </w:tr>
    </w:tbl>
    <w:p>
      <w:r>
        <w:t xml:space="preserve"/>
      </w:r>
    </w:p>
    <w:tbl>
      <w:tblPr>
        <w:tblStyle w:val="TableGrid"/>
        <w:tblW w:w="9638" w:type="dxa"/>
        <w:tblLayout w:type="fixed"/>
        <w:tblLook w:firstRow="1" w:noHBand="0" w:noVBand="1"/>
      </w:tblPr>
      <w:tr>
        <w:tc>
          <w:tcPr>
            <w:tcW w:w="3212" w:type="dxa"/>
            <w:shd w:fill="D9EAF7"/>
          </w:tcPr>
          <w:p>
            <w:r>
              <w:rPr>
                <w:b/>
              </w:rPr>
              <w:t xml:space="preserve">Question</w:t>
            </w:r>
          </w:p>
        </w:tc>
        <w:tc>
          <w:tcPr>
            <w:tcW w:w="3212" w:type="dxa"/>
            <w:shd w:fill="D9EAF7"/>
          </w:tcPr>
          <w:p>
            <w:r>
              <w:rPr>
                <w:b/>
              </w:rPr>
              <w:t xml:space="preserve">Value</w:t>
            </w:r>
          </w:p>
        </w:tc>
        <w:tc>
          <w:tcPr>
            <w:tcW w:w="3212" w:type="dxa"/>
            <w:shd w:fill="D9EAF7"/>
          </w:tcPr>
          <w:p>
            <w:r>
              <w:rPr>
                <w:b/>
              </w:rPr>
              <w:t xml:space="preserve">Interpretation</w:t>
            </w:r>
          </w:p>
        </w:tc>
      </w:tr>
      <w:tr>
        <w:tc>
          <w:tcPr>
            <w:tcW w:w="3212" w:type="dxa"/>
          </w:tcPr>
          <w:p>
            <w:r>
              <w:rPr/>
              <w:t xml:space="preserve">One-off additional setup cost before net saving is exhausted</w:t>
            </w:r>
          </w:p>
        </w:tc>
        <w:tc>
          <w:tcPr>
            <w:tcW w:w="3212" w:type="dxa"/>
          </w:tcPr>
          <w:p>
            <w:r>
              <w:rPr/>
              <w:t xml:space="preserve">AUD 92,370</w:t>
            </w:r>
          </w:p>
        </w:tc>
        <w:tc>
          <w:tcPr>
            <w:tcW w:w="3212" w:type="dxa"/>
          </w:tcPr>
          <w:p>
            <w:r>
              <w:rPr/>
              <w:t xml:space="preserve">Arithmetic break-even only; not a willingness-to-pay threshold.</w:t>
            </w:r>
          </w:p>
        </w:tc>
      </w:tr>
      <w:tr>
        <w:tc>
          <w:tcPr>
            <w:tcW w:w="3212" w:type="dxa"/>
          </w:tcPr>
          <w:p>
            <w:r>
              <w:rPr/>
              <w:t xml:space="preserve">Equivalent annual running cost over two screening years</w:t>
            </w:r>
          </w:p>
        </w:tc>
        <w:tc>
          <w:tcPr>
            <w:tcW w:w="3212" w:type="dxa"/>
          </w:tcPr>
          <w:p>
            <w:r>
              <w:rPr/>
              <w:t xml:space="preserve">AUD 46,867</w:t>
            </w:r>
          </w:p>
        </w:tc>
        <w:tc>
          <w:tcPr>
            <w:tcW w:w="3212" w:type="dxa"/>
          </w:tcPr>
          <w:p>
            <w:r>
              <w:rPr/>
              <w:t xml:space="preserve">Assumes equal payments in years 0 and 1 with 3% cost discounting.</w:t>
            </w:r>
          </w:p>
        </w:tc>
      </w:tr>
    </w:tbl>
    <w:p>
      <w:r>
        <w:t xml:space="preserve"/>
      </w:r>
    </w:p>
    <w:p>
      <w:r>
        <w:drawing>
          <wp:inline xmlns:wp="http://schemas.openxmlformats.org/drawingml/2006/wordprocessingDrawing" distT="0" distB="0" distL="0" distR="0">
            <wp:extent cx="5900000" cy="3658000"/>
            <wp:docPr id="5" name="image5.png"/>
            <a:graphic xmlns:a="http://schemas.openxmlformats.org/drawingml/2006/main">
              <a:graphicData uri="http://schemas.openxmlformats.org/drawingml/2006/picture">
                <pic:pic xmlns:pic="http://schemas.openxmlformats.org/drawingml/2006/picture">
                  <pic:nvPicPr>
                    <pic:cNvPr id="5" name="image5.png"/>
                    <pic:cNvPicPr/>
                  </pic:nvPicPr>
                  <pic:blipFill>
                    <a:blip r:embed="rId5"/>
                    <a:stretch>
                      <a:fillRect/>
                    </a:stretch>
                  </pic:blipFill>
                  <pic:spPr>
                    <a:xfrm>
                      <a:off x="0" y="0"/>
                      <a:ext cx="5900000" cy="3658000"/>
                    </a:xfrm>
                    <a:prstGeom prst="rect">
                      <a:avLst/>
                    </a:prstGeom>
                  </pic:spPr>
                </pic:pic>
              </a:graphicData>
            </a:graphic>
          </wp:inline>
        </w:drawing>
      </w:r>
    </w:p>
    <w:p>
      <w:pPr>
        <w:pStyle w:val="Caption"/>
      </w:pPr>
      <w:r>
        <w:t xml:space="preserve">Figure 5. Scenario comparison using one epidemiological event ledger.</w:t>
      </w:r>
    </w:p>
    <w:p>
      <w:pPr>
        <w:pStyle w:val="Heading1"/>
      </w:pPr>
      <w:r>
        <w:t xml:space="preserve">Cost-utility results</w:t>
      </w:r>
    </w:p>
    <w:p>
      <w:r>
        <w:t xml:space="preserve">The primary acute-DALY calculation estimates 16.2 discounted DALYs averted. Because the aggregate result has lower included costs and greater health gain, the diagnostic classification is dominant under the working assumptions.</w:t>
      </w:r>
    </w:p>
    <w:p>
      <w:r>
        <w:t xml:space="preserve">In the higher-burden post-TB scenario, discounted DALYs averted increase to 73.1 while costs and epidemiological events are unchanged.</w:t>
      </w:r>
    </w:p>
    <w:p>
      <w:r>
        <w:t xml:space="preserve">No willingness-to-pay threshold is supplied; NMB and probability cost-effective are therefore not calculated.</w:t>
      </w:r>
    </w:p>
    <w:p>
      <w:pPr>
        <w:pStyle w:val="Heading1"/>
      </w:pPr>
      <w:r>
        <w:t xml:space="preserve">Interactive analysis</w:t>
      </w:r>
    </w:p>
    <w:p>
      <w:r>
        <w:t xml:space="preserve">A Streamlit interface is available for reviewing the model workflow. The public site link should be checked against the reviewed branch before using it as the live health-economic tool.</w:t>
      </w:r>
    </w:p>
    <w:p>
      <w:hyperlink r:id="rId6" w:history="1">
        <w:r>
          <w:rPr>
            <w:rStyle w:val="Hyperlink"/>
          </w:rPr>
          <w:t>Open the LTBI Screening Decision Tool</w:t>
        </w:r>
      </w:hyperlink>
    </w:p>
    <w:p>
      <w:r>
        <w:t xml:space="preserve">Readable URL: https://tb-community-risk.streamlit.app</w:t>
      </w:r>
    </w:p>
    <w:p>
      <w:pPr>
        <w:pStyle w:val="Heading1"/>
      </w:pPr>
      <w:r>
        <w:t xml:space="preserve">Limitations</w:t>
      </w:r>
    </w:p>
    <w:p>
      <w:pPr>
        <w:pStyle w:val="ListParagraph"/>
      </w:pPr>
      <w:r>
        <w:t xml:space="preserve">The inherited 10/770 active-TB calibration target has unresolved provenance and interpretation.</w:t>
      </w:r>
    </w:p>
    <w:p>
      <w:pPr>
        <w:pStyle w:val="ListParagraph"/>
      </w:pPr>
      <w:r>
        <w:t xml:space="preserve">The implicit early phase is retained for compatibility with the earlier analysis, not interpreted as measured recent LTBI.</w:t>
      </w:r>
    </w:p>
    <w:p>
      <w:pPr>
        <w:pStyle w:val="ListParagraph"/>
      </w:pPr>
      <w:r>
        <w:t xml:space="preserve">Disease-risk odds ratios are used as multiplicative hazard multipliers for compatibility and remain scientifically provisional.</w:t>
      </w:r>
    </w:p>
    <w:p>
      <w:pPr>
        <w:pStyle w:val="ListParagraph"/>
      </w:pPr>
      <w:r>
        <w:t xml:space="preserve">Active or near-baseline TB is not fully separated from future incident, preventable TB in the compatibility model.</w:t>
      </w:r>
    </w:p>
    <w:p>
      <w:pPr>
        <w:pStyle w:val="ListParagraph"/>
      </w:pPr>
      <w:r>
        <w:t xml:space="preserve">Programme setup, programme running, travel, outreach and staffing costs are not yet locally costed.</w:t>
      </w:r>
    </w:p>
    <w:p>
      <w:pPr>
        <w:pStyle w:val="ListParagraph"/>
      </w:pPr>
      <w:r>
        <w:t xml:space="preserve">Some pathway costs may overlap with bundled test or treatment costs and require review.</w:t>
      </w:r>
    </w:p>
    <w:p>
      <w:pPr>
        <w:pStyle w:val="ListParagraph"/>
      </w:pPr>
      <w:r>
        <w:t xml:space="preserve">DALY assumptions are working assumptions and the ICER result is secondary and provisional.</w:t>
      </w:r>
    </w:p>
    <w:p>
      <w:pPr>
        <w:pStyle w:val="ListParagraph"/>
      </w:pPr>
      <w:r>
        <w:t xml:space="preserve">No reviewed willingness-to-pay threshold is supplied, so NMB and probability cost-effective are unavailable.</w:t>
      </w:r>
    </w:p>
    <w:p>
      <w:pPr>
        <w:pStyle w:val="ListParagraph"/>
      </w:pPr>
      <w:r>
        <w:t xml:space="preserve">Transmission and indirect community effects are excluded.</w:t>
      </w:r>
    </w:p>
    <w:p>
      <w:pPr>
        <w:pStyle w:val="Heading1"/>
      </w:pPr>
      <w:r>
        <w:t xml:space="preserve">Interpretation and next information required</w:t>
      </w:r>
    </w:p>
    <w:p>
      <w:r>
        <w:t xml:space="preserve">The compatibility model expects targeted IGRA/3HP screening to reduce direct active-TB outcomes in the simulated APY cohort.</w:t>
      </w:r>
    </w:p>
    <w:p>
      <w:r>
        <w:t xml:space="preserve">Included delivery costs are offset by avoided active-TB care under the working assumptions, but this depends materially on unresolved local programme resources and inherited epidemiological calibration semantics.</w:t>
      </w:r>
    </w:p>
    <w:p>
      <w:r>
        <w:t xml:space="preserve">The immediate next step is for SA Health to enter local setup, running, travel, outreach and workforce costs in the Streamlit Health Economics workspace and review possible bundling with test and regimen costs.</w:t>
      </w:r>
    </w:p>
    <w:p>
      <w:pPr>
        <w:pStyle w:val="Heading1"/>
      </w:pPr>
      <w:r>
        <w:t xml:space="preserve">References</w:t>
      </w:r>
    </w:p>
    <w:p>
      <w:pPr>
        <w:pStyle w:val="ListParagraph"/>
      </w:pPr>
      <w:r>
        <w:t xml:space="preserve">Dale KD, Abayawardana MJ, McBryde ES, Trauer JM, Carvalho N. Modeling the Cost-Effectiveness of Latent Tuberculosis Screening and Treatment Strategies in Recent Migrants to a Low-Incidence Setting. Am J Epidemiol. 2022;191(2):255-270. doi:10.1093/aje/kwab150.</w:t>
      </w:r>
    </w:p>
    <w:p>
      <w:pPr>
        <w:pStyle w:val="ListParagraph"/>
      </w:pPr>
      <w:r>
        <w:t xml:space="preserve">Repository evidence registry snapshot: data/apy_assumption_evidence_registry.csv, hash recorded in the report manifest.</w:t>
      </w:r>
    </w:p>
    <w:p>
      <w:pPr>
        <w:pStyle w:val="ListParagraph"/>
      </w:pPr>
      <w:r>
        <w:t xml:space="preserve">Frozen APY reference validation artifacts: validation/matlab_reference/prevent_igra_3hp_N1500_seed1.</w:t>
      </w:r>
    </w:p>
    <w:p>
      <w:r>
        <w:br w:type="page"/>
      </w:r>
    </w:p>
    <w:p>
      <w:pPr>
        <w:pStyle w:val="Heading1"/>
      </w:pPr>
      <w:r>
        <w:t xml:space="preserve">Appendix A. Reproducibility manifest</w:t>
      </w:r>
    </w:p>
    <w:tbl>
      <w:tblPr>
        <w:tblStyle w:val="TableGrid"/>
        <w:tblW w:w="9638" w:type="dxa"/>
        <w:tblLayout w:type="fixed"/>
        <w:tblLook w:firstRow="1" w:noHBand="0" w:noVBand="1"/>
      </w:tblPr>
      <w:tr>
        <w:tc>
          <w:tcPr>
            <w:tcW w:w="4819" w:type="dxa"/>
            <w:shd w:fill="D9EAF7"/>
          </w:tcPr>
          <w:p>
            <w:r>
              <w:rPr>
                <w:b/>
              </w:rPr>
              <w:t xml:space="preserve">Field</w:t>
            </w:r>
          </w:p>
        </w:tc>
        <w:tc>
          <w:tcPr>
            <w:tcW w:w="4819" w:type="dxa"/>
            <w:shd w:fill="D9EAF7"/>
          </w:tcPr>
          <w:p>
            <w:r>
              <w:rPr>
                <w:b/>
              </w:rPr>
              <w:t xml:space="preserve">Value</w:t>
            </w:r>
          </w:p>
        </w:tc>
      </w:tr>
      <w:tr>
        <w:tc>
          <w:tcPr>
            <w:tcW w:w="4819" w:type="dxa"/>
          </w:tcPr>
          <w:p>
            <w:r>
              <w:rPr/>
              <w:t xml:space="preserve">Repository</w:t>
            </w:r>
          </w:p>
        </w:tc>
        <w:tc>
          <w:tcPr>
            <w:tcW w:w="4819" w:type="dxa"/>
          </w:tcPr>
          <w:p>
            <w:r>
              <w:rPr/>
              <w:t xml:space="preserve">github.com/emmamcbryde/tb-community-risk</w:t>
            </w:r>
          </w:p>
        </w:tc>
      </w:tr>
      <w:tr>
        <w:tc>
          <w:tcPr>
            <w:tcW w:w="4819" w:type="dxa"/>
          </w:tcPr>
          <w:p>
            <w:r>
              <w:rPr/>
              <w:t xml:space="preserve">Branch</w:t>
            </w:r>
          </w:p>
        </w:tc>
        <w:tc>
          <w:tcPr>
            <w:tcW w:w="4819" w:type="dxa"/>
          </w:tcPr>
          <w:p>
            <w:r>
              <w:rPr/>
              <w:t xml:space="preserve">codex/apy-sa-health-matlab-compatible-anchor</w:t>
            </w:r>
          </w:p>
        </w:tc>
      </w:tr>
      <w:tr>
        <w:tc>
          <w:tcPr>
            <w:tcW w:w="4819" w:type="dxa"/>
          </w:tcPr>
          <w:p>
            <w:r>
              <w:rPr/>
              <w:t xml:space="preserve">Commit</w:t>
            </w:r>
          </w:p>
        </w:tc>
        <w:tc>
          <w:tcPr>
            <w:tcW w:w="4819" w:type="dxa"/>
          </w:tcPr>
          <w:p>
            <w:r>
              <w:rPr/>
              <w:t xml:space="preserve">12f697aa7caccad9a9290a7c7eef2dad54257e46</w:t>
            </w:r>
          </w:p>
        </w:tc>
      </w:tr>
      <w:tr>
        <w:tc>
          <w:tcPr>
            <w:tcW w:w="4819" w:type="dxa"/>
          </w:tcPr>
          <w:p>
            <w:r>
              <w:rPr/>
              <w:t xml:space="preserve">Model type</w:t>
            </w:r>
          </w:p>
        </w:tc>
        <w:tc>
          <w:tcPr>
            <w:tcW w:w="4819" w:type="dxa"/>
          </w:tcPr>
          <w:p>
            <w:r>
              <w:rPr/>
              <w:t xml:space="preserve">Stochastic individual-based compatibility anchor</w:t>
            </w:r>
          </w:p>
        </w:tc>
      </w:tr>
      <w:tr>
        <w:tc>
          <w:tcPr>
            <w:tcW w:w="4819" w:type="dxa"/>
          </w:tcPr>
          <w:p>
            <w:r>
              <w:rPr/>
              <w:t xml:space="preserve">Simulations</w:t>
            </w:r>
          </w:p>
        </w:tc>
        <w:tc>
          <w:tcPr>
            <w:tcW w:w="4819" w:type="dxa"/>
          </w:tcPr>
          <w:p>
            <w:r>
              <w:rPr/>
              <w:t xml:space="preserve">2000</w:t>
            </w:r>
          </w:p>
        </w:tc>
      </w:tr>
      <w:tr>
        <w:tc>
          <w:tcPr>
            <w:tcW w:w="4819" w:type="dxa"/>
          </w:tcPr>
          <w:p>
            <w:r>
              <w:rPr/>
              <w:t xml:space="preserve">Seed</w:t>
            </w:r>
          </w:p>
        </w:tc>
        <w:tc>
          <w:tcPr>
            <w:tcW w:w="4819" w:type="dxa"/>
          </w:tcPr>
          <w:p>
            <w:r>
              <w:rPr/>
              <w:t xml:space="preserve">1</w:t>
            </w:r>
          </w:p>
        </w:tc>
      </w:tr>
      <w:tr>
        <w:tc>
          <w:tcPr>
            <w:tcW w:w="4819" w:type="dxa"/>
          </w:tcPr>
          <w:p>
            <w:r>
              <w:rPr/>
              <w:t xml:space="preserve">Population</w:t>
            </w:r>
          </w:p>
        </w:tc>
        <w:tc>
          <w:tcPr>
            <w:tcW w:w="4819" w:type="dxa"/>
          </w:tcPr>
          <w:p>
            <w:r>
              <w:rPr/>
              <w:t xml:space="preserve">1500</w:t>
            </w:r>
          </w:p>
        </w:tc>
      </w:tr>
      <w:tr>
        <w:tc>
          <w:tcPr>
            <w:tcW w:w="4819" w:type="dxa"/>
          </w:tcPr>
          <w:p>
            <w:r>
              <w:rPr/>
              <w:t xml:space="preserve">Coverage</w:t>
            </w:r>
          </w:p>
        </w:tc>
        <w:tc>
          <w:tcPr>
            <w:tcW w:w="4819" w:type="dxa"/>
          </w:tcPr>
          <w:p>
            <w:r>
              <w:rPr/>
              <w:t xml:space="preserve">30.0%</w:t>
            </w:r>
          </w:p>
        </w:tc>
      </w:tr>
      <w:tr>
        <w:tc>
          <w:tcPr>
            <w:tcW w:w="4819" w:type="dxa"/>
          </w:tcPr>
          <w:p>
            <w:r>
              <w:rPr/>
              <w:t xml:space="preserve">Screening window</w:t>
            </w:r>
          </w:p>
        </w:tc>
        <w:tc>
          <w:tcPr>
            <w:tcW w:w="4819" w:type="dxa"/>
          </w:tcPr>
          <w:p>
            <w:r>
              <w:rPr/>
              <w:t xml:space="preserve">2 years</w:t>
            </w:r>
          </w:p>
        </w:tc>
      </w:tr>
      <w:tr>
        <w:tc>
          <w:tcPr>
            <w:tcW w:w="4819" w:type="dxa"/>
          </w:tcPr>
          <w:p>
            <w:r>
              <w:rPr/>
              <w:t xml:space="preserve">Follow-up</w:t>
            </w:r>
          </w:p>
        </w:tc>
        <w:tc>
          <w:tcPr>
            <w:tcW w:w="4819" w:type="dxa"/>
          </w:tcPr>
          <w:p>
            <w:r>
              <w:rPr/>
              <w:t xml:space="preserve">20 years</w:t>
            </w:r>
          </w:p>
        </w:tc>
      </w:tr>
      <w:tr>
        <w:tc>
          <w:tcPr>
            <w:tcW w:w="4819" w:type="dxa"/>
          </w:tcPr>
          <w:p>
            <w:r>
              <w:rPr/>
              <w:t xml:space="preserve">Event-ledger contract</w:t>
            </w:r>
          </w:p>
        </w:tc>
        <w:tc>
          <w:tcPr>
            <w:tcW w:w="4819" w:type="dxa"/>
          </w:tcPr>
          <w:p>
            <w:r>
              <w:rPr/>
              <w:t xml:space="preserve">ltbi_screening_event_ledger_v3</w:t>
            </w:r>
          </w:p>
        </w:tc>
      </w:tr>
      <w:tr>
        <w:tc>
          <w:tcPr>
            <w:tcW w:w="4819" w:type="dxa"/>
          </w:tcPr>
          <w:p>
            <w:r>
              <w:rPr/>
              <w:t xml:space="preserve">Economics contract</w:t>
            </w:r>
          </w:p>
        </w:tc>
        <w:tc>
          <w:tcPr>
            <w:tcW w:w="4819" w:type="dxa"/>
          </w:tcPr>
          <w:p>
            <w:r>
              <w:rPr/>
              <w:t xml:space="preserve">ltbi_health_economics_results_v3</w:t>
            </w:r>
          </w:p>
        </w:tc>
      </w:tr>
      <w:tr>
        <w:tc>
          <w:tcPr>
            <w:tcW w:w="4819" w:type="dxa"/>
          </w:tcPr>
          <w:p>
            <w:r>
              <w:rPr/>
              <w:t xml:space="preserve">Configuration hash</w:t>
            </w:r>
          </w:p>
        </w:tc>
        <w:tc>
          <w:tcPr>
            <w:tcW w:w="4819" w:type="dxa"/>
          </w:tcPr>
          <w:p>
            <w:r>
              <w:rPr/>
              <w:t xml:space="preserve">a84f98039b269502d17f9c6e4b1e97fb6e9d35a211294bb8bccb637f7af7c9f1</w:t>
            </w:r>
          </w:p>
        </w:tc>
      </w:tr>
      <w:tr>
        <w:tc>
          <w:tcPr>
            <w:tcW w:w="4819" w:type="dxa"/>
          </w:tcPr>
          <w:p>
            <w:r>
              <w:rPr/>
              <w:t xml:space="preserve">Economics hash</w:t>
            </w:r>
          </w:p>
        </w:tc>
        <w:tc>
          <w:tcPr>
            <w:tcW w:w="4819" w:type="dxa"/>
          </w:tcPr>
          <w:p>
            <w:r>
              <w:rPr/>
              <w:t xml:space="preserve">57ce96656c71ac1d2e1a4e8fbc77578d9e292ed02737e926529ed97c80e4ce67</w:t>
            </w:r>
          </w:p>
        </w:tc>
      </w:tr>
      <w:tr>
        <w:tc>
          <w:tcPr>
            <w:tcW w:w="4819" w:type="dxa"/>
          </w:tcPr>
          <w:p>
            <w:r>
              <w:rPr/>
              <w:t xml:space="preserve">Evidence-registry hash</w:t>
            </w:r>
          </w:p>
        </w:tc>
        <w:tc>
          <w:tcPr>
            <w:tcW w:w="4819" w:type="dxa"/>
          </w:tcPr>
          <w:p>
            <w:r>
              <w:rPr/>
              <w:t xml:space="preserve">72a9410cff2f41b7b252e28a87527d3c9683cfa810b2a83179fa460635f14e43</w:t>
            </w:r>
          </w:p>
        </w:tc>
      </w:tr>
    </w:tbl>
    <w:p>
      <w:r>
        <w:t xml:space="preserve"/>
      </w:r>
    </w:p>
    <w:p>
      <w:pPr>
        <w:pStyle w:val="Heading1"/>
      </w:pPr>
      <w:r>
        <w:t xml:space="preserve">Appendix B. Validation against frozen epidemiological reference</w:t>
      </w:r>
    </w:p>
    <w:tbl>
      <w:tblPr>
        <w:tblStyle w:val="TableGrid"/>
        <w:tblW w:w="9638" w:type="dxa"/>
        <w:tblLayout w:type="fixed"/>
        <w:tblLook w:firstRow="1" w:noHBand="0" w:noVBand="1"/>
      </w:tblPr>
      <w:tr>
        <w:tc>
          <w:tcPr>
            <w:tcW w:w="1927" w:type="dxa"/>
            <w:shd w:fill="D9EAF7"/>
          </w:tcPr>
          <w:p>
            <w:r>
              <w:rPr>
                <w:b/>
              </w:rPr>
              <w:t xml:space="preserve">Metric</w:t>
            </w:r>
          </w:p>
        </w:tc>
        <w:tc>
          <w:tcPr>
            <w:tcW w:w="1927" w:type="dxa"/>
            <w:shd w:fill="D9EAF7"/>
          </w:tcPr>
          <w:p>
            <w:r>
              <w:rPr>
                <w:b/>
              </w:rPr>
              <w:t xml:space="preserve">Compatibility mean</w:t>
            </w:r>
          </w:p>
        </w:tc>
        <w:tc>
          <w:tcPr>
            <w:tcW w:w="1927" w:type="dxa"/>
            <w:shd w:fill="D9EAF7"/>
          </w:tcPr>
          <w:p>
            <w:r>
              <w:rPr>
                <w:b/>
              </w:rPr>
              <w:t xml:space="preserve">Compatibility median</w:t>
            </w:r>
          </w:p>
        </w:tc>
        <w:tc>
          <w:tcPr>
            <w:tcW w:w="1927" w:type="dxa"/>
            <w:shd w:fill="D9EAF7"/>
          </w:tcPr>
          <w:p>
            <w:r>
              <w:rPr>
                <w:b/>
              </w:rPr>
              <w:t xml:space="preserve">Frozen median</w:t>
            </w:r>
          </w:p>
        </w:tc>
        <w:tc>
          <w:tcPr>
            <w:tcW w:w="1927" w:type="dxa"/>
            <w:shd w:fill="D9EAF7"/>
          </w:tcPr>
          <w:p>
            <w:r>
              <w:rPr>
                <w:b/>
              </w:rPr>
              <w:t xml:space="preserve">Frozen 2.5-97.5%</w:t>
            </w:r>
          </w:p>
        </w:tc>
      </w:tr>
      <w:tr>
        <w:tc>
          <w:tcPr>
            <w:tcW w:w="1927" w:type="dxa"/>
          </w:tcPr>
          <w:p>
            <w:r>
              <w:rPr/>
              <w:t xml:space="preserve">nScreened</w:t>
            </w:r>
          </w:p>
        </w:tc>
        <w:tc>
          <w:tcPr>
            <w:tcW w:w="1927" w:type="dxa"/>
          </w:tcPr>
          <w:p>
            <w:r>
              <w:rPr/>
              <w:t xml:space="preserve">450.00</w:t>
            </w:r>
          </w:p>
        </w:tc>
        <w:tc>
          <w:tcPr>
            <w:tcW w:w="1927" w:type="dxa"/>
          </w:tcPr>
          <w:p>
            <w:r>
              <w:rPr/>
              <w:t xml:space="preserve">450.0</w:t>
            </w:r>
          </w:p>
        </w:tc>
        <w:tc>
          <w:tcPr>
            <w:tcW w:w="1927" w:type="dxa"/>
          </w:tcPr>
          <w:p>
            <w:r>
              <w:rPr/>
              <w:t xml:space="preserve">450.0</w:t>
            </w:r>
          </w:p>
        </w:tc>
        <w:tc>
          <w:tcPr>
            <w:tcW w:w="1927" w:type="dxa"/>
          </w:tcPr>
          <w:p>
            <w:r>
              <w:rPr/>
              <w:t xml:space="preserve">450.0 to 450.0</w:t>
            </w:r>
          </w:p>
        </w:tc>
      </w:tr>
      <w:tr>
        <w:tc>
          <w:tcPr>
            <w:tcW w:w="1927" w:type="dxa"/>
          </w:tcPr>
          <w:p>
            <w:r>
              <w:rPr/>
              <w:t xml:space="preserve">nTestPositive</w:t>
            </w:r>
          </w:p>
        </w:tc>
        <w:tc>
          <w:tcPr>
            <w:tcW w:w="1927" w:type="dxa"/>
          </w:tcPr>
          <w:p>
            <w:r>
              <w:rPr/>
              <w:t xml:space="preserve">83.29</w:t>
            </w:r>
          </w:p>
        </w:tc>
        <w:tc>
          <w:tcPr>
            <w:tcW w:w="1927" w:type="dxa"/>
          </w:tcPr>
          <w:p>
            <w:r>
              <w:rPr/>
              <w:t xml:space="preserve">83.0</w:t>
            </w:r>
          </w:p>
        </w:tc>
        <w:tc>
          <w:tcPr>
            <w:tcW w:w="1927" w:type="dxa"/>
          </w:tcPr>
          <w:p>
            <w:r>
              <w:rPr/>
              <w:t xml:space="preserve">84.0</w:t>
            </w:r>
          </w:p>
        </w:tc>
        <w:tc>
          <w:tcPr>
            <w:tcW w:w="1927" w:type="dxa"/>
          </w:tcPr>
          <w:p>
            <w:r>
              <w:rPr/>
              <w:t xml:space="preserve">68.0 to 100.0</w:t>
            </w:r>
          </w:p>
        </w:tc>
      </w:tr>
      <w:tr>
        <w:tc>
          <w:tcPr>
            <w:tcW w:w="1927" w:type="dxa"/>
          </w:tcPr>
          <w:p>
            <w:r>
              <w:rPr/>
              <w:t xml:space="preserve">nTestPositiveNonActive</w:t>
            </w:r>
          </w:p>
        </w:tc>
        <w:tc>
          <w:tcPr>
            <w:tcW w:w="1927" w:type="dxa"/>
          </w:tcPr>
          <w:p>
            <w:r>
              <w:rPr/>
              <w:t xml:space="preserve">73.28</w:t>
            </w:r>
          </w:p>
        </w:tc>
        <w:tc>
          <w:tcPr>
            <w:tcW w:w="1927" w:type="dxa"/>
          </w:tcPr>
          <w:p>
            <w:r>
              <w:rPr/>
              <w:t xml:space="preserve">73.0</w:t>
            </w:r>
          </w:p>
        </w:tc>
        <w:tc>
          <w:tcPr>
            <w:tcW w:w="1927" w:type="dxa"/>
          </w:tcPr>
          <w:p>
            <w:r>
              <w:rPr/>
              <w:t xml:space="preserve">73.0</w:t>
            </w:r>
          </w:p>
        </w:tc>
        <w:tc>
          <w:tcPr>
            <w:tcW w:w="1927" w:type="dxa"/>
          </w:tcPr>
          <w:p>
            <w:r>
              <w:rPr/>
              <w:t xml:space="preserve">59.0 to 89.0</w:t>
            </w:r>
          </w:p>
        </w:tc>
      </w:tr>
      <w:tr>
        <w:tc>
          <w:tcPr>
            <w:tcW w:w="1927" w:type="dxa"/>
          </w:tcPr>
          <w:p>
            <w:r>
              <w:rPr/>
              <w:t xml:space="preserve">nFalsePositiveTests</w:t>
            </w:r>
          </w:p>
        </w:tc>
        <w:tc>
          <w:tcPr>
            <w:tcW w:w="1927" w:type="dxa"/>
          </w:tcPr>
          <w:p>
            <w:r>
              <w:rPr/>
              <w:t xml:space="preserve">7.40</w:t>
            </w:r>
          </w:p>
        </w:tc>
        <w:tc>
          <w:tcPr>
            <w:tcW w:w="1927" w:type="dxa"/>
          </w:tcPr>
          <w:p>
            <w:r>
              <w:rPr/>
              <w:t xml:space="preserve">7.0</w:t>
            </w:r>
          </w:p>
        </w:tc>
        <w:tc>
          <w:tcPr>
            <w:tcW w:w="1927" w:type="dxa"/>
          </w:tcPr>
          <w:p>
            <w:r>
              <w:rPr/>
              <w:t xml:space="preserve">7.0</w:t>
            </w:r>
          </w:p>
        </w:tc>
        <w:tc>
          <w:tcPr>
            <w:tcW w:w="1927" w:type="dxa"/>
          </w:tcPr>
          <w:p>
            <w:r>
              <w:rPr/>
              <w:t xml:space="preserve">3.0 to 13.0</w:t>
            </w:r>
          </w:p>
        </w:tc>
      </w:tr>
      <w:tr>
        <w:tc>
          <w:tcPr>
            <w:tcW w:w="1927" w:type="dxa"/>
          </w:tcPr>
          <w:p>
            <w:r>
              <w:rPr/>
              <w:t xml:space="preserve">nStartTPT</w:t>
            </w:r>
          </w:p>
        </w:tc>
        <w:tc>
          <w:tcPr>
            <w:tcW w:w="1927" w:type="dxa"/>
          </w:tcPr>
          <w:p>
            <w:r>
              <w:rPr/>
              <w:t xml:space="preserve">62.24</w:t>
            </w:r>
          </w:p>
        </w:tc>
        <w:tc>
          <w:tcPr>
            <w:tcW w:w="1927" w:type="dxa"/>
          </w:tcPr>
          <w:p>
            <w:r>
              <w:rPr/>
              <w:t xml:space="preserve">62.0</w:t>
            </w:r>
          </w:p>
        </w:tc>
        <w:tc>
          <w:tcPr>
            <w:tcW w:w="1927" w:type="dxa"/>
          </w:tcPr>
          <w:p>
            <w:r>
              <w:rPr/>
              <w:t xml:space="preserve">62.0</w:t>
            </w:r>
          </w:p>
        </w:tc>
        <w:tc>
          <w:tcPr>
            <w:tcW w:w="1927" w:type="dxa"/>
          </w:tcPr>
          <w:p>
            <w:r>
              <w:rPr/>
              <w:t xml:space="preserve">48.0 to 77.0</w:t>
            </w:r>
          </w:p>
        </w:tc>
      </w:tr>
      <w:tr>
        <w:tc>
          <w:tcPr>
            <w:tcW w:w="1927" w:type="dxa"/>
          </w:tcPr>
          <w:p>
            <w:r>
              <w:rPr/>
              <w:t xml:space="preserve">nCompleteTPT</w:t>
            </w:r>
          </w:p>
        </w:tc>
        <w:tc>
          <w:tcPr>
            <w:tcW w:w="1927" w:type="dxa"/>
          </w:tcPr>
          <w:p>
            <w:r>
              <w:rPr/>
              <w:t xml:space="preserve">49.72</w:t>
            </w:r>
          </w:p>
        </w:tc>
        <w:tc>
          <w:tcPr>
            <w:tcW w:w="1927" w:type="dxa"/>
          </w:tcPr>
          <w:p>
            <w:r>
              <w:rPr/>
              <w:t xml:space="preserve">50.0</w:t>
            </w:r>
          </w:p>
        </w:tc>
        <w:tc>
          <w:tcPr>
            <w:tcW w:w="1927" w:type="dxa"/>
          </w:tcPr>
          <w:p>
            <w:r>
              <w:rPr/>
              <w:t xml:space="preserve">50.0</w:t>
            </w:r>
          </w:p>
        </w:tc>
        <w:tc>
          <w:tcPr>
            <w:tcW w:w="1927" w:type="dxa"/>
          </w:tcPr>
          <w:p>
            <w:r>
              <w:rPr/>
              <w:t xml:space="preserve">37.0 to 63.0</w:t>
            </w:r>
          </w:p>
        </w:tc>
      </w:tr>
      <w:tr>
        <w:tc>
          <w:tcPr>
            <w:tcW w:w="1927" w:type="dxa"/>
          </w:tcPr>
          <w:p>
            <w:r>
              <w:rPr/>
              <w:t xml:space="preserve">nADRstop</w:t>
            </w:r>
          </w:p>
        </w:tc>
        <w:tc>
          <w:tcPr>
            <w:tcW w:w="1927" w:type="dxa"/>
          </w:tcPr>
          <w:p>
            <w:r>
              <w:rPr/>
              <w:t xml:space="preserve">3.08</w:t>
            </w:r>
          </w:p>
        </w:tc>
        <w:tc>
          <w:tcPr>
            <w:tcW w:w="1927" w:type="dxa"/>
          </w:tcPr>
          <w:p>
            <w:r>
              <w:rPr/>
              <w:t xml:space="preserve">3.0</w:t>
            </w:r>
          </w:p>
        </w:tc>
        <w:tc>
          <w:tcPr>
            <w:tcW w:w="1927" w:type="dxa"/>
          </w:tcPr>
          <w:p>
            <w:r>
              <w:rPr/>
              <w:t xml:space="preserve">3.0</w:t>
            </w:r>
          </w:p>
        </w:tc>
        <w:tc>
          <w:tcPr>
            <w:tcW w:w="1927" w:type="dxa"/>
          </w:tcPr>
          <w:p>
            <w:r>
              <w:rPr/>
              <w:t xml:space="preserve">0.0 to 7.0</w:t>
            </w:r>
          </w:p>
        </w:tc>
      </w:tr>
      <w:tr>
        <w:tc>
          <w:tcPr>
            <w:tcW w:w="1927" w:type="dxa"/>
          </w:tcPr>
          <w:p>
            <w:r>
              <w:rPr/>
              <w:t xml:space="preserve">nCuredInfection</w:t>
            </w:r>
          </w:p>
        </w:tc>
        <w:tc>
          <w:tcPr>
            <w:tcW w:w="1927" w:type="dxa"/>
          </w:tcPr>
          <w:p>
            <w:r>
              <w:rPr/>
              <w:t xml:space="preserve">36.71</w:t>
            </w:r>
          </w:p>
        </w:tc>
        <w:tc>
          <w:tcPr>
            <w:tcW w:w="1927" w:type="dxa"/>
          </w:tcPr>
          <w:p>
            <w:r>
              <w:rPr/>
              <w:t xml:space="preserve">36.0</w:t>
            </w:r>
          </w:p>
        </w:tc>
        <w:tc>
          <w:tcPr>
            <w:tcW w:w="1927" w:type="dxa"/>
          </w:tcPr>
          <w:p>
            <w:r>
              <w:rPr/>
              <w:t xml:space="preserve">37.0</w:t>
            </w:r>
          </w:p>
        </w:tc>
        <w:tc>
          <w:tcPr>
            <w:tcW w:w="1927" w:type="dxa"/>
          </w:tcPr>
          <w:p>
            <w:r>
              <w:rPr/>
              <w:t xml:space="preserve">26.0 to 49.0</w:t>
            </w:r>
          </w:p>
        </w:tc>
      </w:tr>
      <w:tr>
        <w:tc>
          <w:tcPr>
            <w:tcW w:w="1927" w:type="dxa"/>
          </w:tcPr>
          <w:p>
            <w:r>
              <w:rPr/>
              <w:t xml:space="preserve">nPreventedActiveTB</w:t>
            </w:r>
          </w:p>
        </w:tc>
        <w:tc>
          <w:tcPr>
            <w:tcW w:w="1927" w:type="dxa"/>
          </w:tcPr>
          <w:p>
            <w:r>
              <w:rPr/>
              <w:t xml:space="preserve">11.97</w:t>
            </w:r>
          </w:p>
        </w:tc>
        <w:tc>
          <w:tcPr>
            <w:tcW w:w="1927" w:type="dxa"/>
          </w:tcPr>
          <w:p>
            <w:r>
              <w:rPr/>
              <w:t xml:space="preserve">12.0</w:t>
            </w:r>
          </w:p>
        </w:tc>
        <w:tc>
          <w:tcPr>
            <w:tcW w:w="1927" w:type="dxa"/>
          </w:tcPr>
          <w:p>
            <w:r>
              <w:rPr/>
              <w:t xml:space="preserve">12.0</w:t>
            </w:r>
          </w:p>
        </w:tc>
        <w:tc>
          <w:tcPr>
            <w:tcW w:w="1927" w:type="dxa"/>
          </w:tcPr>
          <w:p>
            <w:r>
              <w:rPr/>
              <w:t xml:space="preserve">6.0 to 19.0</w:t>
            </w:r>
          </w:p>
        </w:tc>
      </w:tr>
      <w:tr>
        <w:tc>
          <w:tcPr>
            <w:tcW w:w="1927" w:type="dxa"/>
          </w:tcPr>
          <w:p>
            <w:r>
              <w:rPr/>
              <w:t xml:space="preserve">nActiveBy20y</w:t>
            </w:r>
          </w:p>
        </w:tc>
        <w:tc>
          <w:tcPr>
            <w:tcW w:w="1927" w:type="dxa"/>
          </w:tcPr>
          <w:p>
            <w:r>
              <w:rPr/>
              <w:t xml:space="preserve">37.30</w:t>
            </w:r>
          </w:p>
        </w:tc>
        <w:tc>
          <w:tcPr>
            <w:tcW w:w="1927" w:type="dxa"/>
          </w:tcPr>
          <w:p>
            <w:r>
              <w:rPr/>
              <w:t xml:space="preserve">37.0</w:t>
            </w:r>
          </w:p>
        </w:tc>
        <w:tc>
          <w:tcPr>
            <w:tcW w:w="1927" w:type="dxa"/>
          </w:tcPr>
          <w:p>
            <w:r>
              <w:rPr/>
              <w:t xml:space="preserve">37.0</w:t>
            </w:r>
          </w:p>
        </w:tc>
        <w:tc>
          <w:tcPr>
            <w:tcW w:w="1927" w:type="dxa"/>
          </w:tcPr>
          <w:p>
            <w:r>
              <w:rPr/>
              <w:t xml:space="preserve">26.0 to 49.0</w:t>
            </w:r>
          </w:p>
        </w:tc>
      </w:tr>
    </w:tbl>
    <w:p>
      <w:r>
        <w:t xml:space="preserve"/>
      </w:r>
    </w:p>
    <w:p>
      <w:pPr>
        <w:pStyle w:val="Heading1"/>
      </w:pPr>
      <w:r>
        <w:t xml:space="preserve">Appendix C. Reproduction command</w:t>
      </w:r>
    </w:p>
    <w:p>
      <w:r>
        <w:t xml:space="preserve">python scripts/build_sa_health_reference_package.py</w:t>
      </w:r>
    </w:p>
    <w:p>
      <w:r>
        <w:t xml:space="preserve">python scripts/build_sa_health_word_report.py</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1"/>
    </w:rPr>
    <w:pPr>
      <w:spacing w:after="120" w:line="276" w:lineRule="auto"/>
    </w:pPr>
  </w:style>
  <w:style w:type="paragraph" w:styleId="Title">
    <w:name w:val="Title"/>
    <w:qFormat/>
    <w:rPr>
      <w:rFonts w:ascii="Aptos Display" w:hAnsi="Aptos Display"/>
      <w:b/>
      <w:color w:val="12355B"/>
      <w:sz w:val="40"/>
    </w:rPr>
  </w:style>
  <w:style w:type="paragraph" w:styleId="Subtitle">
    <w:name w:val="Subtitle"/>
    <w:qFormat/>
    <w:rPr>
      <w:rFonts w:ascii="Aptos" w:hAnsi="Aptos"/>
      <w:color w:val="4A5568"/>
      <w:sz w:val="25"/>
    </w:rPr>
  </w:style>
  <w:style w:type="paragraph" w:styleId="Heading1">
    <w:name w:val="heading 1"/>
    <w:basedOn w:val="Normal"/>
    <w:qFormat/>
    <w:pPr>
      <w:keepNext/>
      <w:spacing w:before="320" w:after="120"/>
    </w:pPr>
    <w:rPr>
      <w:rFonts w:ascii="Aptos Display" w:hAnsi="Aptos Display"/>
      <w:b/>
      <w:color w:val="12355B"/>
      <w:sz w:val="28"/>
    </w:rPr>
  </w:style>
  <w:style w:type="paragraph" w:styleId="Caption">
    <w:name w:val="Caption"/>
    <w:basedOn w:val="Normal"/>
    <w:qFormat/>
    <w:rPr>
      <w:i/>
      <w:color w:val="555555"/>
      <w:sz w:val="18"/>
    </w:rPr>
  </w:style>
  <w:style w:type="paragraph" w:styleId="ListParagraph">
    <w:name w:val="List Paragraph"/>
    <w:basedOn w:val="Normal"/>
    <w:qFormat/>
    <w:pPr>
      <w:ind w:left="360"/>
    </w:pPr>
  </w:style>
  <w:style w:type="character" w:styleId="Hyperlink">
    <w:name w:val="Hyperlink"/>
    <w:rPr>
      <w:color w:val="0563C1"/>
      <w:u w:val="single"/>
    </w:rPr>
  </w:style>
  <w:style w:type="table" w:styleId="TableGrid">
    <w:name w:val="Table Grid"/>
    <w:qFormat/>
    <w:tblPr>
      <w:tblBorders>
        <w:top w:val="single" w:sz="4" w:color="B8C2CC"/>
        <w:left w:val="single" w:sz="4" w:color="B8C2CC"/>
        <w:bottom w:val="single" w:sz="4" w:color="B8C2CC"/>
        <w:right w:val="single" w:sz="4" w:color="B8C2CC"/>
        <w:insideH w:val="single" w:sz="4" w:color="D9DEE3"/>
        <w:insideV w:val="single" w:sz="4" w:color="D9DEE3"/>
      </w:tblBorders>
    </w:tbl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hyperlink" Target="https://tb-community-risk.streamlit.app" TargetMode="External"/></Relationships>
</file>

<file path=docProps/app.xml><?xml version="1.0" encoding="utf-8"?>
<Properties xmlns="http://schemas.openxmlformats.org/officeDocument/2006/extended-properties" xmlns:vt="http://schemas.openxmlformats.org/officeDocument/2006/docPropsVTypes">
  <Application>tb-community-risk</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Targeted LTBI screening in the APY Lands: working health-economic analysis</dc:title>
  <dc:creator>tb-community-risk reproducible report workflow</dc:creator>
  <dcterms:created xsi:type="dcterms:W3CDTF">2026-09-02T13:47:55.227305+00:00</dcterms:created>
  <dcterms:modified xsi:type="dcterms:W3CDTF">2026-09-02T13:47:55.227305+00:00</dcterms:modified>
</cp:coreProperties>
</file>