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6.jpeg" ContentType="image/jpeg"/>
  <Override PartName="/word/media/image4.png" ContentType="image/png"/>
  <Override PartName="/word/media/image7.jpeg" ContentType="image/jpeg"/>
  <Override PartName="/word/media/image8.jpeg" ContentType="image/jpe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715" w:left="0" w:right="0"/>
      </w:pPr>
      <w:r>
        <w:rPr/>
        <w:t>Блок управления клапанами выполнен модульным сборным. Состоит из кросс платы, но которую устанавливаются остальные составляющие; платы преобразователей, которая оборудована несколькими понижающими импульсными преобразователями напряжения, необходимыми для питаниц внутренних цепей блока; и нескольких наборов, состоящих из платы цифрового управления и платы входов-выходов. Кроссплата представлена на рисунке 1.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  <w:jc w:val="center"/>
      </w:pPr>
      <w:r>
        <w:rPr/>
        <w:t>Рисунок 1.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340995</wp:posOffset>
            </wp:positionH>
            <wp:positionV relativeFrom="paragraph">
              <wp:posOffset>0</wp:posOffset>
            </wp:positionV>
            <wp:extent cx="5650865" cy="445706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  <w:jc w:val="center"/>
      </w:pPr>
      <w:r>
        <w:rPr/>
      </w:r>
    </w:p>
    <w:p>
      <w:pPr>
        <w:pStyle w:val="style0"/>
        <w:ind w:firstLine="715" w:left="0" w:right="0"/>
        <w:jc w:val="both"/>
      </w:pPr>
      <w:r>
        <w:rPr/>
        <w:t>Аналогичная плата для “робота 1.5” имеет меньшие габариты вследвтвие меньшего количества входов-выходов – рисунок 2.</w:t>
      </w:r>
    </w:p>
    <w:p>
      <w:pPr>
        <w:pStyle w:val="style0"/>
        <w:ind w:firstLine="715" w:left="0" w:right="0"/>
        <w:jc w:val="both"/>
      </w:pPr>
      <w:r>
        <w:rPr/>
      </w:r>
    </w:p>
    <w:p>
      <w:pPr>
        <w:pStyle w:val="style0"/>
        <w:ind w:firstLine="715" w:left="0" w:right="0"/>
        <w:jc w:val="center"/>
      </w:pPr>
      <w:r>
        <w:rPr/>
        <w:t>Рисунок 2.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4081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>Каждый комплект платы цифрового управления и входов-выходов может иметь до 12 цифровых входов и 8 цифровых выходов. Комплекты объединены между собой шиной I2C. Плата цифрового управления представлена на рисунке 3.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  <w:jc w:val="center"/>
      </w:pPr>
      <w:r>
        <w:rPr/>
        <w:t>Рисунок 3.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9395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  <w:jc w:val="center"/>
      </w:pPr>
      <w:r>
        <w:rPr/>
      </w:r>
    </w:p>
    <w:p>
      <w:pPr>
        <w:pStyle w:val="style0"/>
        <w:ind w:firstLine="715" w:left="0" w:right="0"/>
        <w:jc w:val="both"/>
      </w:pPr>
      <w:r>
        <w:rPr/>
        <w:t>Каждая плата цифрового управления работает в комплекте с платой входов-выходов, которая непосредственно осуществляет измерения показаний датчиков и выдаёт управляющие воздействия на клапана – рисунок 4.</w:t>
      </w:r>
    </w:p>
    <w:p>
      <w:pPr>
        <w:pStyle w:val="style0"/>
        <w:ind w:hanging="0" w:left="0" w:right="0"/>
        <w:jc w:val="center"/>
      </w:pPr>
      <w:r>
        <w:rPr/>
        <w:t>Рисунок 4.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238760</wp:posOffset>
            </wp:positionH>
            <wp:positionV relativeFrom="paragraph">
              <wp:posOffset>0</wp:posOffset>
            </wp:positionV>
            <wp:extent cx="5854700" cy="46424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64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 xml:space="preserve">Соединение платы цифрового управления и платы входов-выходов осуществляется через кросс плату – рисунки 1 и 2. </w:t>
      </w:r>
    </w:p>
    <w:p>
      <w:pPr>
        <w:pStyle w:val="style0"/>
        <w:ind w:firstLine="715" w:left="0" w:right="0"/>
      </w:pPr>
      <w:r>
        <w:rPr/>
        <w:t xml:space="preserve"> </w:t>
      </w:r>
      <w:r>
        <w:rPr/>
        <w:t>Питание внутренних цепей комплектов плат цифрового управления и входов-выходов производится от импульсных понижающих источников напряжения, расположенных на соответствующей плате – рисунок 5.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  <w:jc w:val="center"/>
      </w:pPr>
      <w:r>
        <w:rPr/>
        <w:t>Рисунок 5.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9485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>Питания, вырабатываемые платой преобразователей напряжения, подаются на кросс плату (рисунки 1 и 2), а по ней поступают к потребителям – платам цифрового управления (рисунок 3) и платам входов-выходов (рисунок 4).</w:t>
      </w:r>
    </w:p>
    <w:p>
      <w:pPr>
        <w:pStyle w:val="style0"/>
        <w:ind w:firstLine="715" w:left="0" w:right="0"/>
      </w:pPr>
      <w:r>
        <w:rPr/>
        <w:t>Для робота 1.5 предполагается использовать кросс плату, способную содержать до трёх комплектов плат цифрового управления и плат входов-выходов. Для робота 50 – до четырёх.</w:t>
      </w:r>
    </w:p>
    <w:p>
      <w:pPr>
        <w:pStyle w:val="style0"/>
        <w:ind w:firstLine="715" w:left="0" w:right="0"/>
      </w:pPr>
      <w:r>
        <w:rPr/>
        <w:t>Каждый комплект потребляет ток 8 мА – 20 мА в зависимости от режима работы. Эффективность импульсных источников напряжения платы преобразователей составляет около 78%.</w:t>
      </w:r>
    </w:p>
    <w:p>
      <w:pPr>
        <w:pStyle w:val="style0"/>
        <w:ind w:firstLine="715" w:left="0" w:right="0"/>
      </w:pPr>
      <w:r>
        <w:rPr/>
        <w:t>Блок управления клапанами получает инструкции через любой из комплектов плат цифрового управления и входов-выходов либо посредством шины I2C, либо через соединение USB, которым опционально может быть снабжена любая из плат цифрового управления. Идентификация плат цифрового управления в рамках протокола шины I2C производится с помощью семиразрядных адресов устройств. Четыре разряда из семи возможных постоянны, а три из них могут быть заданы с помощью перемычек, которыми оборудованы платы цифрового управления – рисунок 3 посередине верхнего края платы.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>В качестве бортового маршрутизатора, объединённого с бортовой ЭВМ, выбран D-Link DIR-620 – рисунок 6.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  <w:jc w:val="center"/>
      </w:pPr>
      <w:r>
        <w:rPr/>
        <w:t>Рисунок 6.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727710</wp:posOffset>
            </wp:positionH>
            <wp:positionV relativeFrom="paragraph">
              <wp:posOffset>0</wp:posOffset>
            </wp:positionV>
            <wp:extent cx="4876800" cy="377952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 xml:space="preserve"> </w:t>
      </w:r>
      <w:r>
        <w:rPr/>
        <w:t>Данный маршрутизатор оборудован процессором Ralink RT3052F, работающим на частоте 384МГц, 32МБ оперативной памяти и USB 2.0 Host. Объём встроенной NAND Flash памяти составляет 8МБ. Операционная система - OpenWRT BackFire 10.03-rc4.</w:t>
      </w:r>
    </w:p>
    <w:p>
      <w:pPr>
        <w:pStyle w:val="style0"/>
        <w:ind w:firstLine="715" w:left="0" w:right="0"/>
      </w:pPr>
      <w:r>
        <w:rPr/>
        <w:t>Для работы операционной системы выбран USB Flash накопитель 8Gb Transcend JetFlash 330 – рисунок 7.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  <w:jc w:val="center"/>
      </w:pPr>
      <w:r>
        <w:rPr/>
        <w:t>Рисунок 7.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784860</wp:posOffset>
            </wp:positionH>
            <wp:positionV relativeFrom="paragraph">
              <wp:posOffset>0</wp:posOffset>
            </wp:positionV>
            <wp:extent cx="4762500" cy="29622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 xml:space="preserve"> </w:t>
      </w:r>
      <w:r>
        <w:rPr/>
        <w:t>Для одновременного подключения нескольких USB утройств предполагается использовать USB разветвитель GiNZZU GR-424UB – рисунок 8.</w:t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  <w:jc w:val="center"/>
      </w:pPr>
      <w:r>
        <w:rPr/>
        <w:t>Рисунок 8.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1022985</wp:posOffset>
            </wp:positionH>
            <wp:positionV relativeFrom="paragraph">
              <wp:posOffset>0</wp:posOffset>
            </wp:positionV>
            <wp:extent cx="4286250" cy="17430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</w:r>
    </w:p>
    <w:p>
      <w:pPr>
        <w:pStyle w:val="style0"/>
        <w:ind w:firstLine="715" w:left="0" w:right="0"/>
      </w:pPr>
      <w:r>
        <w:rPr/>
        <w:t>Данный разветвитель оборудован четырьмя клиентскими USB разъёмами типа USB-A. Разветвитель используется для подключения USB Flash накопителя (рисунок 7), блока управления клапанами, блока управления поворотным мотором и блока управления манипулятором.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rFonts w:ascii="Times New Roman" w:cs="Lohit Hindi" w:eastAsia="Droid Sans" w:hAnsi="Times New Roman"/>
      <w:b/>
      <w:bCs/>
      <w:sz w:val="48"/>
      <w:szCs w:val="4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4260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2012-08-30T08:08:37.00Z</dcterms:created>
  <dc:creator>Sergey Bashkirov</dc:creator>
  <cp:lastModifiedBy>Sergey Bashkirov</cp:lastModifiedBy>
  <dcterms:modified xsi:type="dcterms:W3CDTF">2012-09-02T12:40:41.00Z</dcterms:modified>
  <cp:revision>14</cp:revision>
</cp:coreProperties>
</file>