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after="160" w:before="0"/>
        <w:jc w:val="center"/>
      </w:pPr>
      <w:r>
        <w:rPr>
          <w:b/>
          <w:bCs/>
          <w:color w:val="6B46C1"/>
          <w:sz w:val="120"/>
          <w:szCs w:val="120"/>
        </w:rPr>
        <w:t xml:space="preserve">04</w:t>
      </w:r>
    </w:p>
    <w:p>
      <w:pPr>
        <w:spacing w:after="200" w:before="0"/>
        <w:jc w:val="center"/>
      </w:pPr>
      <w:r>
        <w:rPr>
          <w:b/>
          <w:bCs/>
          <w:color w:val="111827"/>
          <w:sz w:val="52"/>
          <w:szCs w:val="52"/>
        </w:rPr>
        <w:t xml:space="preserve">PROJECT VAULT INSTRUCTIONS</w:t>
      </w:r>
    </w:p>
    <w:p>
      <w:pPr>
        <w:spacing w:after="160" w:before="0"/>
        <w:jc w:val="center"/>
      </w:pPr>
      <w:r>
        <w:rPr>
          <w:color w:val="6B7280"/>
          <w:sz w:val="28"/>
          <w:szCs w:val="28"/>
        </w:rPr>
        <w:t xml:space="preserve">Expert Onboarding Guide</w:t>
      </w:r>
    </w:p>
    <w:p>
      <w:pPr>
        <w:jc w:val="center"/>
      </w:pPr>
      <w:r>
        <w:rPr>
          <w:i/>
          <w:iCs/>
          <w:color w:val="AAAAAA"/>
          <w:sz w:val="20"/>
          <w:szCs w:val="20"/>
        </w:rPr>
        <w:t xml:space="preserve">Mercor  ·  Pages 01–13</w:t>
      </w:r>
    </w:p>
    <w:p>
      <w:r>
        <w:br w:type="page"/>
      </w:r>
    </w:p>
    <w:p>
      <w:pPr>
        <w:spacing w:after="160" w:before="0"/>
      </w:pPr>
      <w:r>
        <w:rPr>
          <w:b/>
          <w:bCs/>
          <w:color w:val="6B46C1"/>
          <w:sz w:val="56"/>
          <w:szCs w:val="56"/>
        </w:rPr>
        <w:t xml:space="preserve">01</w:t>
      </w:r>
      <w:r>
        <w:rPr>
          <w:b w:val="false"/>
          <w:bCs w:val="false"/>
          <w:caps/>
          <w:color w:val="6B46C1"/>
          <w:sz w:val="22"/>
          <w:szCs w:val="22"/>
        </w:rPr>
        <w:t xml:space="preserve">  ·  ONBOARDING</w:t>
      </w:r>
    </w:p>
    <w:p>
      <w:pPr>
        <w:pStyle w:val="Heading1"/>
        <w:spacing w:after="200" w:before="0"/>
      </w:pPr>
      <w:r>
        <w:t xml:space="preserve">Get set up and onboarded.</w:t>
      </w:r>
    </w:p>
    <w:p>
      <w:pPr>
        <w:pBdr>
          <w:left w:val="single" w:color="3B82F6" w:sz="12"/>
        </w:pBdr>
        <w:shd w:fill="EFF6FF" w:val="clear"/>
        <w:spacing w:after="0" w:before="120"/>
        <w:ind w:left="200"/>
      </w:pPr>
      <w:r>
        <w:rPr>
          <w:b/>
          <w:bCs/>
          <w:color w:val="1D4ED8"/>
        </w:rPr>
        <w:t xml:space="preserve">ℹ This guide can change.</w:t>
      </w:r>
    </w:p>
    <w:p>
      <w:pPr>
        <w:pBdr>
          <w:left w:val="single" w:color="3B82F6" w:sz="12"/>
        </w:pBdr>
        <w:shd w:fill="EFF6FF" w:val="clear"/>
        <w:spacing w:after="120" w:before="0"/>
        <w:ind w:left="200"/>
      </w:pPr>
      <w:r>
        <w:rPr>
          <w:color w:val="1E40AF"/>
        </w:rPr>
        <w:t xml:space="preserve">Check #vault-batch-drops every day for new batches and their priority, and #vault-announcements for guideline updates.</w:t>
      </w:r>
    </w:p>
    <w:p>
      <w:pPr>
        <w:pBdr>
          <w:left w:val="single" w:color="F59E0B" w:sz="12"/>
        </w:pBdr>
        <w:shd w:fill="FFFBEB" w:val="clear"/>
        <w:spacing w:after="0" w:before="120"/>
        <w:ind w:left="200"/>
      </w:pPr>
      <w:r>
        <w:rPr>
          <w:b/>
          <w:bCs/>
          <w:color w:val="B45309"/>
        </w:rPr>
        <w:t xml:space="preserve">⚠ Log this reading on the Onboarding timer.</w:t>
      </w:r>
    </w:p>
    <w:p>
      <w:pPr>
        <w:pBdr>
          <w:left w:val="single" w:color="F59E0B" w:sz="12"/>
        </w:pBdr>
        <w:shd w:fill="FFFBEB" w:val="clear"/>
        <w:spacing w:after="120" w:before="0"/>
        <w:ind w:left="200"/>
      </w:pPr>
      <w:r>
        <w:rPr>
          <w:color w:val="92400E"/>
        </w:rPr>
        <w:t xml:space="preserve">Log the time you spend reading this guide so you get paid for it. Do it live, while you read, not afterward.</w:t>
      </w:r>
    </w:p>
    <w:p>
      <w:pPr>
        <w:spacing w:after="80" w:before="80"/>
      </w:pPr>
      <w:r>
        <w:t xml:space="preserve">You review presentation slides, documents, and spreadsheets for a top AI lab. Some are made by AI and some are made by people the client wants your assessment of. You review all of them the same way.</w:t>
      </w:r>
    </w:p>
    <w:p>
      <w:pPr>
        <w:pStyle w:val="Heading2"/>
        <w:spacing w:after="100" w:before="220"/>
      </w:pPr>
      <w:r>
        <w:t xml:space="preserve">Onboarding Checklist</w:t>
      </w:r>
    </w:p>
    <w:p>
      <w:pPr>
        <w:pStyle w:val="ListParagraph"/>
        <w:numPr>
          <w:ilvl w:val="0"/>
          <w:numId w:val="2"/>
        </w:numPr>
        <w:spacing w:after="60" w:before="60"/>
      </w:pPr>
      <w:r>
        <w:rPr>
          <w:b/>
          <w:bCs/>
        </w:rPr>
        <w:t xml:space="preserve">Insightful (time-tracking app), Okta (login), Slack, and Google Workspace all work</w:t>
      </w:r>
    </w:p>
    <w:p>
      <w:pPr>
        <w:spacing w:after="80" w:before="80"/>
        <w:ind w:left="360"/>
      </w:pPr>
      <w:r>
        <w:t xml:space="preserve">Setup is in the Pre-project setup module above. Everything should be active before you start project work.</w:t>
      </w:r>
    </w:p>
    <w:p>
      <w:pPr>
        <w:pStyle w:val="ListParagraph"/>
        <w:numPr>
          <w:ilvl w:val="0"/>
          <w:numId w:val="2"/>
        </w:numPr>
        <w:spacing w:after="60" w:before="60"/>
      </w:pPr>
      <w:r>
        <w:rPr>
          <w:b/>
          <w:bCs/>
        </w:rPr>
        <w:t xml:space="preserve">Read this whole guide</w:t>
      </w:r>
    </w:p>
    <w:p>
      <w:pPr>
        <w:spacing w:after="80" w:before="80"/>
        <w:ind w:left="360"/>
      </w:pPr>
      <w:r>
        <w:t xml:space="preserve">Log the time on the Onboarding timer. It saves you time later.</w:t>
      </w:r>
    </w:p>
    <w:p>
      <w:pPr>
        <w:pStyle w:val="ListParagraph"/>
        <w:numPr>
          <w:ilvl w:val="0"/>
          <w:numId w:val="2"/>
        </w:numPr>
        <w:spacing w:after="60" w:before="60"/>
      </w:pPr>
      <w:r>
        <w:rPr>
          <w:b/>
          <w:bCs/>
        </w:rPr>
        <w:t xml:space="preserve">Follow #vault-batch-drops, #vault-announcements, and #vault-helpdesk in Slack</w:t>
      </w:r>
    </w:p>
    <w:p>
      <w:pPr>
        <w:spacing w:after="80" w:before="80"/>
        <w:ind w:left="360"/>
      </w:pPr>
      <w:r>
        <w:t xml:space="preserve">New batches drop in #vault-batch-drops; guideline updates in #vault-announcements.</w:t>
      </w:r>
    </w:p>
    <w:p>
      <w:pPr>
        <w:pStyle w:val="Heading2"/>
        <w:spacing w:after="100" w:before="220"/>
      </w:pPr>
      <w:r>
        <w:t xml:space="preserve">If you are a new evaluator</w:t>
      </w:r>
    </w:p>
    <w:p>
      <w:pPr>
        <w:spacing w:after="100" w:before="0"/>
      </w:pPr>
      <w:r>
        <w:t xml:space="preserve">Where to start — do these in order before you claim any live task:</w:t>
      </w:r>
    </w:p>
    <w:p>
      <w:pPr>
        <w:spacing w:after="80" w:before="80"/>
      </w:pPr>
      <w:r>
        <w:t xml:space="preserve">01  Read this guide end to end.</w:t>
      </w:r>
    </w:p>
    <w:p>
      <w:pPr>
        <w:spacing w:after="80" w:before="80"/>
      </w:pPr>
      <w:r>
        <w:t xml:space="preserve">02  Attempt the Practice task. It is mandatory and done on-platform.</w:t>
      </w:r>
    </w:p>
    <w:p>
      <w:pPr>
        <w:spacing w:after="80" w:before="80"/>
      </w:pPr>
      <w:r>
        <w:t xml:space="preserve">03  Attempt the AI-Slop assessment. It is on Feather and required for every campaign.</w:t>
      </w:r>
    </w:p>
    <w:p>
      <w:pPr>
        <w:spacing w:after="80" w:before="80"/>
      </w:pPr>
      <w:r>
        <w:t xml:space="preserve">04  Attempt the two Docs assessments if you are on Docs — the holistic assessment and the style-and-formatting screener (Sheets evaluators take the Sheets proficiency quiz instead).</w:t>
      </w:r>
    </w:p>
    <w:p>
      <w:pPr>
        <w:spacing w:after="120" w:before="120"/>
      </w:pPr>
      <w:r>
        <w:t xml:space="preserve">The practice task replaces the old Feather practice batch, and there is no first-task sign-off to wait for. Once the practice task and your gating assessments are done, you are cleared to claim live batches, including P0, one at a time. See Quizzes &amp; assessments for all the links, and ask in #vault-helpdesk if you are not sure where to start.</w:t>
      </w:r>
    </w:p>
    <w:p>
      <w:r>
        <w:br w:type="page"/>
      </w:r>
    </w:p>
    <w:p>
      <w:pPr>
        <w:spacing w:after="160" w:before="0"/>
      </w:pPr>
      <w:r>
        <w:rPr>
          <w:b/>
          <w:bCs/>
          <w:color w:val="6B46C1"/>
          <w:sz w:val="56"/>
          <w:szCs w:val="56"/>
        </w:rPr>
        <w:t xml:space="preserve">02</w:t>
      </w:r>
      <w:r>
        <w:rPr>
          <w:b w:val="false"/>
          <w:bCs w:val="false"/>
          <w:caps/>
          <w:color w:val="6B46C1"/>
          <w:sz w:val="22"/>
          <w:szCs w:val="22"/>
        </w:rPr>
        <w:t xml:space="preserve">  ·  EXPECTATIONS</w:t>
      </w:r>
    </w:p>
    <w:p>
      <w:pPr>
        <w:pStyle w:val="Heading1"/>
        <w:spacing w:after="200" w:before="0"/>
      </w:pPr>
      <w:r>
        <w:t xml:space="preserve">Hours, turnaround, and how you're measured.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6B46C1" w:sz="4"/>
              <w:left w:val="single" w:color="6B46C1" w:sz="4"/>
              <w:bottom w:val="single" w:color="6B46C1" w:sz="4"/>
              <w:right w:val="single" w:color="6B46C1" w:sz="4"/>
            </w:tcBorders>
            <w:shd w:fill="F3F0FF" w:val="clear"/>
          </w:tcPr>
          <w:p>
            <w:pPr>
              <w:spacing w:after="0" w:before="120"/>
              <w:jc w:val="center"/>
            </w:pPr>
            <w:r>
              <w:rPr>
                <w:b/>
                <w:bCs/>
                <w:caps/>
                <w:color w:val="6B7280"/>
                <w:sz w:val="16"/>
                <w:szCs w:val="16"/>
              </w:rPr>
              <w:t xml:space="preserve">AVAILABILITY</w:t>
            </w:r>
          </w:p>
          <w:p>
            <w:pPr>
              <w:spacing w:after="0" w:before="0"/>
              <w:jc w:val="center"/>
            </w:pPr>
            <w:r>
              <w:rPr>
                <w:b/>
                <w:bCs/>
                <w:color w:val="6B46C1"/>
                <w:sz w:val="36"/>
                <w:szCs w:val="36"/>
              </w:rPr>
              <w:t xml:space="preserve">15 hrs/wk</w:t>
            </w:r>
          </w:p>
          <w:p>
            <w:pPr>
              <w:spacing w:after="120" w:before="0"/>
              <w:jc w:val="center"/>
            </w:pPr>
            <w:r>
              <w:rPr>
                <w:color w:val="6B7280"/>
                <w:sz w:val="16"/>
                <w:szCs w:val="16"/>
              </w:rPr>
              <w:t xml:space="preserve">Minimum while work is available</w:t>
            </w:r>
          </w:p>
        </w:tc>
        <w:tc>
          <w:tcPr>
            <w:tcW w:type="dxa" w:w="3000"/>
            <w:tcBorders>
              <w:top w:val="single" w:color="6B46C1" w:sz="4"/>
              <w:left w:val="single" w:color="6B46C1" w:sz="4"/>
              <w:bottom w:val="single" w:color="6B46C1" w:sz="4"/>
              <w:right w:val="single" w:color="6B46C1" w:sz="4"/>
            </w:tcBorders>
            <w:shd w:fill="F3F0FF" w:val="clear"/>
          </w:tcPr>
          <w:p>
            <w:pPr>
              <w:spacing w:after="0" w:before="120"/>
              <w:jc w:val="center"/>
            </w:pPr>
            <w:r>
              <w:rPr>
                <w:b/>
                <w:bCs/>
                <w:caps/>
                <w:color w:val="6B7280"/>
                <w:sz w:val="16"/>
                <w:szCs w:val="16"/>
              </w:rPr>
              <w:t xml:space="preserve">TURNAROUND</w:t>
            </w:r>
          </w:p>
          <w:p>
            <w:pPr>
              <w:spacing w:after="0" w:before="0"/>
              <w:jc w:val="center"/>
            </w:pPr>
            <w:r>
              <w:rPr>
                <w:b/>
                <w:bCs/>
                <w:color w:val="6B46C1"/>
                <w:sz w:val="36"/>
                <w:szCs w:val="36"/>
              </w:rPr>
              <w:t xml:space="preserve">6 hours</w:t>
            </w:r>
          </w:p>
          <w:p>
            <w:pPr>
              <w:spacing w:after="120" w:before="0"/>
              <w:jc w:val="center"/>
            </w:pPr>
            <w:r>
              <w:rPr>
                <w:color w:val="6B7280"/>
                <w:sz w:val="16"/>
                <w:szCs w:val="16"/>
              </w:rPr>
              <w:t xml:space="preserve">From claiming a task to submitting it</w:t>
            </w:r>
          </w:p>
        </w:tc>
        <w:tc>
          <w:tcPr>
            <w:tcW w:type="dxa" w:w="3000"/>
            <w:tcBorders>
              <w:top w:val="single" w:color="6B46C1" w:sz="4"/>
              <w:left w:val="single" w:color="6B46C1" w:sz="4"/>
              <w:bottom w:val="single" w:color="6B46C1" w:sz="4"/>
              <w:right w:val="single" w:color="6B46C1" w:sz="4"/>
            </w:tcBorders>
            <w:shd w:fill="F3F0FF" w:val="clear"/>
          </w:tcPr>
          <w:p>
            <w:pPr>
              <w:spacing w:after="0" w:before="120"/>
              <w:jc w:val="center"/>
            </w:pPr>
            <w:r>
              <w:rPr>
                <w:b/>
                <w:bCs/>
                <w:caps/>
                <w:color w:val="6B7280"/>
                <w:sz w:val="16"/>
                <w:szCs w:val="16"/>
              </w:rPr>
              <w:t xml:space="preserve">ADMIN TIME</w:t>
            </w:r>
          </w:p>
          <w:p>
            <w:pPr>
              <w:spacing w:after="0" w:before="0"/>
              <w:jc w:val="center"/>
            </w:pPr>
            <w:r>
              <w:rPr>
                <w:b/>
                <w:bCs/>
                <w:color w:val="6B46C1"/>
                <w:sz w:val="36"/>
                <w:szCs w:val="36"/>
              </w:rPr>
              <w:t xml:space="preserve">~3 hrs/wk</w:t>
            </w:r>
          </w:p>
          <w:p>
            <w:pPr>
              <w:spacing w:after="120" w:before="0"/>
              <w:jc w:val="center"/>
            </w:pPr>
            <w:r>
              <w:rPr>
                <w:color w:val="6B7280"/>
                <w:sz w:val="16"/>
                <w:szCs w:val="16"/>
              </w:rPr>
              <w:t xml:space="preserve">6 hrs week one; flexible with the week's priorities</w:t>
            </w:r>
          </w:p>
        </w:tc>
      </w:tr>
    </w:tbl>
    <w:p>
      <w:pPr>
        <w:spacing w:after="80" w:before="160"/>
      </w:pPr>
      <w:r>
        <w:rPr>
          <w:b/>
          <w:bCs/>
        </w:rPr>
        <w:t xml:space="preserve">AHT (average handling time) </w:t>
      </w:r>
      <w:r>
        <w:t xml:space="preserve">is your logged hours divided by tasks completed. Most tasks take 1 to 4 hours. Sheets tasks take about 2.5 to 5. Do not stretch work to fill the time, and do not rush quality.</w:t>
      </w:r>
    </w:p>
    <w:p>
      <w:pPr>
        <w:spacing w:after="80" w:before="80"/>
      </w:pPr>
      <w:r>
        <w:rPr>
          <w:b/>
          <w:bCs/>
        </w:rPr>
        <w:t xml:space="preserve">TAT (turnaround time) </w:t>
      </w:r>
      <w:r>
        <w:t xml:space="preserve">is the 6-hour clock from when you claim a task to when you submit it. It runs in real time, so pausing your timer does not pause it. If you make no real progress by about 2 hours, or you have not submitted by 6 hours, the task goes back to the queue for someone else.</w:t>
      </w:r>
    </w:p>
    <w:p>
      <w:pPr>
        <w:spacing w:after="80" w:before="80"/>
      </w:pPr>
      <w:r>
        <w:t xml:space="preserve">Each batch has a deadline to be finished (marked Completed or Signed Off). P0 (top priority) is due in 12 hours, P1 in 24, and P2 in 24 to 48, counted from when the batch drops. Work P0 first, then P1, then P2.</w:t>
      </w:r>
    </w:p>
    <w:p>
      <w:pPr>
        <w:spacing w:after="80" w:before="80"/>
      </w:pPr>
      <w:r>
        <w:t xml:space="preserve">You can claim a task even if a batch is close to or past its deadline, as long as you can finish it in one sitting. We need every task done, so the goal is to get the Unclaimed count to zero.</w:t>
      </w:r>
    </w:p>
    <w:p>
      <w:pPr>
        <w:spacing w:after="80" w:before="80"/>
      </w:pPr>
      <w:r>
        <w:t xml:space="preserve">Track your time honestly, only while you are actually working. Logging idle time is time fraud.</w:t>
      </w:r>
    </w:p>
    <w:p>
      <w:pPr>
        <w:pBdr>
          <w:left w:val="single" w:color="F59E0B" w:sz="12"/>
        </w:pBdr>
        <w:shd w:fill="FFFBEB" w:val="clear"/>
        <w:spacing w:after="0" w:before="120"/>
        <w:ind w:left="200"/>
      </w:pPr>
      <w:r>
        <w:rPr>
          <w:b/>
          <w:bCs/>
          <w:color w:val="B45309"/>
        </w:rPr>
        <w:t xml:space="preserve">⚠ What drives warnings and offboarding.</w:t>
      </w:r>
    </w:p>
    <w:p>
      <w:pPr>
        <w:pBdr>
          <w:left w:val="single" w:color="F59E0B" w:sz="12"/>
        </w:pBdr>
        <w:shd w:fill="FFFBEB" w:val="clear"/>
        <w:spacing w:after="120" w:before="0"/>
        <w:ind w:left="200"/>
      </w:pPr>
      <w:r>
        <w:rPr>
          <w:color w:val="92400E"/>
        </w:rPr>
        <w:t xml:space="preserve">Your score on each task you complete is what drives clearance, promotion, and offboarding. Treat every task as the one that counts. The same scores drive promotions, since reviewers are picked from the top performers.</w:t>
      </w:r>
    </w:p>
    <w:p>
      <w:r>
        <w:br w:type="page"/>
      </w:r>
    </w:p>
    <w:p>
      <w:pPr>
        <w:spacing w:after="160" w:before="0"/>
      </w:pPr>
      <w:r>
        <w:rPr>
          <w:b/>
          <w:bCs/>
          <w:color w:val="6B46C1"/>
          <w:sz w:val="56"/>
          <w:szCs w:val="56"/>
        </w:rPr>
        <w:t xml:space="preserve">03</w:t>
      </w:r>
      <w:r>
        <w:rPr>
          <w:b w:val="false"/>
          <w:bCs w:val="false"/>
          <w:caps/>
          <w:color w:val="6B46C1"/>
          <w:sz w:val="22"/>
          <w:szCs w:val="22"/>
        </w:rPr>
        <w:t xml:space="preserve">  ·  RULES &amp; SECURITY</w:t>
      </w:r>
    </w:p>
    <w:p>
      <w:pPr>
        <w:pStyle w:val="Heading1"/>
        <w:spacing w:after="200" w:before="0"/>
      </w:pPr>
      <w:r>
        <w:t xml:space="preserve">Confidentiality, prohibited tools, and travel.</w:t>
      </w:r>
    </w:p>
    <w:p>
      <w:pPr>
        <w:spacing w:after="80" w:before="80"/>
      </w:pPr>
      <w:r>
        <w:t xml:space="preserve">A few rules keep you and the project in good standing. Breaking any one of them can lead to offboarding or disputed hours.</w:t>
      </w:r>
    </w:p>
    <w:p>
      <w:pPr>
        <w:pStyle w:val="Heading2"/>
        <w:spacing w:after="100" w:before="220"/>
      </w:pPr>
      <w:r>
        <w:t xml:space="preserve">Confidentiality</w:t>
      </w:r>
    </w:p>
    <w:p>
      <w:pPr>
        <w:spacing w:after="80" w:before="80"/>
      </w:pPr>
      <w:r>
        <w:t xml:space="preserve">Everything on the project is confidential: documents, spreadsheets, slides, recordings, meeting links, emails, and Feather (the client's platform where you review tasks). Do not share client or project details with anyone, including other Mercor contractors.</w:t>
      </w:r>
    </w:p>
    <w:p>
      <w:pPr>
        <w:spacing w:after="80" w:before="80"/>
      </w:pPr>
      <w:r>
        <w:t xml:space="preserve">On LinkedIn or your résumé you can say you are an independent contractor for Mercor Intelligence, with general wording like "providing expertise in [your domain] to improve models for a top AI lab." Do not name the AI lab, and do not describe the questions, the answers, or how they are used.</w:t>
      </w:r>
    </w:p>
    <w:p>
      <w:pPr>
        <w:spacing w:after="80" w:before="80"/>
      </w:pPr>
      <w:r>
        <w:t xml:space="preserve">If a journalist or anyone outside the project asks about your work, do not respond. Report it to your project lead.</w:t>
      </w:r>
    </w:p>
    <w:p>
      <w:pPr>
        <w:pStyle w:val="Heading2"/>
        <w:spacing w:after="100" w:before="220"/>
      </w:pPr>
      <w:r>
        <w:t xml:space="preserve">Prohibited Tools</w:t>
      </w:r>
    </w:p>
    <w:p>
      <w:pPr>
        <w:pBdr>
          <w:left w:val="single" w:color="DC2626" w:sz="12"/>
        </w:pBdr>
        <w:shd w:fill="FEF2F2" w:val="clear"/>
        <w:spacing w:after="0" w:before="120"/>
        <w:ind w:left="200"/>
      </w:pPr>
      <w:r>
        <w:rPr>
          <w:b/>
          <w:bCs/>
          <w:color w:val="DC2626"/>
        </w:rPr>
        <w:t xml:space="preserve">✕ No AI tools, ever.</w:t>
      </w:r>
    </w:p>
    <w:p>
      <w:pPr>
        <w:pBdr>
          <w:left w:val="single" w:color="DC2626" w:sz="12"/>
        </w:pBdr>
        <w:shd w:fill="FEF2F2" w:val="clear"/>
        <w:spacing w:after="120" w:before="0"/>
        <w:ind w:left="200"/>
      </w:pPr>
      <w:r>
        <w:rPr>
          <w:color w:val="991B1B"/>
        </w:rPr>
        <w:t xml:space="preserve">Do not use any AI tool while working: ChatGPT, Copilot, Gemini, Claude, Grammarly, Cursor, Grok, Perplexity, AI notetakers, or any AI feature. This is zero tolerance, it cannot be appealed, and it is watched closely. Also off-limits: third-party browser extensions, GoFullPage, Loom, and the macOS Pages app. When you spell-check, turn any AI features off.</w:t>
      </w:r>
    </w:p>
    <w:p>
      <w:pPr>
        <w:pStyle w:val="Heading2"/>
        <w:spacing w:after="100" w:before="220"/>
      </w:pPr>
      <w:r>
        <w:t xml:space="preserve">What Gets People Removed</w:t>
      </w:r>
    </w:p>
    <w:p>
      <w:pPr>
        <w:pStyle w:val="ListParagraph"/>
        <w:numPr>
          <w:ilvl w:val="0"/>
          <w:numId w:val="2"/>
        </w:numPr>
        <w:spacing w:after="60" w:before="60"/>
      </w:pPr>
      <w:r>
        <w:t xml:space="preserve">Using AI, time fraud, claiming outside your domain, or a pattern of hoarding tasks.</w:t>
      </w:r>
    </w:p>
    <w:p>
      <w:pPr>
        <w:pStyle w:val="ListParagraph"/>
        <w:numPr>
          <w:ilvl w:val="0"/>
          <w:numId w:val="2"/>
        </w:numPr>
        <w:spacing w:after="60" w:before="60"/>
      </w:pPr>
      <w:r>
        <w:t xml:space="preserve">Very poor first passes, like major grammar or ranking errors.</w:t>
      </w:r>
    </w:p>
    <w:p>
      <w:pPr>
        <w:pStyle w:val="ListParagraph"/>
        <w:numPr>
          <w:ilvl w:val="0"/>
          <w:numId w:val="2"/>
        </w:numPr>
        <w:spacing w:after="60" w:before="60"/>
      </w:pPr>
      <w:r>
        <w:t xml:space="preserve">Ignoring the process again and again, or unprofessional conduct.</w:t>
      </w:r>
    </w:p>
    <w:p>
      <w:pPr>
        <w:pStyle w:val="ListParagraph"/>
        <w:numPr>
          <w:ilvl w:val="0"/>
          <w:numId w:val="2"/>
        </w:numPr>
        <w:spacing w:after="60" w:before="60"/>
      </w:pPr>
      <w:r>
        <w:t xml:space="preserve">Language or comprehension issues that stop you from working to standard.</w:t>
      </w:r>
    </w:p>
    <w:p>
      <w:pPr>
        <w:pStyle w:val="Heading2"/>
        <w:spacing w:after="100" w:before="220"/>
      </w:pPr>
      <w:r>
        <w:t xml:space="preserve">Travel Restrictions</w:t>
      </w:r>
    </w:p>
    <w:p>
      <w:pPr>
        <w:spacing w:after="80" w:before="80"/>
      </w:pPr>
      <w:r>
        <w:t xml:space="preserve">Never log into Feather from any of these places: Afghanistan, Belarus, Burkina Faso, Burma (Myanmar), CAR (Central African Republic), China (including Hong Kong and Macau), Cuba, Haiti, Iran, Iraq, Lebanon, Libya, Mali, North Korea, Russia, Somalia, South Sudan, Sudan, Syria, Ukraine (Crimea, Donetsk, Luhansk), Venezuela, and Yemen. If you travel to one of them, tell your project leads, and do not submit tasks while you are there.</w:t>
      </w:r>
    </w:p>
    <w:p>
      <w:r>
        <w:br w:type="page"/>
      </w:r>
    </w:p>
    <w:p>
      <w:pPr>
        <w:spacing w:after="160" w:before="0"/>
      </w:pPr>
      <w:r>
        <w:rPr>
          <w:b/>
          <w:bCs/>
          <w:color w:val="6B46C1"/>
          <w:sz w:val="56"/>
          <w:szCs w:val="56"/>
        </w:rPr>
        <w:t xml:space="preserve">04</w:t>
      </w:r>
      <w:r>
        <w:rPr>
          <w:b w:val="false"/>
          <w:bCs w:val="false"/>
          <w:caps/>
          <w:color w:val="6B46C1"/>
          <w:sz w:val="22"/>
          <w:szCs w:val="22"/>
        </w:rPr>
        <w:t xml:space="preserve">  ·  THE PLATFORM</w:t>
      </w:r>
    </w:p>
    <w:p>
      <w:pPr>
        <w:pStyle w:val="Heading1"/>
        <w:spacing w:after="200" w:before="0"/>
      </w:pPr>
      <w:r>
        <w:t xml:space="preserve">Find, claim, do, submit, and fix tasks in Feather.</w:t>
      </w:r>
    </w:p>
    <w:p>
      <w:pPr>
        <w:spacing w:after="80" w:before="80"/>
      </w:pPr>
      <w:r>
        <w:t xml:space="preserve">Feather is the client's platform where you find, claim, do, and submit tasks. A task opens in one of two versions of Feather: the original one (called non-Stagecraft) or the newer one (called Stagecraft). Most steps are the same. What differs is how you claim, how you submit, where rework shows up, and what you do with comments. In Stagecraft, set your view to Contributor.</w:t>
      </w:r>
    </w:p>
    <w:p>
      <w:pPr>
        <w:pStyle w:val="Heading2"/>
        <w:spacing w:after="100" w:before="220"/>
      </w:pPr>
      <w:r>
        <w:t xml:space="preserve">1. Find a task</w:t>
      </w:r>
    </w:p>
    <w:p>
      <w:pPr>
        <w:spacing w:after="80" w:before="80"/>
      </w:pPr>
      <w:r>
        <w:t xml:space="preserve">Log into Feather in Chrome with your @mercor.expert email, then click Campaigns at the top left, next to To do.</w:t>
      </w:r>
    </w:p>
    <w:p>
      <w:pPr>
        <w:spacing w:after="80" w:before="80"/>
      </w:pPr>
      <w:r>
        <w:t xml:space="preserve">Open your campaign (Slides, Docs, or Sheets Eval) and pick an active batch from the left sidebar. Check #vault-batch-drops for new batches and the priority order, and work P0 (top priority) first, then P1, then P2.</w:t>
      </w:r>
    </w:p>
    <w:p>
      <w:pPr>
        <w:spacing w:after="80" w:before="80"/>
      </w:pPr>
      <w:r>
        <w:t xml:space="preserve">Before you open a task, check its domain tag in the tag column on the right. Once you open the task, the tag is hidden.</w:t>
      </w:r>
    </w:p>
    <w:p>
      <w:pPr>
        <w:pStyle w:val="Heading2"/>
        <w:spacing w:after="100" w:before="220"/>
      </w:pPr>
      <w:r>
        <w:t xml:space="preserve">2. Claim it</w:t>
      </w:r>
    </w:p>
    <w:p>
      <w:pPr>
        <w:spacing w:after="80" w:before="80"/>
      </w:pPr>
      <w:r>
        <w:t xml:space="preserve">In non-Stagecraft, open the top-right dropdown and choose Claim task.</w:t>
      </w:r>
    </w:p>
    <w:p>
      <w:pPr>
        <w:spacing w:after="80" w:before="80"/>
      </w:pPr>
      <w:r>
        <w:t xml:space="preserve">In Stagecraft, click the green Claim button.</w:t>
      </w:r>
    </w:p>
    <w:p>
      <w:pPr>
        <w:spacing w:after="80" w:before="80"/>
      </w:pPr>
      <w:r>
        <w:t xml:space="preserve">Once you claim, your clock starts. Finish the task in one sitting. There is a 6-hour limit: after 6 hours the task auto-releases back to the queue. If that happens it most likely cannot be recovered — you lose all your work, and it counts against your AHT. So only claim a task you can finish right now.</w:t>
      </w:r>
    </w:p>
    <w:p>
      <w:pPr>
        <w:pStyle w:val="Heading2"/>
        <w:spacing w:after="100" w:before="220"/>
      </w:pPr>
      <w:r>
        <w:t xml:space="preserve">3. Do it and submit</w:t>
      </w:r>
    </w:p>
    <w:p>
      <w:pPr>
        <w:spacing w:after="80" w:before="80"/>
      </w:pPr>
      <w:r>
        <w:t xml:space="preserve">Read the in-task instructions, then the user request, then open every input file and the Full Summary Report (the page icon on the right, which gives you background details about the task). Open files in the Microsoft 365 desktop apps in Light Mode, not in Google apps. The exception is G-Suite (Google Workspace) batches, which you do in Google Workspace.</w:t>
      </w:r>
    </w:p>
    <w:p>
      <w:pPr>
        <w:spacing w:after="80" w:before="80"/>
      </w:pPr>
      <w:r>
        <w:t xml:space="preserve">Review each response, write your rationales, and rank them. Run your campaign's submission checklist before you submit.</w:t>
      </w:r>
    </w:p>
    <w:p>
      <w:pPr>
        <w:spacing w:after="80" w:before="80"/>
      </w:pPr>
      <w:r>
        <w:t xml:space="preserve">In non-Stagecraft, set the task to Completed. In Stagecraft, click the green Submit button at the top right.</w:t>
      </w:r>
    </w:p>
    <w:p>
      <w:pPr>
        <w:pStyle w:val="Heading2"/>
        <w:spacing w:after="100" w:before="220"/>
      </w:pPr>
      <w:r>
        <w:t xml:space="preserve">4. If it comes back for fixes</w:t>
      </w:r>
    </w:p>
    <w:p>
      <w:pPr>
        <w:spacing w:after="80" w:before="80"/>
      </w:pPr>
      <w:r>
        <w:t xml:space="preserve">Find it in your To Do list (non-Stagecraft) or the Incomplete tab, marked with an orange bell (Stagecraft). Reply to every comment, fix everything in one pass, and resubmit. Repeat until the task is Signed Off.</w:t>
      </w:r>
    </w:p>
    <w:p>
      <w:pPr>
        <w:spacing w:after="80" w:before="80"/>
      </w:pPr>
      <w:r>
        <w:t xml:space="preserve">Comments work the opposite way in each version. In non-Stagecraft, do not resolve the comments, so the reviewer can see what you changed. In Stagecraft, resolve them all before you submit.</w:t>
      </w:r>
    </w:p>
    <w:p>
      <w:r>
        <w:br w:type="page"/>
      </w:r>
    </w:p>
    <w:p>
      <w:pPr>
        <w:spacing w:after="160" w:before="0"/>
      </w:pPr>
      <w:r>
        <w:rPr>
          <w:b/>
          <w:bCs/>
          <w:color w:val="6B46C1"/>
          <w:sz w:val="56"/>
          <w:szCs w:val="56"/>
        </w:rPr>
        <w:t xml:space="preserve">05</w:t>
      </w:r>
      <w:r>
        <w:rPr>
          <w:b w:val="false"/>
          <w:bCs w:val="false"/>
          <w:caps/>
          <w:color w:val="6B46C1"/>
          <w:sz w:val="22"/>
          <w:szCs w:val="22"/>
        </w:rPr>
        <w:t xml:space="preserve">  ·  THE CLAIM CHECK</w:t>
      </w:r>
    </w:p>
    <w:p>
      <w:pPr>
        <w:pStyle w:val="Heading1"/>
        <w:spacing w:after="200" w:before="0"/>
      </w:pPr>
      <w:r>
        <w:t xml:space="preserve">Run this 30-second check every time you claim.</w:t>
      </w:r>
    </w:p>
    <w:p>
      <w:pPr>
        <w:pStyle w:val="Heading2"/>
        <w:spacing w:after="100" w:before="220"/>
      </w:pPr>
      <w:r>
        <w:t xml:space="preserve">1. You are cleared to start</w:t>
      </w:r>
    </w:p>
    <w:p>
      <w:pPr>
        <w:spacing w:after="80" w:before="80"/>
      </w:pPr>
      <w:r>
        <w:t xml:space="preserve">Your contract is accepted, you have read the materials, and Feather is active. Log in with your @mercor.expert email.</w:t>
      </w:r>
    </w:p>
    <w:p>
      <w:pPr>
        <w:pStyle w:val="Heading2"/>
        <w:spacing w:after="100" w:before="220"/>
      </w:pPr>
      <w:r>
        <w:t xml:space="preserve">2. It is the right batch</w:t>
      </w:r>
    </w:p>
    <w:p>
      <w:pPr>
        <w:spacing w:after="80" w:before="80"/>
      </w:pPr>
      <w:r>
        <w:t xml:space="preserve">Work P0 (top priority) first, then P1, then P2. If you are new, you can claim live batches once you have completed the on-platform practice task and your gating assessments. Once cleared, you can claim any live batch, including P0.</w:t>
      </w:r>
    </w:p>
    <w:p>
      <w:pPr>
        <w:pStyle w:val="Heading2"/>
        <w:spacing w:after="100" w:before="220"/>
      </w:pPr>
      <w:r>
        <w:t xml:space="preserve">3. The domain tag matches yours</w:t>
      </w:r>
    </w:p>
    <w:p>
      <w:pPr>
        <w:spacing w:after="80" w:before="80"/>
      </w:pPr>
      <w:r>
        <w:t xml:space="preserve">You can only see the tag in the campaign list, in the far-right column, so check it before you claim. Claim only tasks tagged to a domain you are approved for — being closely related to your field is not enough. Confirm with the Domain Lookup Tool, and submit the Domain Review form to add a domain.</w:t>
      </w:r>
    </w:p>
    <w:p>
      <w:pPr>
        <w:pStyle w:val="Heading2"/>
        <w:spacing w:after="100" w:before="220"/>
      </w:pPr>
      <w:r>
        <w:t xml:space="preserve">4. You are genuinely qualified</w:t>
      </w:r>
    </w:p>
    <w:p>
      <w:pPr>
        <w:spacing w:after="80" w:before="80"/>
      </w:pPr>
      <w:r>
        <w:t xml:space="preserve">You have the right experience for the audience, and you know the tools the task needs. This is not the time to learn a new app.</w:t>
      </w:r>
    </w:p>
    <w:p>
      <w:pPr>
        <w:pStyle w:val="Heading2"/>
        <w:spacing w:after="100" w:before="220"/>
      </w:pPr>
      <w:r>
        <w:t xml:space="preserve">5. You can finish in one sitting</w:t>
      </w:r>
    </w:p>
    <w:p>
      <w:pPr>
        <w:spacing w:after="80" w:before="80"/>
      </w:pPr>
      <w:r>
        <w:t xml:space="preserve">Every task runs on a 6-hour clock from claim to submission. Turn on your Slack notifications while you work a task, so the project team can reach you if they need to.</w:t>
      </w:r>
    </w:p>
    <w:p>
      <w:pPr>
        <w:pStyle w:val="Heading2"/>
        <w:spacing w:after="100" w:before="220"/>
      </w:pPr>
      <w:r>
        <w:t xml:space="preserve">6. You are within your task limit</w:t>
      </w:r>
    </w:p>
    <w:p>
      <w:pPr>
        <w:spacing w:after="80" w:before="80"/>
      </w:pPr>
      <w:r>
        <w:t xml:space="preserve">Take one task at a time. If you are new, complete the on-platform practice task and your gating assessments before claiming live batches.</w:t>
      </w:r>
    </w:p>
    <w:p>
      <w:pPr>
        <w:pStyle w:val="Heading2"/>
        <w:spacing w:after="100" w:before="220"/>
      </w:pPr>
      <w:r>
        <w:t xml:space="preserve">7. Then claim it</w:t>
      </w:r>
    </w:p>
    <w:p>
      <w:pPr>
        <w:spacing w:after="80" w:before="80"/>
      </w:pPr>
      <w:r>
        <w:t xml:space="preserve">If everything checks out, claim it. Changed your mind? Use Release, never Cancel. Cancel deletes the task for everyone.</w:t>
      </w:r>
    </w:p>
    <w:p>
      <w:pPr>
        <w:pBdr>
          <w:left w:val="single" w:color="DC2626" w:sz="12"/>
        </w:pBdr>
        <w:shd w:fill="FEF2F2" w:val="clear"/>
        <w:spacing w:after="0" w:before="120"/>
        <w:ind w:left="200"/>
      </w:pPr>
      <w:r>
        <w:rPr>
          <w:b/>
          <w:bCs/>
          <w:color w:val="DC2626"/>
        </w:rPr>
        <w:t xml:space="preserve">✕ Never Cancel a task. Use Release.</w:t>
      </w:r>
    </w:p>
    <w:p>
      <w:pPr>
        <w:pBdr>
          <w:left w:val="single" w:color="DC2626" w:sz="12"/>
        </w:pBdr>
        <w:shd w:fill="FEF2F2" w:val="clear"/>
        <w:spacing w:after="120" w:before="0"/>
        <w:ind w:left="200"/>
      </w:pPr>
      <w:r>
        <w:rPr>
          <w:color w:val="991B1B"/>
        </w:rPr>
        <w:t xml:space="preserve">If you claimed something you are not the right fit for, click Release Task to send it back to the queue. Never click Cancel. Cancel deletes the task for everyone, not just you.</w:t>
      </w:r>
    </w:p>
    <w:p>
      <w:r>
        <w:br w:type="page"/>
      </w:r>
    </w:p>
    <w:p>
      <w:pPr>
        <w:spacing w:after="160" w:before="0"/>
      </w:pPr>
      <w:r>
        <w:rPr>
          <w:b/>
          <w:bCs/>
          <w:color w:val="6B46C1"/>
          <w:sz w:val="56"/>
          <w:szCs w:val="56"/>
        </w:rPr>
        <w:t xml:space="preserve">06</w:t>
      </w:r>
      <w:r>
        <w:rPr>
          <w:b w:val="false"/>
          <w:bCs w:val="false"/>
          <w:caps/>
          <w:color w:val="6B46C1"/>
          <w:sz w:val="22"/>
          <w:szCs w:val="22"/>
        </w:rPr>
        <w:t xml:space="preserve">  ·  THE WORKFLOW</w:t>
      </w:r>
    </w:p>
    <w:p>
      <w:pPr>
        <w:pStyle w:val="Heading1"/>
        <w:spacing w:after="200" w:before="0"/>
      </w:pPr>
      <w:r>
        <w:t xml:space="preserve">How to work through a task.</w:t>
      </w:r>
    </w:p>
    <w:p>
      <w:pPr>
        <w:pBdr>
          <w:left w:val="single" w:color="3B82F6" w:sz="12"/>
        </w:pBdr>
        <w:shd w:fill="EFF6FF" w:val="clear"/>
        <w:spacing w:after="0" w:before="120"/>
        <w:ind w:left="200"/>
      </w:pPr>
      <w:r>
        <w:rPr>
          <w:b/>
          <w:bCs/>
          <w:color w:val="1D4ED8"/>
        </w:rPr>
        <w:t xml:space="preserve">ℹ 1. Read everything first</w:t>
      </w:r>
    </w:p>
    <w:p>
      <w:pPr>
        <w:pBdr>
          <w:left w:val="single" w:color="3B82F6" w:sz="12"/>
        </w:pBdr>
        <w:shd w:fill="EFF6FF" w:val="clear"/>
        <w:spacing w:after="120" w:before="0"/>
        <w:ind w:left="200"/>
      </w:pPr>
      <w:r>
        <w:rPr>
          <w:color w:val="1E40AF"/>
        </w:rPr>
        <w:t xml:space="preserve">Read the in-task instructions (they change from batch to batch), the user request, every input file, and the Full Summary Report (the page with background details about the task). The task's own instructions always win over this guide.</w:t>
      </w:r>
    </w:p>
    <w:p>
      <w:pPr>
        <w:pBdr>
          <w:left w:val="single" w:color="3B82F6" w:sz="12"/>
        </w:pBdr>
        <w:shd w:fill="EFF6FF" w:val="clear"/>
        <w:spacing w:after="0" w:before="120"/>
        <w:ind w:left="200"/>
      </w:pPr>
      <w:r>
        <w:rPr>
          <w:b/>
          <w:bCs/>
          <w:color w:val="1D4ED8"/>
        </w:rPr>
        <w:t xml:space="preserve">ℹ 2. Review each response on its own</w:t>
      </w:r>
    </w:p>
    <w:p>
      <w:pPr>
        <w:pBdr>
          <w:left w:val="single" w:color="3B82F6" w:sz="12"/>
        </w:pBdr>
        <w:shd w:fill="EFF6FF" w:val="clear"/>
        <w:spacing w:after="120" w:before="0"/>
        <w:ind w:left="200"/>
      </w:pPr>
      <w:r>
        <w:rPr>
          <w:color w:val="1E40AF"/>
        </w:rPr>
        <w:t xml:space="preserve">A task has 2 to 8 versions of the same file. Score each one on its own merits, and do not let a strong or weak one pull the others up or down. Judge each for the audience it is meant for.</w:t>
      </w:r>
    </w:p>
    <w:p>
      <w:pPr>
        <w:pBdr>
          <w:left w:val="single" w:color="3B82F6" w:sz="12"/>
        </w:pBdr>
        <w:shd w:fill="EFF6FF" w:val="clear"/>
        <w:spacing w:after="0" w:before="120"/>
        <w:ind w:left="200"/>
      </w:pPr>
      <w:r>
        <w:rPr>
          <w:b/>
          <w:bCs/>
          <w:color w:val="1D4ED8"/>
        </w:rPr>
        <w:t xml:space="preserve">ℹ 3. Write tight rationales</w:t>
      </w:r>
    </w:p>
    <w:p>
      <w:pPr>
        <w:pBdr>
          <w:left w:val="single" w:color="3B82F6" w:sz="12"/>
        </w:pBdr>
        <w:shd w:fill="EFF6FF" w:val="clear"/>
        <w:spacing w:after="120" w:before="0"/>
        <w:ind w:left="200"/>
      </w:pPr>
      <w:r>
        <w:rPr>
          <w:color w:val="1E40AF"/>
        </w:rPr>
        <w:t xml:space="preserve">Write the rationale in short bullets, each with a concrete example and why it matters. Keep each point on the right dimension. A cluttered layout is an aesthetics or layout note, not a content note.</w:t>
      </w:r>
    </w:p>
    <w:p>
      <w:pPr>
        <w:pBdr>
          <w:left w:val="single" w:color="3B82F6" w:sz="12"/>
        </w:pBdr>
        <w:shd w:fill="EFF6FF" w:val="clear"/>
        <w:spacing w:after="0" w:before="120"/>
        <w:ind w:left="200"/>
      </w:pPr>
      <w:r>
        <w:rPr>
          <w:b/>
          <w:bCs/>
          <w:color w:val="1D4ED8"/>
        </w:rPr>
        <w:t xml:space="preserve">ℹ 4. Rank them and double-check</w:t>
      </w:r>
    </w:p>
    <w:p>
      <w:pPr>
        <w:pBdr>
          <w:left w:val="single" w:color="3B82F6" w:sz="12"/>
        </w:pBdr>
        <w:shd w:fill="EFF6FF" w:val="clear"/>
        <w:spacing w:after="120" w:before="0"/>
        <w:ind w:left="200"/>
      </w:pPr>
      <w:r>
        <w:rPr>
          <w:color w:val="1E40AF"/>
        </w:rPr>
        <w:t xml:space="preserve">Pick the best one and rank all of them. One rank per response, and the ranking has to match your scores.</w:t>
      </w:r>
    </w:p>
    <w:p>
      <w:pPr>
        <w:pBdr>
          <w:left w:val="single" w:color="3B82F6" w:sz="12"/>
        </w:pBdr>
        <w:shd w:fill="EFF6FF" w:val="clear"/>
        <w:spacing w:after="0" w:before="120"/>
        <w:ind w:left="200"/>
      </w:pPr>
      <w:r>
        <w:rPr>
          <w:b/>
          <w:bCs/>
          <w:color w:val="1D4ED8"/>
        </w:rPr>
        <w:t xml:space="preserve">ℹ 5. Submit, then handle review</w:t>
      </w:r>
    </w:p>
    <w:p>
      <w:pPr>
        <w:pBdr>
          <w:left w:val="single" w:color="3B82F6" w:sz="12"/>
        </w:pBdr>
        <w:shd w:fill="EFF6FF" w:val="clear"/>
        <w:spacing w:after="120" w:before="0"/>
        <w:ind w:left="200"/>
      </w:pPr>
      <w:r>
        <w:rPr>
          <w:color w:val="1E40AF"/>
        </w:rPr>
        <w:t xml:space="preserve">Spell-check, run the campaign checklist, and submit. If it comes back for fixes, reply to every comment, fix everything in one pass, and resubmit until it is signed off.</w:t>
      </w:r>
    </w:p>
    <w:p>
      <w:r>
        <w:br w:type="page"/>
      </w:r>
    </w:p>
    <w:p>
      <w:pPr>
        <w:spacing w:after="160" w:before="0"/>
      </w:pPr>
      <w:r>
        <w:rPr>
          <w:b/>
          <w:bCs/>
          <w:color w:val="6B46C1"/>
          <w:sz w:val="56"/>
          <w:szCs w:val="56"/>
        </w:rPr>
        <w:t xml:space="preserve">07</w:t>
      </w:r>
      <w:r>
        <w:rPr>
          <w:b w:val="false"/>
          <w:bCs w:val="false"/>
          <w:caps/>
          <w:color w:val="6B46C1"/>
          <w:sz w:val="22"/>
          <w:szCs w:val="22"/>
        </w:rPr>
        <w:t xml:space="preserve">  ·  SLIDES, DOCS, SHEETS</w:t>
      </w:r>
    </w:p>
    <w:p>
      <w:pPr>
        <w:pStyle w:val="Heading1"/>
        <w:spacing w:after="200" w:before="0"/>
      </w:pPr>
      <w:r>
        <w:t xml:space="preserve">What changes from one campaign to the next.</w:t>
      </w:r>
    </w:p>
    <w:p>
      <w:pPr>
        <w:spacing w:after="80" w:before="80"/>
      </w:pPr>
      <w:r>
        <w:t xml:space="preserve">The scale, the dimensions, and the checklist change by campaign.</w:t>
      </w:r>
    </w:p>
    <w:p>
      <w:pPr>
        <w:pStyle w:val="Heading2"/>
        <w:spacing w:after="100" w:before="220"/>
      </w:pPr>
      <w:r>
        <w:t xml:space="preserve">📽️  Slides Campaign</w:t>
      </w:r>
    </w:p>
    <w:p>
      <w:pPr>
        <w:spacing w:after="80" w:before="80"/>
      </w:pPr>
      <w:r>
        <w:t xml:space="preserve">Slides use a 1 to 5 or 1 to 7 scale, depending on the task. The axes are Content Quality, Storytelling, Aesthetics, Layout, and Editability. You review these in PowerPoint or the Feather view.</w:t>
      </w:r>
    </w:p>
    <w:p>
      <w:pPr>
        <w:spacing w:after="80" w:before="80"/>
      </w:pPr>
      <w:r>
        <w:t xml:space="preserve">There are two formats. Downloadable decks open in PowerPoint. If a file will not open, follow the corrupted-file steps before you escalate. Embedded decks show side by side in Feather. Do not download them, and review only what you can see.</w:t>
      </w:r>
    </w:p>
    <w:p>
      <w:pPr>
        <w:spacing w:after="80" w:before="80"/>
      </w:pPr>
      <w:r>
        <w:t xml:space="preserve">For template tasks, score how well the response followed the template, not how the template itself looks. Decorative charts can be simplified, but they must not have nonsense text in them.</w:t>
      </w:r>
    </w:p>
    <w:p>
      <w:pPr>
        <w:spacing w:after="80" w:before="80"/>
      </w:pPr>
      <w:r>
        <w:t xml:space="preserve">Photorealistic image accuracy comes up only when the task asks for it. For each photo-style image, answer yes or no: Does it fit the deck's theme, look real, keep any text sensible, and suit a professional deck? If you answer no, say briefly what is wrong.</w:t>
      </w:r>
    </w:p>
    <w:p>
      <w:pPr>
        <w:pStyle w:val="Heading3"/>
        <w:spacing w:after="80" w:before="180"/>
      </w:pPr>
      <w:r>
        <w:t xml:space="preserve">Specialty Domains (Consulting, Finance, Software Engineering, Data Science)</w:t>
      </w:r>
    </w:p>
    <w:p>
      <w:pPr>
        <w:spacing w:after="80" w:before="80"/>
      </w:pPr>
      <w:r>
        <w:t xml:space="preserve">Each specialty domain uses the same axes and scale, but expert judgment is more central. These tasks are reviewed by people with direct professional experience in the domain — slide formats, norms, and presentation conventions vary across fields.</w:t>
      </w:r>
    </w:p>
    <w:p>
      <w:pPr>
        <w:spacing w:after="80" w:before="80"/>
      </w:pPr>
      <w:r>
        <w:t xml:space="preserve">The guide provides visual examples for each domain showing a strong (professional-grade) presentation and a weak (AI-slop) presentation for direct comparison. Examples are available on the live guide at vault-guide.vercel.app for: Software Engineering, Finance, Consulting, and Data Science.</w:t>
      </w:r>
    </w:p>
    <w:p>
      <w:pPr>
        <w:pStyle w:val="Heading2"/>
        <w:spacing w:after="100" w:before="220"/>
      </w:pPr>
      <w:r>
        <w:t xml:space="preserve">📄  Docs Campaign</w:t>
      </w:r>
    </w:p>
    <w:p>
      <w:pPr>
        <w:spacing w:after="80" w:before="80"/>
      </w:pPr>
      <w:r>
        <w:t xml:space="preserve">Docs are scored on a 0 to 5 scale. The axes are Content, Visual aesthetics, and Editability, each with its own sub-axes. You review these in Word.</w:t>
      </w:r>
    </w:p>
    <w:p>
      <w:pPr>
        <w:spacing w:after="80" w:before="80"/>
      </w:pPr>
      <w:r>
        <w:t xml:space="preserve">Each axis gets an overall score and a rationale, then a 1 to 5 score for each sub-axis. The Content sub-axes are: instruction following, writing substance, writing style, document structure, and citations. The Visual sub-axes are: color, fonts, readability, tables, charts, and images. Use N/A only when an element genuinely is not expected — never to avoid rating a weak one. Read the whole document before you score.</w:t>
      </w:r>
    </w:p>
    <w:p>
      <w:pPr>
        <w:pStyle w:val="Heading3"/>
        <w:spacing w:after="80" w:before="180"/>
      </w:pPr>
      <w:r>
        <w:t xml:space="preserve">The Docs Scale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374151" w:val="clear"/>
          </w:tcPr>
          <w:p>
            <w:r>
              <w:rPr>
                <w:b/>
                <w:bCs/>
                <w:color w:val="FFFFFF"/>
              </w:rPr>
              <w:t xml:space="preserve">Score</w:t>
            </w:r>
          </w:p>
        </w:tc>
        <w:tc>
          <w:tcPr>
            <w:tcW w:type="dxa" w:w="8100"/>
            <w:shd w:fill="374151" w:val="clear"/>
          </w:tcPr>
          <w:p>
            <w:r>
              <w:rPr>
                <w:b/>
                <w:bCs/>
                <w:color w:val="FFFFFF"/>
              </w:rPr>
              <w:t xml:space="preserve">Label &amp; Meaning</w:t>
            </w:r>
          </w:p>
        </w:tc>
      </w:tr>
      <w:tr>
        <w:tc>
          <w:tcPr>
            <w:tcW w:type="dxa" w:w="900"/>
            <w:shd w:fill="F3F4F6" w:val="clear"/>
          </w:tcPr>
          <w:p>
            <w:r>
              <w:rPr>
                <w:b/>
                <w:bCs/>
              </w:rPr>
              <w:t xml:space="preserve">0</w:t>
            </w:r>
          </w:p>
        </w:tc>
        <w:tc>
          <w:tcPr>
            <w:tcW w:type="dxa" w:w="8100"/>
            <w:shd w:fill="F3F4F6" w:val="clear"/>
          </w:tcPr>
          <w:p>
            <w:r>
              <w:t xml:space="preserve">Complete miss — does not address the prompt at all.</w:t>
            </w:r>
          </w:p>
        </w:tc>
      </w:tr>
      <w:tr>
        <w:tc>
          <w:tcPr>
            <w:tcW w:type="dxa" w:w="900"/>
            <w:shd w:fill="FFFFFF" w:val="clear"/>
          </w:tcPr>
          <w:p>
            <w:r>
              <w:rPr>
                <w:b/>
                <w:bCs/>
              </w:rPr>
              <w:t xml:space="preserve">1</w:t>
            </w:r>
          </w:p>
        </w:tc>
        <w:tc>
          <w:tcPr>
            <w:tcW w:type="dxa" w:w="8100"/>
            <w:shd w:fill="FFFFFF" w:val="clear"/>
          </w:tcPr>
          <w:p>
            <w:r>
              <w:t xml:space="preserve">Below expectations — major gaps or significant errors throughout.</w:t>
            </w:r>
          </w:p>
        </w:tc>
      </w:tr>
      <w:tr>
        <w:tc>
          <w:tcPr>
            <w:tcW w:type="dxa" w:w="900"/>
            <w:shd w:fill="F3F4F6" w:val="clear"/>
          </w:tcPr>
          <w:p>
            <w:r>
              <w:rPr>
                <w:b/>
                <w:bCs/>
              </w:rPr>
              <w:t xml:space="preserve">2</w:t>
            </w:r>
          </w:p>
        </w:tc>
        <w:tc>
          <w:tcPr>
            <w:tcW w:type="dxa" w:w="8100"/>
            <w:shd w:fill="F3F4F6" w:val="clear"/>
          </w:tcPr>
          <w:p>
            <w:r>
              <w:t xml:space="preserve">Approaching expectations — some relevant content, but falls short in key areas.</w:t>
            </w:r>
          </w:p>
        </w:tc>
      </w:tr>
      <w:tr>
        <w:tc>
          <w:tcPr>
            <w:tcW w:type="dxa" w:w="900"/>
            <w:shd w:fill="FFFFFF" w:val="clear"/>
          </w:tcPr>
          <w:p>
            <w:r>
              <w:rPr>
                <w:b/>
                <w:bCs/>
              </w:rPr>
              <w:t xml:space="preserve">3</w:t>
            </w:r>
          </w:p>
        </w:tc>
        <w:tc>
          <w:tcPr>
            <w:tcW w:type="dxa" w:w="8100"/>
            <w:shd w:fill="FFFFFF" w:val="clear"/>
          </w:tcPr>
          <w:p>
            <w:r>
              <w:t xml:space="preserve">Meets expectations — solid work with only minor issues.</w:t>
            </w:r>
          </w:p>
        </w:tc>
      </w:tr>
      <w:tr>
        <w:tc>
          <w:tcPr>
            <w:tcW w:type="dxa" w:w="900"/>
            <w:shd w:fill="F3F4F6" w:val="clear"/>
          </w:tcPr>
          <w:p>
            <w:r>
              <w:rPr>
                <w:b/>
                <w:bCs/>
              </w:rPr>
              <w:t xml:space="preserve">4</w:t>
            </w:r>
          </w:p>
        </w:tc>
        <w:tc>
          <w:tcPr>
            <w:tcW w:type="dxa" w:w="8100"/>
            <w:shd w:fill="F3F4F6" w:val="clear"/>
          </w:tcPr>
          <w:p>
            <w:r>
              <w:t xml:space="preserve">Exceeds expectations — polished and thorough, with very few flaws.</w:t>
            </w:r>
          </w:p>
        </w:tc>
      </w:tr>
      <w:tr>
        <w:tc>
          <w:tcPr>
            <w:tcW w:type="dxa" w:w="900"/>
            <w:shd w:fill="FFFFFF" w:val="clear"/>
          </w:tcPr>
          <w:p>
            <w:r>
              <w:rPr>
                <w:b/>
                <w:bCs/>
              </w:rPr>
              <w:t xml:space="preserve">5</w:t>
            </w:r>
          </w:p>
        </w:tc>
        <w:tc>
          <w:tcPr>
            <w:tcW w:type="dxa" w:w="8100"/>
            <w:shd w:fill="FFFFFF" w:val="clear"/>
          </w:tcPr>
          <w:p>
            <w:r>
              <w:t xml:space="preserve">Exemplary — outstanding work that sets the standard.</w:t>
            </w:r>
          </w:p>
        </w:tc>
      </w:tr>
    </w:tbl>
    <w:p>
      <w:pPr>
        <w:pStyle w:val="Heading2"/>
        <w:spacing w:after="100" w:before="220"/>
      </w:pPr>
      <w:r>
        <w:t xml:space="preserve">📈  Sheets Campaign</w:t>
      </w:r>
    </w:p>
    <w:p>
      <w:pPr>
        <w:spacing w:after="80" w:before="80"/>
      </w:pPr>
      <w:r>
        <w:t xml:space="preserve">Sheets use a 1 to 7 scale. The axes are Correctness, Layout, Formula usage, and Style. You review these in Excel.</w:t>
      </w:r>
    </w:p>
    <w:p>
      <w:pPr>
        <w:spacing w:after="80" w:before="80"/>
      </w:pPr>
      <w:r>
        <w:t xml:space="preserve">This is the most time-consuming campaign, about 2.5 to 5 hours per task. Open every file in Excel and test the key formulas.</w:t>
      </w:r>
    </w:p>
    <w:p>
      <w:pPr>
        <w:pStyle w:val="ListParagraph"/>
        <w:numPr>
          <w:ilvl w:val="0"/>
          <w:numId w:val="2"/>
        </w:numPr>
        <w:spacing w:after="60" w:before="60"/>
      </w:pPr>
      <w:r>
        <w:rPr>
          <w:b/>
          <w:bCs/>
        </w:rPr>
        <w:t xml:space="preserve">Correctness: </w:t>
      </w:r>
      <w:r>
        <w:t xml:space="preserve">the values, formulas, and logic are right, with nothing important left out.</w:t>
      </w:r>
    </w:p>
    <w:p>
      <w:pPr>
        <w:pStyle w:val="ListParagraph"/>
        <w:numPr>
          <w:ilvl w:val="0"/>
          <w:numId w:val="2"/>
        </w:numPr>
        <w:spacing w:after="60" w:before="60"/>
      </w:pPr>
      <w:r>
        <w:rPr>
          <w:b/>
          <w:bCs/>
        </w:rPr>
        <w:t xml:space="preserve">Layout: </w:t>
      </w:r>
      <w:r>
        <w:t xml:space="preserve">the inputs, calculations, and outputs are separated, the sheet order makes sense, and it is easy to move around.</w:t>
      </w:r>
    </w:p>
    <w:p>
      <w:pPr>
        <w:pStyle w:val="ListParagraph"/>
        <w:numPr>
          <w:ilvl w:val="0"/>
          <w:numId w:val="2"/>
        </w:numPr>
        <w:spacing w:after="60" w:before="60"/>
      </w:pPr>
      <w:r>
        <w:rPr>
          <w:b/>
          <w:bCs/>
        </w:rPr>
        <w:t xml:space="preserve">Formula usage: </w:t>
      </w:r>
      <w:r>
        <w:t xml:space="preserve">there are real formulas where they belong (no hardcoded values), correct references, and nothing broken or circular.</w:t>
      </w:r>
    </w:p>
    <w:p>
      <w:pPr>
        <w:pStyle w:val="ListParagraph"/>
        <w:numPr>
          <w:ilvl w:val="0"/>
          <w:numId w:val="2"/>
        </w:numPr>
        <w:spacing w:after="60" w:before="60"/>
      </w:pPr>
      <w:r>
        <w:rPr>
          <w:b/>
          <w:bCs/>
        </w:rPr>
        <w:t xml:space="preserve">Style: </w:t>
      </w:r>
      <w:r>
        <w:t xml:space="preserve">the number, date, and currency formats are right, fonts and borders are consistent, charts are labeled, and it looks clean.</w:t>
      </w:r>
    </w:p>
    <w:p>
      <w:pPr>
        <w:pStyle w:val="Heading2"/>
        <w:spacing w:after="100" w:before="220"/>
      </w:pPr>
      <w:r>
        <w:t xml:space="preserve">🌐  G-Suite Campaign</w:t>
      </w:r>
    </w:p>
    <w:p>
      <w:pPr>
        <w:spacing w:after="80" w:before="80"/>
      </w:pPr>
      <w:r>
        <w:t xml:space="preserve">G-Suite (Google Workspace) batches use the same scale and axes as the parent campaign. You review these in Google Workspace, done in place.</w:t>
      </w:r>
    </w:p>
    <w:p>
      <w:pPr>
        <w:spacing w:after="80" w:before="80"/>
      </w:pPr>
      <w:r>
        <w:t xml:space="preserve">Do not download them. Review them in Google Workspace, where they are meant to be used. The one exception is checking editability — for that, use File → Make a copy into your own Drive (never the client's folder), and use the copy only for that check.</w:t>
      </w:r>
    </w:p>
    <w:p>
      <w:r>
        <w:br w:type="page"/>
      </w:r>
    </w:p>
    <w:p>
      <w:pPr>
        <w:spacing w:after="160" w:before="0"/>
      </w:pPr>
      <w:r>
        <w:rPr>
          <w:b/>
          <w:bCs/>
          <w:color w:val="6B46C1"/>
          <w:sz w:val="56"/>
          <w:szCs w:val="56"/>
        </w:rPr>
        <w:t xml:space="preserve">08</w:t>
      </w:r>
      <w:r>
        <w:rPr>
          <w:b w:val="false"/>
          <w:bCs w:val="false"/>
          <w:caps/>
          <w:color w:val="6B46C1"/>
          <w:sz w:val="22"/>
          <w:szCs w:val="22"/>
        </w:rPr>
        <w:t xml:space="preserve">  ·  SCORING</w:t>
      </w:r>
    </w:p>
    <w:p>
      <w:pPr>
        <w:pStyle w:val="Heading1"/>
        <w:spacing w:after="200" w:before="0"/>
      </w:pPr>
      <w:r>
        <w:t xml:space="preserve">How to score and rank.</w:t>
      </w:r>
    </w:p>
    <w:p>
      <w:pPr>
        <w:pBdr>
          <w:left w:val="single" w:color="3B82F6" w:sz="12"/>
        </w:pBdr>
        <w:shd w:fill="EFF6FF" w:val="clear"/>
        <w:spacing w:after="0" w:before="120"/>
        <w:ind w:left="200"/>
      </w:pPr>
      <w:r>
        <w:rPr>
          <w:b/>
          <w:bCs/>
          <w:color w:val="1D4ED8"/>
        </w:rPr>
        <w:t xml:space="preserve">ℹ Start with one question.</w:t>
      </w:r>
    </w:p>
    <w:p>
      <w:pPr>
        <w:pBdr>
          <w:left w:val="single" w:color="3B82F6" w:sz="12"/>
        </w:pBdr>
        <w:shd w:fill="EFF6FF" w:val="clear"/>
        <w:spacing w:after="120" w:before="0"/>
        <w:ind w:left="200"/>
      </w:pPr>
      <w:r>
        <w:rPr>
          <w:color w:val="1E40AF"/>
        </w:rPr>
        <w:t xml:space="preserve">Before the axes, ask yourself: Would a professional in this field accept this artifact and use it as is? That is the bar that matters most. It sets the score, it breaks ties, and it can outweigh the individual axis scores. Reward work that is specific, clear, and genuinely useful. Mark down work that is generic, padded, or filler that no expert would actually produce, even if it technically covers more.</w:t>
      </w:r>
    </w:p>
    <w:p>
      <w:pPr>
        <w:pBdr>
          <w:left w:val="single" w:color="F59E0B" w:sz="12"/>
        </w:pBdr>
        <w:shd w:fill="FFFBEB" w:val="clear"/>
        <w:spacing w:after="0" w:before="120"/>
        <w:ind w:left="200"/>
      </w:pPr>
      <w:r>
        <w:rPr>
          <w:b/>
          <w:bCs/>
          <w:color w:val="B45309"/>
        </w:rPr>
        <w:t xml:space="preserve">⚠ The rubric is a guide, not an exact formula.</w:t>
      </w:r>
    </w:p>
    <w:p>
      <w:pPr>
        <w:pBdr>
          <w:left w:val="single" w:color="F59E0B" w:sz="12"/>
        </w:pBdr>
        <w:shd w:fill="FFFBEB" w:val="clear"/>
        <w:spacing w:after="120" w:before="0"/>
        <w:ind w:left="200"/>
      </w:pPr>
      <w:r>
        <w:rPr>
          <w:color w:val="92400E"/>
        </w:rPr>
        <w:t xml:space="preserve">Use the counts to land in the right range, then judge how serious each issue really is. A single slip is not the same as the problem all over the artifact. One formula error, for instance, is usually minor, while the same error throughout can make a sheet unusable. You decide how much each issue matters.</w:t>
      </w:r>
    </w:p>
    <w:p>
      <w:pPr>
        <w:pStyle w:val="Heading2"/>
        <w:spacing w:after="100" w:before="220"/>
      </w:pPr>
      <w:r>
        <w:t xml:space="preserve">The 1 to 7 Scale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rPr>
          <w:tblHeader/>
        </w:trPr>
        <w:tc>
          <w:tcPr>
            <w:tcW w:type="dxa" w:w="800"/>
            <w:shd w:fill="374151" w:val="clear"/>
          </w:tcPr>
          <w:p>
            <w:r>
              <w:rPr>
                <w:b/>
                <w:bCs/>
                <w:color w:val="FFFFFF"/>
              </w:rPr>
              <w:t xml:space="preserve">Score</w:t>
            </w:r>
          </w:p>
        </w:tc>
        <w:tc>
          <w:tcPr>
            <w:tcW w:type="dxa" w:w="8200"/>
            <w:shd w:fill="374151" w:val="clear"/>
          </w:tcPr>
          <w:p>
            <w:r>
              <w:rPr>
                <w:b/>
                <w:bCs/>
                <w:color w:val="FFFFFF"/>
              </w:rPr>
              <w:t xml:space="preserve">Meaning</w:t>
            </w:r>
          </w:p>
        </w:tc>
      </w:tr>
      <w:tr>
        <w:tc>
          <w:tcPr>
            <w:tcW w:type="dxa" w:w="800"/>
            <w:shd w:fill="F3F4F6" w:val="clear"/>
          </w:tcPr>
          <w:p>
            <w:r>
              <w:rPr>
                <w:b/>
                <w:bCs/>
              </w:rPr>
              <w:t xml:space="preserve">1</w:t>
            </w:r>
          </w:p>
        </w:tc>
        <w:tc>
          <w:tcPr>
            <w:tcW w:type="dxa" w:w="8200"/>
            <w:shd w:fill="F3F4F6" w:val="clear"/>
          </w:tcPr>
          <w:p>
            <w:r>
              <w:t xml:space="preserve">Broken or unusable. No professional would send it.</w:t>
            </w:r>
          </w:p>
        </w:tc>
      </w:tr>
      <w:tr>
        <w:tc>
          <w:tcPr>
            <w:tcW w:type="dxa" w:w="800"/>
            <w:shd w:fill="FFFFFF" w:val="clear"/>
          </w:tcPr>
          <w:p>
            <w:r>
              <w:rPr>
                <w:b/>
                <w:bCs/>
              </w:rPr>
              <w:t xml:space="preserve">2</w:t>
            </w:r>
          </w:p>
        </w:tc>
        <w:tc>
          <w:tcPr>
            <w:tcW w:type="dxa" w:w="8200"/>
            <w:shd w:fill="FFFFFF" w:val="clear"/>
          </w:tcPr>
          <w:p>
            <w:r>
              <w:t xml:space="preserve">Well below professional standard. Three or more major issues, and heavy rework needed.</w:t>
            </w:r>
          </w:p>
        </w:tc>
      </w:tr>
      <w:tr>
        <w:tc>
          <w:tcPr>
            <w:tcW w:type="dxa" w:w="800"/>
            <w:shd w:fill="F3F4F6" w:val="clear"/>
          </w:tcPr>
          <w:p>
            <w:r>
              <w:rPr>
                <w:b/>
                <w:bCs/>
              </w:rPr>
              <w:t xml:space="preserve">3</w:t>
            </w:r>
          </w:p>
        </w:tc>
        <w:tc>
          <w:tcPr>
            <w:tcW w:type="dxa" w:w="8200"/>
            <w:shd w:fill="F3F4F6" w:val="clear"/>
          </w:tcPr>
          <w:p>
            <w:r>
              <w:t xml:space="preserve">At least one serious problem to fix before it can be used.</w:t>
            </w:r>
          </w:p>
        </w:tc>
      </w:tr>
      <w:tr>
        <w:tc>
          <w:tcPr>
            <w:tcW w:type="dxa" w:w="800"/>
            <w:shd w:fill="FFFFFF" w:val="clear"/>
          </w:tcPr>
          <w:p>
            <w:r>
              <w:rPr>
                <w:b/>
                <w:bCs/>
              </w:rPr>
              <w:t xml:space="preserve">4</w:t>
            </w:r>
          </w:p>
        </w:tc>
        <w:tc>
          <w:tcPr>
            <w:tcW w:type="dxa" w:w="8200"/>
            <w:shd w:fill="FFFFFF" w:val="clear"/>
          </w:tcPr>
          <w:p>
            <w:r>
              <w:t xml:space="preserve">No major issues, but three or more minor ones. Sound, but not yet polished.</w:t>
            </w:r>
          </w:p>
        </w:tc>
      </w:tr>
      <w:tr>
        <w:tc>
          <w:tcPr>
            <w:tcW w:type="dxa" w:w="800"/>
            <w:shd w:fill="F3F4F6" w:val="clear"/>
          </w:tcPr>
          <w:p>
            <w:r>
              <w:rPr>
                <w:b/>
                <w:bCs/>
              </w:rPr>
              <w:t xml:space="preserve">5</w:t>
            </w:r>
          </w:p>
        </w:tc>
        <w:tc>
          <w:tcPr>
            <w:tcW w:type="dxa" w:w="8200"/>
            <w:shd w:fill="F3F4F6" w:val="clear"/>
          </w:tcPr>
          <w:p>
            <w:r>
              <w:t xml:space="preserve">One to three minor issues. Solid, and a few fixes short of professional-grade.</w:t>
            </w:r>
          </w:p>
        </w:tc>
      </w:tr>
      <w:tr>
        <w:tc>
          <w:tcPr>
            <w:tcW w:type="dxa" w:w="800"/>
            <w:shd w:fill="FFFFFF" w:val="clear"/>
          </w:tcPr>
          <w:p>
            <w:r>
              <w:rPr>
                <w:b/>
                <w:bCs/>
              </w:rPr>
              <w:t xml:space="preserve">6</w:t>
            </w:r>
          </w:p>
        </w:tc>
        <w:tc>
          <w:tcPr>
            <w:tcW w:type="dxa" w:w="8200"/>
            <w:shd w:fill="FFFFFF" w:val="clear"/>
          </w:tcPr>
          <w:p>
            <w:r>
              <w:t xml:space="preserve">Just one optional improvement. Essentially ready to use.</w:t>
            </w:r>
          </w:p>
        </w:tc>
      </w:tr>
      <w:tr>
        <w:tc>
          <w:tcPr>
            <w:tcW w:type="dxa" w:w="800"/>
            <w:shd w:fill="F3F4F6" w:val="clear"/>
          </w:tcPr>
          <w:p>
            <w:r>
              <w:rPr>
                <w:b/>
                <w:bCs/>
              </w:rPr>
              <w:t xml:space="preserve">7</w:t>
            </w:r>
          </w:p>
        </w:tc>
        <w:tc>
          <w:tcPr>
            <w:tcW w:type="dxa" w:w="8200"/>
            <w:shd w:fill="F3F4F6" w:val="clear"/>
          </w:tcPr>
          <w:p>
            <w:r>
              <w:t xml:space="preserve">Ready to use as is, and industry-standard. Use this sparingly.</w:t>
            </w:r>
          </w:p>
        </w:tc>
      </w:tr>
    </w:tbl>
    <w:p>
      <w:pPr>
        <w:pStyle w:val="Heading2"/>
        <w:spacing w:after="100" w:before="220"/>
      </w:pPr>
      <w:r>
        <w:t xml:space="preserve">What to Look For on Each Axis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374151" w:val="clear"/>
          </w:tcPr>
          <w:p>
            <w:r>
              <w:rPr>
                <w:b/>
                <w:bCs/>
                <w:color w:val="FFFFFF"/>
              </w:rPr>
              <w:t xml:space="preserve">Axis</w:t>
            </w:r>
          </w:p>
        </w:tc>
        <w:tc>
          <w:tcPr>
            <w:tcW w:type="dxa" w:w="7000"/>
            <w:shd w:fill="374151" w:val="clear"/>
          </w:tcPr>
          <w:p>
            <w:r>
              <w:rPr>
                <w:b/>
                <w:bCs/>
                <w:color w:val="FFFFFF"/>
              </w:rPr>
              <w:t xml:space="preserve">What to look for</w:t>
            </w:r>
          </w:p>
        </w:tc>
      </w:tr>
      <w:tr>
        <w:tc>
          <w:tcPr>
            <w:tcW w:type="dxa" w:w="2000"/>
            <w:shd w:fill="F3F4F6" w:val="clear"/>
          </w:tcPr>
          <w:p>
            <w:r>
              <w:rPr>
                <w:b/>
                <w:bCs/>
              </w:rPr>
              <w:t xml:space="preserve">Content quality</w:t>
            </w:r>
          </w:p>
        </w:tc>
        <w:tc>
          <w:tcPr>
            <w:tcW w:type="dxa" w:w="7000"/>
            <w:shd w:fill="F3F4F6" w:val="clear"/>
          </w:tcPr>
          <w:p>
            <w:r>
              <w:t xml:space="preserve">How complete, accurate, and useful the content is. Look for coverage of the key concepts from the source, accuracy and faithfulness, no misleading omissions, and no incorrect or irrelevant additions. Low: missing ideas, distortions, fluff, unreliable. High: complete, accurate, relevant, useful.</w:t>
            </w:r>
          </w:p>
        </w:tc>
      </w:tr>
      <w:tr>
        <w:tc>
          <w:tcPr>
            <w:tcW w:type="dxa" w:w="2000"/>
            <w:shd w:fill="FFFFFF" w:val="clear"/>
          </w:tcPr>
          <w:p>
            <w:r>
              <w:rPr>
                <w:b/>
                <w:bCs/>
              </w:rPr>
              <w:t xml:space="preserve">Storytelling</w:t>
            </w:r>
          </w:p>
        </w:tc>
        <w:tc>
          <w:tcPr>
            <w:tcW w:type="dxa" w:w="7000"/>
            <w:shd w:fill="FFFFFF" w:val="clear"/>
          </w:tcPr>
          <w:p>
            <w:r>
              <w:t xml:space="preserve">How well the deck works as a cohesive narrative. Look for clear structure and progression, strong transitions, a logical or emotional build, a clear purpose, and momentum. Low: disconnected, repetitive, flat. High: clear flow, intentional structure.</w:t>
            </w:r>
          </w:p>
        </w:tc>
      </w:tr>
      <w:tr>
        <w:tc>
          <w:tcPr>
            <w:tcW w:type="dxa" w:w="2000"/>
            <w:shd w:fill="F3F4F6" w:val="clear"/>
          </w:tcPr>
          <w:p>
            <w:r>
              <w:rPr>
                <w:b/>
                <w:bCs/>
              </w:rPr>
              <w:t xml:space="preserve">Aesthetics</w:t>
            </w:r>
          </w:p>
        </w:tc>
        <w:tc>
          <w:tcPr>
            <w:tcW w:type="dxa" w:w="7000"/>
            <w:shd w:fill="F3F4F6" w:val="clear"/>
          </w:tcPr>
          <w:p>
            <w:r>
              <w:t xml:space="preserve">How polished and visually appealing the deck feels. Look for strong typography and hierarchy, effective color use and harmony, consistency across slides, and the quality of charts, diagrams, images, and icons. Low: sloppy, inconsistent, dated. High: polished, professional, coherent.</w:t>
            </w:r>
          </w:p>
        </w:tc>
      </w:tr>
      <w:tr>
        <w:tc>
          <w:tcPr>
            <w:tcW w:type="dxa" w:w="2000"/>
            <w:shd w:fill="FFFFFF" w:val="clear"/>
          </w:tcPr>
          <w:p>
            <w:r>
              <w:rPr>
                <w:b/>
                <w:bCs/>
              </w:rPr>
              <w:t xml:space="preserve">Layout</w:t>
            </w:r>
          </w:p>
        </w:tc>
        <w:tc>
          <w:tcPr>
            <w:tcW w:type="dxa" w:w="7000"/>
            <w:shd w:fill="FFFFFF" w:val="clear"/>
          </w:tcPr>
          <w:p>
            <w:r>
              <w:t xml:space="preserve">How elements are arranged within and across slides. Look for clear spacing and margins, consistent alignment, logical grouping, a strong visual hierarchy, no clutter or overlap. Low: crowded, misaligned, confusing. High: clean, structured, readable.</w:t>
            </w:r>
          </w:p>
        </w:tc>
      </w:tr>
      <w:tr>
        <w:tc>
          <w:tcPr>
            <w:tcW w:type="dxa" w:w="2000"/>
            <w:shd w:fill="F3F4F6" w:val="clear"/>
          </w:tcPr>
          <w:p>
            <w:r>
              <w:rPr>
                <w:b/>
                <w:bCs/>
              </w:rPr>
              <w:t xml:space="preserve">Editability</w:t>
            </w:r>
          </w:p>
        </w:tc>
        <w:tc>
          <w:tcPr>
            <w:tcW w:type="dxa" w:w="7000"/>
            <w:shd w:fill="F3F4F6" w:val="clear"/>
          </w:tcPr>
          <w:p>
            <w:r>
              <w:t xml:space="preserve">How easy the deck is to update and reuse. Look for movable, editable elements, no full-slide images, and maintainable charts, text, and shapes. Low: hard to modify, flattened, fragile. High: flexible, reusable, easy to update.</w:t>
            </w:r>
          </w:p>
        </w:tc>
      </w:tr>
      <w:tr>
        <w:tc>
          <w:tcPr>
            <w:tcW w:type="dxa" w:w="2000"/>
            <w:shd w:fill="FFFFFF" w:val="clear"/>
          </w:tcPr>
          <w:p>
            <w:r>
              <w:rPr>
                <w:b/>
                <w:bCs/>
              </w:rPr>
              <w:t xml:space="preserve">Overall</w:t>
            </w:r>
          </w:p>
        </w:tc>
        <w:tc>
          <w:tcPr>
            <w:tcW w:type="dxa" w:w="7000"/>
            <w:shd w:fill="FFFFFF" w:val="clear"/>
          </w:tcPr>
          <w:p>
            <w:r>
              <w:t xml:space="preserve">Your holistic judgment of the deck as a complete presentation artifact. Use the other axes as inputs, not a checklist, and weigh real-world quality, usefulness, and readiness. Not a simple average: one major weakness can pull it down even when other areas are strong.</w:t>
            </w:r>
          </w:p>
        </w:tc>
      </w:tr>
    </w:tbl>
    <w:p>
      <w:pPr>
        <w:pBdr>
          <w:left w:val="single" w:color="3B82F6" w:sz="12"/>
        </w:pBdr>
        <w:shd w:fill="EFF6FF" w:val="clear"/>
        <w:spacing w:after="0" w:before="120"/>
        <w:ind w:left="200"/>
      </w:pPr>
      <w:r>
        <w:rPr>
          <w:b/>
          <w:bCs/>
          <w:color w:val="1D4ED8"/>
        </w:rPr>
        <w:t xml:space="preserve">ℹ Score what the response did, not what it started with.</w:t>
      </w:r>
    </w:p>
    <w:p>
      <w:pPr>
        <w:pBdr>
          <w:left w:val="single" w:color="3B82F6" w:sz="12"/>
        </w:pBdr>
        <w:shd w:fill="EFF6FF" w:val="clear"/>
        <w:spacing w:after="120" w:before="0"/>
        <w:ind w:left="200"/>
      </w:pPr>
      <w:r>
        <w:rPr>
          <w:color w:val="1E40AF"/>
        </w:rPr>
        <w:t xml:space="preserve">Score how well it followed a provided template or source. Do not punish it for an ugly template or poor inputs. Some batches use a 1 to 5 scale or slightly different labels. The task's own instructions always win.</w:t>
      </w:r>
    </w:p>
    <w:p>
      <w:pPr>
        <w:spacing w:after="120" w:before="120"/>
      </w:pPr>
      <w:r>
        <w:t xml:space="preserve">Score each axis on its own. The axes never bleed into each other, so weak content never lowers Editability. A major issue needs real rework. A minor issue is noticeable but not blocking.</w:t>
      </w:r>
    </w:p>
    <w:p>
      <w:pPr>
        <w:pStyle w:val="Heading2"/>
        <w:spacing w:after="100" w:before="220"/>
      </w:pPr>
      <w:r>
        <w:t xml:space="preserve">Core Axes: Major vs. Minor Issues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3700"/>
      </w:tblGrid>
      <w:tr>
        <w:trPr>
          <w:tblHeader/>
        </w:trPr>
        <w:tc>
          <w:tcPr>
            <w:tcW w:type="dxa" w:w="1600"/>
            <w:shd w:fill="374151" w:val="clear"/>
          </w:tcPr>
          <w:p>
            <w:r>
              <w:rPr>
                <w:b/>
                <w:bCs/>
                <w:color w:val="FFFFFF"/>
              </w:rPr>
              <w:t xml:space="preserve">Axis</w:t>
            </w:r>
          </w:p>
        </w:tc>
        <w:tc>
          <w:tcPr>
            <w:tcW w:type="dxa" w:w="3700"/>
            <w:shd w:fill="374151" w:val="clear"/>
          </w:tcPr>
          <w:p>
            <w:r>
              <w:rPr>
                <w:b/>
                <w:bCs/>
                <w:color w:val="FFFFFF"/>
              </w:rPr>
              <w:t xml:space="preserve">Major issue (needs rework)</w:t>
            </w:r>
          </w:p>
        </w:tc>
        <w:tc>
          <w:tcPr>
            <w:tcW w:type="dxa" w:w="3700"/>
            <w:shd w:fill="374151" w:val="clear"/>
          </w:tcPr>
          <w:p>
            <w:r>
              <w:rPr>
                <w:b/>
                <w:bCs/>
                <w:color w:val="FFFFFF"/>
              </w:rPr>
              <w:t xml:space="preserve">Minor issue (not blocking)</w:t>
            </w:r>
          </w:p>
        </w:tc>
      </w:tr>
      <w:tr>
        <w:tc>
          <w:tcPr>
            <w:tcW w:type="dxa" w:w="1600"/>
            <w:shd w:fill="F3F4F6" w:val="clear"/>
          </w:tcPr>
          <w:p>
            <w:r>
              <w:rPr>
                <w:b/>
                <w:bCs/>
              </w:rPr>
              <w:t xml:space="preserve">Content</w:t>
            </w:r>
          </w:p>
        </w:tc>
        <w:tc>
          <w:tcPr>
            <w:tcW w:type="dxa" w:w="3700"/>
            <w:shd w:fill="FEF2F2" w:val="clear"/>
          </w:tcPr>
          <w:p>
            <w:r>
              <w:rPr>
                <w:color w:val="7F1D1D"/>
              </w:rPr>
              <w:t xml:space="preserve">An instruction was not followed (e.g. a requested section is missing). A provided template was ignored. Claims are wrong or unsupported. The writing is generic, padded filler no expert would produce.</w:t>
            </w:r>
          </w:p>
        </w:tc>
        <w:tc>
          <w:tcPr>
            <w:tcW w:type="dxa" w:w="3700"/>
            <w:shd w:fill="F0FDF4" w:val="clear"/>
          </w:tcPr>
          <w:p>
            <w:r>
              <w:rPr>
                <w:color w:val="14532D"/>
              </w:rPr>
              <w:t xml:space="preserve">Coverage is a little shallow. A phrase or two reads generic. One citation is placed imprecisely.</w:t>
            </w:r>
          </w:p>
        </w:tc>
      </w:tr>
      <w:tr>
        <w:tc>
          <w:tcPr>
            <w:tcW w:type="dxa" w:w="1600"/>
            <w:shd w:fill="FFFFFF" w:val="clear"/>
          </w:tcPr>
          <w:p>
            <w:r>
              <w:rPr>
                <w:b/>
                <w:bCs/>
              </w:rPr>
              <w:t xml:space="preserve">Aesthetics</w:t>
            </w:r>
          </w:p>
        </w:tc>
        <w:tc>
          <w:tcPr>
            <w:tcW w:type="dxa" w:w="3700"/>
            <w:shd w:fill="FFFAFA" w:val="clear"/>
          </w:tcPr>
          <w:p>
            <w:r>
              <w:rPr>
                <w:color w:val="7F1D1D"/>
              </w:rPr>
              <w:t xml:space="preserve">Over-styled boxes, cards, or stock icons instead of a clean look. Broken or decorative charts that do not show real meaning. More than one main font without a clear purpose. A provided template's color palette or font choice was not followed.</w:t>
            </w:r>
          </w:p>
        </w:tc>
        <w:tc>
          <w:tcPr>
            <w:tcW w:type="dxa" w:w="3700"/>
            <w:shd w:fill="F7FFF9" w:val="clear"/>
          </w:tcPr>
          <w:p>
            <w:r>
              <w:rPr>
                <w:color w:val="14532D"/>
              </w:rPr>
              <w:t xml:space="preserve">Emphasis overused. One off-palette color.</w:t>
            </w:r>
          </w:p>
        </w:tc>
      </w:tr>
      <w:tr>
        <w:tc>
          <w:tcPr>
            <w:tcW w:type="dxa" w:w="1600"/>
            <w:shd w:fill="F3F4F6" w:val="clear"/>
          </w:tcPr>
          <w:p>
            <w:r>
              <w:rPr>
                <w:b/>
                <w:bCs/>
              </w:rPr>
              <w:t xml:space="preserve">Layout</w:t>
            </w:r>
          </w:p>
        </w:tc>
        <w:tc>
          <w:tcPr>
            <w:tcW w:type="dxa" w:w="3700"/>
            <w:shd w:fill="FEF2F2" w:val="clear"/>
          </w:tcPr>
          <w:p>
            <w:r>
              <w:rPr>
                <w:color w:val="7F1D1D"/>
              </w:rPr>
              <w:t xml:space="preserve">Text overlaps or is cut off. No clear hierarchy. A provided template's font size, spacing, or other layout choices were not followed.</w:t>
            </w:r>
          </w:p>
        </w:tc>
        <w:tc>
          <w:tcPr>
            <w:tcW w:type="dxa" w:w="3700"/>
            <w:shd w:fill="F0FDF4" w:val="clear"/>
          </w:tcPr>
          <w:p>
            <w:r>
              <w:rPr>
                <w:color w:val="14532D"/>
              </w:rPr>
              <w:t xml:space="preserve">Uneven margins. Uneven spacing.</w:t>
            </w:r>
          </w:p>
        </w:tc>
      </w:tr>
      <w:tr>
        <w:tc>
          <w:tcPr>
            <w:tcW w:type="dxa" w:w="1600"/>
            <w:shd w:fill="FFFFFF" w:val="clear"/>
          </w:tcPr>
          <w:p>
            <w:r>
              <w:rPr>
                <w:b/>
                <w:bCs/>
              </w:rPr>
              <w:t xml:space="preserve">Editability</w:t>
            </w:r>
          </w:p>
        </w:tc>
        <w:tc>
          <w:tcPr>
            <w:tcW w:type="dxa" w:w="3700"/>
            <w:shd w:fill="FFFAFA" w:val="clear"/>
          </w:tcPr>
          <w:p>
            <w:r>
              <w:rPr>
                <w:color w:val="7F1D1D"/>
              </w:rPr>
              <w:t xml:space="preserve">Screenshots or image-only slides. Charts built from loose shapes. Tables pasted as images or built from loose shapes instead of a real table.</w:t>
            </w:r>
          </w:p>
        </w:tc>
        <w:tc>
          <w:tcPr>
            <w:tcW w:type="dxa" w:w="3700"/>
            <w:shd w:fill="F7FFF9" w:val="clear"/>
          </w:tcPr>
          <w:p>
            <w:r>
              <w:rPr>
                <w:color w:val="14532D"/>
              </w:rPr>
              <w:t xml:space="preserve">Mostly editable, with a little friction. List numbers or bullets typed by hand. Hardcoded values where a formula should update.</w:t>
            </w:r>
          </w:p>
        </w:tc>
      </w:tr>
      <w:tr>
        <w:tc>
          <w:tcPr>
            <w:tcW w:type="dxa" w:w="1600"/>
            <w:shd w:fill="F3F4F6" w:val="clear"/>
          </w:tcPr>
          <w:p>
            <w:r>
              <w:rPr>
                <w:b/>
                <w:bCs/>
              </w:rPr>
              <w:t xml:space="preserve">Overall</w:t>
            </w:r>
          </w:p>
        </w:tc>
        <w:tc>
          <w:tcPr>
            <w:tcW w:type="dxa" w:w="3700"/>
            <w:shd w:fill="FEF2F2" w:val="clear"/>
          </w:tcPr>
          <w:p>
            <w:r>
              <w:rPr>
                <w:color w:val="7F1D1D"/>
              </w:rPr>
              <w:t xml:space="preserve">Below what a professional would accept and use. Reads as generic filler work. One weakness bad enough to limit the whole artifact. This is the main axis, and it can outweigh the individual scores.</w:t>
            </w:r>
          </w:p>
        </w:tc>
        <w:tc>
          <w:tcPr>
            <w:tcW w:type="dxa" w:w="3700"/>
            <w:shd w:fill="F0FDF4" w:val="clear"/>
          </w:tcPr>
          <w:p>
            <w:r>
              <w:rPr>
                <w:color w:val="14532D"/>
              </w:rPr>
              <w:t xml:space="preserve">Usable, but a step below the polish you would expect. A quick cleanup short of ready.</w:t>
            </w:r>
          </w:p>
        </w:tc>
      </w:tr>
    </w:tbl>
    <w:p>
      <w:pPr>
        <w:pStyle w:val="Heading2"/>
        <w:spacing w:after="100" w:before="220"/>
      </w:pPr>
      <w:r>
        <w:t xml:space="preserve">Campaign-Specific Axes</w:t>
      </w:r>
    </w:p>
    <w:p>
      <w:pPr>
        <w:pStyle w:val="Heading3"/>
        <w:spacing w:after="80" w:before="180"/>
      </w:pPr>
      <w:r>
        <w:t xml:space="preserve">Slides: Storytelling Axis</w:t>
      </w:r>
    </w:p>
    <w:p>
      <w:pPr>
        <w:spacing w:after="80" w:before="80"/>
      </w:pPr>
      <w:r>
        <w:t xml:space="preserve">Storytelling is about whether the deck builds as one clear, ready-to-present story, beyond whether each slide is correct on its own. For example, a pitch deck that dives into the financials before it says what the company does breaks that build.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3700"/>
      </w:tblGrid>
      <w:tr>
        <w:trPr>
          <w:tblHeader/>
        </w:trPr>
        <w:tc>
          <w:tcPr>
            <w:tcW w:type="dxa" w:w="1600"/>
            <w:shd w:fill="374151" w:val="clear"/>
          </w:tcPr>
          <w:p>
            <w:r>
              <w:rPr>
                <w:b/>
                <w:bCs/>
                <w:color w:val="FFFFFF"/>
              </w:rPr>
              <w:t xml:space="preserve">Axis</w:t>
            </w:r>
          </w:p>
        </w:tc>
        <w:tc>
          <w:tcPr>
            <w:tcW w:type="dxa" w:w="3700"/>
            <w:shd w:fill="374151" w:val="clear"/>
          </w:tcPr>
          <w:p>
            <w:r>
              <w:rPr>
                <w:b/>
                <w:bCs/>
                <w:color w:val="FFFFFF"/>
              </w:rPr>
              <w:t xml:space="preserve">Major issue</w:t>
            </w:r>
          </w:p>
        </w:tc>
        <w:tc>
          <w:tcPr>
            <w:tcW w:type="dxa" w:w="3700"/>
            <w:shd w:fill="374151" w:val="clear"/>
          </w:tcPr>
          <w:p>
            <w:r>
              <w:rPr>
                <w:b/>
                <w:bCs/>
                <w:color w:val="FFFFFF"/>
              </w:rPr>
              <w:t xml:space="preserve">Minor issue</w:t>
            </w:r>
          </w:p>
        </w:tc>
      </w:tr>
      <w:tr>
        <w:tc>
          <w:tcPr>
            <w:tcW w:type="dxa" w:w="1600"/>
            <w:shd w:fill="F3F4F6" w:val="clear"/>
          </w:tcPr>
          <w:p>
            <w:r>
              <w:rPr>
                <w:b/>
                <w:bCs/>
              </w:rPr>
              <w:t xml:space="preserve">Storytelling</w:t>
            </w:r>
          </w:p>
        </w:tc>
        <w:tc>
          <w:tcPr>
            <w:tcW w:type="dxa" w:w="3700"/>
            <w:shd w:fill="FEF2F2" w:val="clear"/>
          </w:tcPr>
          <w:p>
            <w:r>
              <w:rPr>
                <w:color w:val="7F1D1D"/>
              </w:rPr>
              <w:t xml:space="preserve">A generic arc that ignores how a deck should build. No through-line, so the deck is disconnected or disjointed. A flat list that never builds, so the message never lands.</w:t>
            </w:r>
          </w:p>
        </w:tc>
        <w:tc>
          <w:tcPr>
            <w:tcW w:type="dxa" w:w="3700"/>
            <w:shd w:fill="F0FDF4" w:val="clear"/>
          </w:tcPr>
          <w:p>
            <w:r>
              <w:rPr>
                <w:color w:val="14532D"/>
              </w:rPr>
              <w:t xml:space="preserve">One abrupt transition, or a slide out of order. A weak opening or closing that still lands. Momentum dips in the middle but recovers.</w:t>
            </w:r>
          </w:p>
        </w:tc>
      </w:tr>
    </w:tbl>
    <w:p>
      <w:r>
        <w:br w:type="page"/>
      </w:r>
    </w:p>
    <w:p>
      <w:pPr>
        <w:spacing w:after="160" w:before="0"/>
      </w:pPr>
      <w:r>
        <w:rPr>
          <w:b/>
          <w:bCs/>
          <w:color w:val="6B46C1"/>
          <w:sz w:val="56"/>
          <w:szCs w:val="56"/>
        </w:rPr>
        <w:t xml:space="preserve">09</w:t>
      </w:r>
      <w:r>
        <w:rPr>
          <w:b w:val="false"/>
          <w:bCs w:val="false"/>
          <w:caps/>
          <w:color w:val="6B46C1"/>
          <w:sz w:val="22"/>
          <w:szCs w:val="22"/>
        </w:rPr>
        <w:t xml:space="preserve">  ·  RATIONALES</w:t>
      </w:r>
    </w:p>
    <w:p>
      <w:pPr>
        <w:pStyle w:val="Heading1"/>
        <w:spacing w:after="200" w:before="0"/>
      </w:pPr>
      <w:r>
        <w:t xml:space="preserve">Write rationales a reviewer can sign off in one read.</w:t>
      </w:r>
    </w:p>
    <w:p>
      <w:pPr>
        <w:spacing w:after="80" w:before="80"/>
      </w:pPr>
      <w:r>
        <w:t xml:space="preserve">Give one rank per response, and make sure the ranking matches your scores, so your top-ranked response has the top score. Compare whole files, not slide by slide, and prefer the one closest to real professional work. On a close call, spell out in your rationale what tipped it.</w:t>
      </w:r>
    </w:p>
    <w:p>
      <w:pPr>
        <w:spacing w:after="80" w:before="80"/>
      </w:pPr>
      <w:r>
        <w:t xml:space="preserve">Keep each rationale on its own axis. A cluttered layout is an aesthetics note, not a content note. Give a concrete example (name the slide, cell, or section) and say why it changes the score.</w:t>
      </w:r>
    </w:p>
    <w:p>
      <w:pPr>
        <w:spacing w:after="80" w:before="80"/>
      </w:pPr>
      <w:r>
        <w:t xml:space="preserve">Make every point specific and grounded in the response. Name what you actually saw and why it matters for a professional using this in the field. A rationale that could be pasted onto any task, like "the content is relevant and appropriate," is too generic to be useful. Show that you understand the domain and audience, not just surface polish.</w:t>
      </w:r>
    </w:p>
    <w:p>
      <w:pPr>
        <w:spacing w:after="80" w:before="80"/>
      </w:pPr>
      <w:r>
        <w:t xml:space="preserve">Match the detail to the score. Keep it to a few short, specific points, and save the extra detail for the middle of the scale (3s and 4s), where it helps tell responses apart. For a 6, name what is working and the one small thing holding it back. A 7 has no real issues, so just say what makes it excellent. For a 1 to 3, note anything done well and then what makes it unusable. A reader should be able to predict the score from your points.</w:t>
      </w:r>
    </w:p>
    <w:p>
      <w:pPr>
        <w:pBdr>
          <w:left w:val="single" w:color="15803D" w:sz="12"/>
        </w:pBdr>
        <w:shd w:fill="F0FDF4" w:val="clear"/>
        <w:spacing w:after="0" w:before="120"/>
        <w:ind w:left="200"/>
      </w:pPr>
      <w:r>
        <w:rPr>
          <w:b/>
          <w:bCs/>
          <w:color w:val="15803D"/>
        </w:rPr>
        <w:t xml:space="preserve">✓ A strong rationale.</w:t>
      </w:r>
    </w:p>
    <w:p>
      <w:pPr>
        <w:pBdr>
          <w:left w:val="single" w:color="15803D" w:sz="12"/>
        </w:pBdr>
        <w:shd w:fill="F0FDF4" w:val="clear"/>
        <w:spacing w:after="120" w:before="0"/>
        <w:ind w:left="200"/>
      </w:pPr>
      <w:r>
        <w:rPr>
          <w:color w:val="14532D"/>
        </w:rPr>
        <w:t xml:space="preserve">"Aesthetics is a 4. Text overlaps the chart labels on slide 5, and slide 7 uses light gray on white, so a few slides need cleanup before anyone could use them."</w:t>
      </w:r>
    </w:p>
    <w:p>
      <w:pPr>
        <w:pBdr>
          <w:left w:val="single" w:color="DC2626" w:sz="12"/>
        </w:pBdr>
        <w:shd w:fill="FEF2F2" w:val="clear"/>
        <w:spacing w:after="0" w:before="120"/>
        <w:ind w:left="200"/>
      </w:pPr>
      <w:r>
        <w:rPr>
          <w:b/>
          <w:bCs/>
          <w:color w:val="DC2626"/>
        </w:rPr>
        <w:t xml:space="preserve">✕ A weak rationale.</w:t>
      </w:r>
    </w:p>
    <w:p>
      <w:pPr>
        <w:pBdr>
          <w:left w:val="single" w:color="DC2626" w:sz="12"/>
        </w:pBdr>
        <w:shd w:fill="FEF2F2" w:val="clear"/>
        <w:spacing w:after="120" w:before="0"/>
        <w:ind w:left="200"/>
      </w:pPr>
      <w:r>
        <w:rPr>
          <w:color w:val="991B1B"/>
        </w:rPr>
        <w:t xml:space="preserve">"The layout has issues."</w:t>
      </w:r>
    </w:p>
    <w:p>
      <w:pPr>
        <w:pBdr>
          <w:left w:val="single" w:color="F59E0B" w:sz="12"/>
        </w:pBdr>
        <w:shd w:fill="FFFBEB" w:val="clear"/>
        <w:spacing w:after="0" w:before="120"/>
        <w:ind w:left="200"/>
      </w:pPr>
      <w:r>
        <w:rPr>
          <w:b/>
          <w:bCs/>
          <w:color w:val="B45309"/>
        </w:rPr>
        <w:t xml:space="preserve">⚠ Fictional is not the same as inaccurate.</w:t>
      </w:r>
    </w:p>
    <w:p>
      <w:pPr>
        <w:pBdr>
          <w:left w:val="single" w:color="F59E0B" w:sz="12"/>
        </w:pBdr>
        <w:shd w:fill="FFFBEB" w:val="clear"/>
        <w:spacing w:after="120" w:before="0"/>
        <w:ind w:left="200"/>
      </w:pPr>
      <w:r>
        <w:rPr>
          <w:color w:val="92400E"/>
        </w:rPr>
        <w:t xml:space="preserve">Tasks often use made-up companies and numbers, and that is expected. Do not penalize what you cannot verify. Do penalize real errors: wrong math on made-up numbers, or anything that contradicts the sources or real-world facts. Before you call something a hallucination, open the Full Summary Report — details that look invented are often given to you there.</w:t>
      </w:r>
    </w:p>
    <w:p>
      <w:r>
        <w:br w:type="page"/>
      </w:r>
    </w:p>
    <w:p>
      <w:pPr>
        <w:spacing w:after="160" w:before="0"/>
      </w:pPr>
      <w:r>
        <w:rPr>
          <w:b/>
          <w:bCs/>
          <w:color w:val="6B46C1"/>
          <w:sz w:val="56"/>
          <w:szCs w:val="56"/>
        </w:rPr>
        <w:t xml:space="preserve">10</w:t>
      </w:r>
      <w:r>
        <w:rPr>
          <w:b w:val="false"/>
          <w:bCs w:val="false"/>
          <w:caps/>
          <w:color w:val="6B46C1"/>
          <w:sz w:val="22"/>
          <w:szCs w:val="22"/>
        </w:rPr>
        <w:t xml:space="preserve">  ·  EXAMPLES</w:t>
      </w:r>
    </w:p>
    <w:p>
      <w:pPr>
        <w:pStyle w:val="Heading1"/>
        <w:spacing w:after="200" w:before="0"/>
      </w:pPr>
      <w:r>
        <w:t xml:space="preserve">A golden example, worked through.</w:t>
      </w:r>
    </w:p>
    <w:p>
      <w:pPr>
        <w:spacing w:after="80" w:before="80"/>
      </w:pPr>
      <w:r>
        <w:t xml:space="preserve">Here is one full, real software engineering task: the request, all three responses scored on every axis, and the final ranking.</w:t>
      </w:r>
    </w:p>
    <w:p>
      <w:pPr>
        <w:pBdr>
          <w:left w:val="single" w:color="3B82F6" w:sz="12"/>
        </w:pBdr>
        <w:shd w:fill="EFF6FF" w:val="clear"/>
        <w:spacing w:after="0" w:before="120"/>
        <w:ind w:left="200"/>
      </w:pPr>
      <w:r>
        <w:rPr>
          <w:b/>
          <w:bCs/>
          <w:color w:val="1D4ED8"/>
        </w:rPr>
        <w:t xml:space="preserve">ℹ Use these as your model.</w:t>
      </w:r>
    </w:p>
    <w:p>
      <w:pPr>
        <w:pBdr>
          <w:left w:val="single" w:color="3B82F6" w:sz="12"/>
        </w:pBdr>
        <w:shd w:fill="EFF6FF" w:val="clear"/>
        <w:spacing w:after="120" w:before="0"/>
        <w:ind w:left="200"/>
      </w:pPr>
      <w:r>
        <w:rPr>
          <w:color w:val="1E40AF"/>
        </w:rPr>
        <w:t xml:space="preserve">Each rationale below is concise and specific, with concrete evidence a reviewer can check. Aim for the same: a few short points, each tied to its axis and grounded in the response, that let a reader predict the score.</w:t>
      </w:r>
    </w:p>
    <w:p>
      <w:pPr>
        <w:pStyle w:val="Heading2"/>
        <w:spacing w:after="100" w:before="220"/>
      </w:pPr>
      <w:r>
        <w:t xml:space="preserve">The Task</w:t>
      </w:r>
    </w:p>
    <w:p>
      <w:pPr>
        <w:pBdr>
          <w:top w:val="single" w:color="D1D5DB" w:sz="4"/>
          <w:bottom w:val="single" w:color="D1D5DB" w:sz="4"/>
          <w:left w:val="single" w:color="D1D5DB" w:sz="4"/>
          <w:right w:val="single" w:color="D1D5DB" w:sz="4"/>
        </w:pBdr>
        <w:shd w:fill="F3F4F6" w:val="clear"/>
        <w:spacing w:after="160" w:before="120"/>
        <w:ind w:left="200" w:right="200"/>
      </w:pPr>
      <w:r>
        <w:rPr>
          <w:i/>
          <w:iCs/>
        </w:rPr>
        <w:t xml:space="preserve">Build a 10 to 15 page, software engineering style slide deck that persuades Lancelot's CTO to adopt Builder.io as their CMS. The deck should explain that the current website publishing workflow depends too much on Engineering, and that Builder would let Marketing, Design, and other non-technical teams publish content more on their own. It should make the specific case to a CTO, covering better architecture, less of an engineering bottleneck, higher uptime, financial benefits, an implementation plan, risks, and the rules and safeguards for safe content publishing.</w:t>
      </w:r>
    </w:p>
    <w:p>
      <w:pPr>
        <w:pStyle w:val="Heading2"/>
        <w:spacing w:after="100" w:before="220"/>
      </w:pPr>
      <w:r>
        <w:t xml:space="preserve">Response A — Ranked 2nd  ·  Overall: 5 (Good)</w:t>
      </w:r>
    </w:p>
    <w:p>
      <w:pPr>
        <w:spacing w:after="80" w:before="80"/>
      </w:pPr>
      <w:r>
        <w:t xml:space="preserve">A well-grounded, on-structure deck, held back mainly by repeating the Engineering-dependency point too often.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00"/>
      </w:tblGrid>
      <w:tr>
        <w:trPr>
          <w:tblHeader/>
        </w:trPr>
        <w:tc>
          <w:tcPr>
            <w:tcW w:type="dxa" w:w="2000"/>
            <w:shd w:fill="374151" w:val="clear"/>
          </w:tcPr>
          <w:p>
            <w:r>
              <w:rPr>
                <w:b/>
                <w:bCs/>
                <w:color w:val="FFFFFF"/>
              </w:rPr>
              <w:t xml:space="preserve">Axis</w:t>
            </w:r>
          </w:p>
        </w:tc>
        <w:tc>
          <w:tcPr>
            <w:tcW w:type="dxa" w:w="900"/>
            <w:shd w:fill="374151" w:val="clear"/>
          </w:tcPr>
          <w:p>
            <w:pPr>
              <w:jc w:val="center"/>
            </w:pPr>
            <w:r>
              <w:rPr>
                <w:b/>
                <w:bCs/>
                <w:color w:val="FFFFFF"/>
              </w:rPr>
              <w:t xml:space="preserve">Score</w:t>
            </w:r>
          </w:p>
        </w:tc>
        <w:tc>
          <w:tcPr>
            <w:tcW w:type="dxa" w:w="6100"/>
            <w:shd w:fill="374151" w:val="clear"/>
          </w:tcPr>
          <w:p>
            <w:r>
              <w:rPr>
                <w:b/>
                <w:bCs/>
                <w:color w:val="FFFFFF"/>
              </w:rPr>
              <w:t xml:space="preserve">Why</w:t>
            </w:r>
          </w:p>
        </w:tc>
      </w:tr>
      <w:tr>
        <w:tc>
          <w:tcPr>
            <w:tcW w:type="dxa" w:w="2000"/>
            <w:shd w:fill="F3F4F6" w:val="clear"/>
          </w:tcPr>
          <w:p>
            <w:r>
              <w:rPr>
                <w:b/>
                <w:bCs/>
              </w:rPr>
              <w:t xml:space="preserve">Content quality</w:t>
            </w:r>
          </w:p>
        </w:tc>
        <w:tc>
          <w:tcPr>
            <w:tcW w:type="dxa" w:w="900"/>
            <w:shd w:fill="F3F0FF" w:val="clear"/>
          </w:tcPr>
          <w:p>
            <w:pPr>
              <w:jc w:val="center"/>
            </w:pPr>
            <w:r>
              <w:rPr>
                <w:b/>
                <w:bCs/>
                <w:color w:val="6B46C1"/>
              </w:rPr>
              <w:t xml:space="preserve">4</w:t>
            </w:r>
          </w:p>
        </w:tc>
        <w:tc>
          <w:tcPr>
            <w:tcW w:type="dxa" w:w="6100"/>
            <w:shd w:fill="F3F4F6" w:val="clear"/>
          </w:tcPr>
          <w:p>
            <w:r>
              <w:t xml:space="preserve">Most metrics are accurate and traceable to the source files. The engineering hours figure on slide 2 (50.3 hours a week) ties back directly to the corresponding sheet. The content is comprehensive but the tone is pitched for a general audience rather than a CTO; slides 4 and 5 over-explain for an expert. The deck leans on the Marketing-depends-on-Engineering message too often — for a CTO audience, this reads as assigning blame rather than building the case for Builder.io.</w:t>
            </w:r>
          </w:p>
        </w:tc>
      </w:tr>
      <w:tr>
        <w:tc>
          <w:tcPr>
            <w:tcW w:type="dxa" w:w="2000"/>
            <w:shd w:fill="FFFFFF" w:val="clear"/>
          </w:tcPr>
          <w:p>
            <w:r>
              <w:rPr>
                <w:b/>
                <w:bCs/>
              </w:rPr>
              <w:t xml:space="preserve">Storytelling</w:t>
            </w:r>
          </w:p>
        </w:tc>
        <w:tc>
          <w:tcPr>
            <w:tcW w:type="dxa" w:w="900"/>
            <w:shd w:fill="F3F0FF" w:val="clear"/>
          </w:tcPr>
          <w:p>
            <w:pPr>
              <w:jc w:val="center"/>
            </w:pPr>
            <w:r>
              <w:rPr>
                <w:b/>
                <w:bCs/>
                <w:color w:val="6B46C1"/>
              </w:rPr>
              <w:t xml:space="preserve">5</w:t>
            </w:r>
          </w:p>
        </w:tc>
        <w:tc>
          <w:tcPr>
            <w:tcW w:type="dxa" w:w="6100"/>
            <w:shd w:fill="FFFFFF" w:val="clear"/>
          </w:tcPr>
          <w:p>
            <w:r>
              <w:t xml:space="preserve">The deck follows a logical narrative from current pain points to the proposed solution (slides 2–13), the implementation plan (slide 14), and expected business impact (slide 15). Each section builds on the last. The repeated dependency message weakens the flow and makes the story feel repetitive.</w:t>
            </w:r>
          </w:p>
        </w:tc>
      </w:tr>
      <w:tr>
        <w:tc>
          <w:tcPr>
            <w:tcW w:type="dxa" w:w="2000"/>
            <w:shd w:fill="F3F4F6" w:val="clear"/>
          </w:tcPr>
          <w:p>
            <w:r>
              <w:rPr>
                <w:b/>
                <w:bCs/>
              </w:rPr>
              <w:t xml:space="preserve">Aesthetics</w:t>
            </w:r>
          </w:p>
        </w:tc>
        <w:tc>
          <w:tcPr>
            <w:tcW w:type="dxa" w:w="900"/>
            <w:shd w:fill="F3F0FF" w:val="clear"/>
          </w:tcPr>
          <w:p>
            <w:pPr>
              <w:jc w:val="center"/>
            </w:pPr>
            <w:r>
              <w:rPr>
                <w:b/>
                <w:bCs/>
                <w:color w:val="6B46C1"/>
              </w:rPr>
              <w:t xml:space="preserve">5</w:t>
            </w:r>
          </w:p>
        </w:tc>
        <w:tc>
          <w:tcPr>
            <w:tcW w:type="dxa" w:w="6100"/>
            <w:shd w:fill="F3F4F6" w:val="clear"/>
          </w:tcPr>
          <w:p>
            <w:r>
              <w:t xml:space="preserve">The look seems inspired by Builder.io's branding, with a dark background and brand accent colors (violet, green, and red). Typography is well executed with clear hierarchy. Color coding is inconsistent across slides 1, 5, 7, 8, 13, and 14. Some images look squished or distorted.</w:t>
            </w:r>
          </w:p>
        </w:tc>
      </w:tr>
      <w:tr>
        <w:tc>
          <w:tcPr>
            <w:tcW w:type="dxa" w:w="2000"/>
            <w:shd w:fill="FFFFFF" w:val="clear"/>
          </w:tcPr>
          <w:p>
            <w:r>
              <w:rPr>
                <w:b/>
                <w:bCs/>
              </w:rPr>
              <w:t xml:space="preserve">Layout</w:t>
            </w:r>
          </w:p>
        </w:tc>
        <w:tc>
          <w:tcPr>
            <w:tcW w:type="dxa" w:w="900"/>
            <w:shd w:fill="F3F0FF" w:val="clear"/>
          </w:tcPr>
          <w:p>
            <w:pPr>
              <w:jc w:val="center"/>
            </w:pPr>
            <w:r>
              <w:rPr>
                <w:b/>
                <w:bCs/>
                <w:color w:val="6B46C1"/>
              </w:rPr>
              <w:t xml:space="preserve">5</w:t>
            </w:r>
          </w:p>
        </w:tc>
        <w:tc>
          <w:tcPr>
            <w:tcW w:type="dxa" w:w="6100"/>
            <w:shd w:fill="FFFFFF" w:val="clear"/>
          </w:tcPr>
          <w:p>
            <w:r>
              <w:t xml:space="preserve">Well-organized with consistent side margins and ample space between blocks. Spacing between the title and body copy is inconsistent, most noticeably between slides 2 and 3. On slide 14, one green block doesn't leave enough room for its content.</w:t>
            </w:r>
          </w:p>
        </w:tc>
      </w:tr>
      <w:tr>
        <w:tc>
          <w:tcPr>
            <w:tcW w:type="dxa" w:w="2000"/>
            <w:shd w:fill="F3F4F6" w:val="clear"/>
          </w:tcPr>
          <w:p>
            <w:r>
              <w:rPr>
                <w:b/>
                <w:bCs/>
              </w:rPr>
              <w:t xml:space="preserve">Editability</w:t>
            </w:r>
          </w:p>
        </w:tc>
        <w:tc>
          <w:tcPr>
            <w:tcW w:type="dxa" w:w="900"/>
            <w:shd w:fill="F3F0FF" w:val="clear"/>
          </w:tcPr>
          <w:p>
            <w:pPr>
              <w:jc w:val="center"/>
            </w:pPr>
            <w:r>
              <w:rPr>
                <w:b/>
                <w:bCs/>
                <w:color w:val="6B46C1"/>
              </w:rPr>
              <w:t xml:space="preserve">4</w:t>
            </w:r>
          </w:p>
        </w:tc>
        <w:tc>
          <w:tcPr>
            <w:tcW w:type="dxa" w:w="6100"/>
            <w:shd w:fill="F3F4F6" w:val="clear"/>
          </w:tcPr>
          <w:p>
            <w:r>
              <w:t xml:space="preserve">All slides are built with native objects (text boxes, charts, shapes, and images), which makes them easy to edit. Some flow diagrams on slides 7 and 8 are images, making them more tedious to update.</w:t>
            </w:r>
          </w:p>
        </w:tc>
      </w:tr>
      <w:tr>
        <w:tc>
          <w:tcPr>
            <w:tcW w:type="dxa" w:w="2000"/>
            <w:shd w:fill="FFFFFF" w:val="clear"/>
          </w:tcPr>
          <w:p>
            <w:r>
              <w:rPr>
                <w:b/>
                <w:bCs/>
              </w:rPr>
              <w:t xml:space="preserve">Overall</w:t>
            </w:r>
          </w:p>
        </w:tc>
        <w:tc>
          <w:tcPr>
            <w:tcW w:type="dxa" w:w="900"/>
            <w:shd w:fill="F3F0FF" w:val="clear"/>
          </w:tcPr>
          <w:p>
            <w:pPr>
              <w:jc w:val="center"/>
            </w:pPr>
            <w:r>
              <w:rPr>
                <w:b/>
                <w:bCs/>
                <w:color w:val="6B46C1"/>
              </w:rPr>
              <w:t xml:space="preserve">5</w:t>
            </w:r>
          </w:p>
        </w:tc>
        <w:tc>
          <w:tcPr>
            <w:tcW w:type="dxa" w:w="6100"/>
            <w:shd w:fill="FFFFFF" w:val="clear"/>
          </w:tcPr>
          <w:p>
            <w:r>
              <w:t xml:space="preserve">The content is well-grounded, the narrative follows the structure in the prompt, and the aesthetics look polished. The deck over-emphasizes Marketing's reliance on Engineering, and a few slides are pitched for a general audience rather than a CTO.</w:t>
            </w:r>
          </w:p>
        </w:tc>
      </w:tr>
    </w:tbl>
    <w:p>
      <w:pPr>
        <w:pStyle w:val="Heading2"/>
        <w:spacing w:after="100" w:before="220"/>
      </w:pPr>
      <w:r>
        <w:t xml:space="preserve">Response B — Ranked 3rd  ·  Overall: 3 (Needs work)</w:t>
      </w:r>
    </w:p>
    <w:p>
      <w:pPr>
        <w:spacing w:after="80" w:before="80"/>
      </w:pPr>
      <w:r>
        <w:t xml:space="preserve">The content is accurate, but the design, layout, and narrative feel like a draft. It cannot be used as is and needs significant rework before it is presentation-ready.</w:t>
      </w:r>
    </w:p>
    <w:p>
      <w:pPr>
        <w:pStyle w:val="Heading2"/>
        <w:spacing w:after="100" w:before="220"/>
      </w:pPr>
      <w:r>
        <w:t xml:space="preserve">Response C — Ranked 1st  ·  Overall: 6 (Excellent)</w:t>
      </w:r>
    </w:p>
    <w:p>
      <w:pPr>
        <w:spacing w:after="80" w:before="80"/>
      </w:pPr>
      <w:r>
        <w:t xml:space="preserve">The best option, with robust, well-researched content and a natural narrative that fits the deck's purpose. It addresses the concerns a CTO would have about adopting a new tool, which makes it the most presentation-ready.</w:t>
      </w:r>
    </w:p>
    <w:p>
      <w:pPr>
        <w:pStyle w:val="Heading2"/>
        <w:spacing w:after="100" w:before="220"/>
      </w:pPr>
      <w:r>
        <w:t xml:space="preserve">The Overall Ranking</w:t>
      </w:r>
    </w:p>
    <w:p>
      <w:pPr>
        <w:pStyle w:val="ListParagraph"/>
        <w:numPr>
          <w:ilvl w:val="0"/>
          <w:numId w:val="2"/>
        </w:numPr>
        <w:spacing w:after="60" w:before="60"/>
      </w:pPr>
      <w:r>
        <w:t xml:space="preserve">Ranked Response C first, then Response A, then Response B.</w:t>
      </w:r>
    </w:p>
    <w:p>
      <w:pPr>
        <w:pStyle w:val="ListParagraph"/>
        <w:numPr>
          <w:ilvl w:val="0"/>
          <w:numId w:val="2"/>
        </w:numPr>
        <w:spacing w:after="60" w:before="60"/>
      </w:pPr>
      <w:r>
        <w:t xml:space="preserve">Response C: robust, well-researched content and a natural narrative. Best for a CTO audience.</w:t>
      </w:r>
    </w:p>
    <w:p>
      <w:pPr>
        <w:pStyle w:val="ListParagraph"/>
        <w:numPr>
          <w:ilvl w:val="0"/>
          <w:numId w:val="2"/>
        </w:numPr>
        <w:spacing w:after="60" w:before="60"/>
      </w:pPr>
      <w:r>
        <w:t xml:space="preserve">Response A: solid and source-faithful, but leans too hard on the dependency message.</w:t>
      </w:r>
    </w:p>
    <w:p>
      <w:pPr>
        <w:pStyle w:val="ListParagraph"/>
        <w:numPr>
          <w:ilvl w:val="0"/>
          <w:numId w:val="2"/>
        </w:numPr>
        <w:spacing w:after="60" w:before="60"/>
      </w:pPr>
      <w:r>
        <w:t xml:space="preserve">Response B: accurate content but design, layout, and narrative feel like a draft.</w:t>
      </w:r>
    </w:p>
    <w:p>
      <w:pPr>
        <w:spacing w:after="80" w:before="120"/>
      </w:pPr>
      <w:r>
        <w:t xml:space="preserve">Notice that every score has its own evidence, and editability can stay high even when content is weak. The axes never bleed into each other.</w:t>
      </w:r>
    </w:p>
    <w:p>
      <w:pPr>
        <w:spacing w:after="80" w:before="0"/>
      </w:pPr>
      <w:r>
        <w:t xml:space="preserve">Note: Finance and Consulting versions of golden examples are in progress and will be added to the live guide when ready.</w:t>
      </w:r>
    </w:p>
    <w:p>
      <w:r>
        <w:br w:type="page"/>
      </w:r>
    </w:p>
    <w:p>
      <w:pPr>
        <w:spacing w:after="160" w:before="0"/>
      </w:pPr>
      <w:r>
        <w:rPr>
          <w:b/>
          <w:bCs/>
          <w:color w:val="6B46C1"/>
          <w:sz w:val="56"/>
          <w:szCs w:val="56"/>
        </w:rPr>
        <w:t xml:space="preserve">11</w:t>
      </w:r>
      <w:r>
        <w:rPr>
          <w:b w:val="false"/>
          <w:bCs w:val="false"/>
          <w:caps/>
          <w:color w:val="6B46C1"/>
          <w:sz w:val="22"/>
          <w:szCs w:val="22"/>
        </w:rPr>
        <w:t xml:space="preserve">  ·  AVOID THESE</w:t>
      </w:r>
    </w:p>
    <w:p>
      <w:pPr>
        <w:pStyle w:val="Heading1"/>
        <w:spacing w:after="200" w:before="0"/>
      </w:pPr>
      <w:r>
        <w:t xml:space="preserve">What reviewers send tasks back for.</w:t>
      </w:r>
    </w:p>
    <w:p>
      <w:pPr>
        <w:pBdr>
          <w:left w:val="single" w:color="F59E0B" w:sz="12"/>
        </w:pBdr>
        <w:shd w:fill="FFFBEB" w:val="clear"/>
        <w:spacing w:after="0" w:before="120"/>
        <w:ind w:left="200"/>
      </w:pPr>
      <w:r>
        <w:rPr>
          <w:b/>
          <w:bCs/>
          <w:color w:val="B45309"/>
        </w:rPr>
        <w:t xml:space="preserve">⚠ Reviewers will send weak tasks back.</w:t>
      </w:r>
    </w:p>
    <w:p>
      <w:pPr>
        <w:pBdr>
          <w:left w:val="single" w:color="F59E0B" w:sz="12"/>
        </w:pBdr>
        <w:shd w:fill="FFFBEB" w:val="clear"/>
        <w:spacing w:after="120" w:before="0"/>
        <w:ind w:left="200"/>
      </w:pPr>
      <w:r>
        <w:rPr>
          <w:color w:val="92400E"/>
        </w:rPr>
        <w:t xml:space="preserve">These are the things reviewers actually send tasks back for. They are all avoidable, and none of them are about expertise. Consistently good tasks are what get you promoted.</w:t>
      </w:r>
    </w:p>
    <w:p>
      <w:pPr>
        <w:pStyle w:val="ListParagraph"/>
        <w:numPr>
          <w:ilvl w:val="0"/>
          <w:numId w:val="2"/>
        </w:numPr>
        <w:spacing w:after="60" w:before="60"/>
      </w:pPr>
      <w:r>
        <w:rPr>
          <w:b/>
          <w:bCs/>
        </w:rPr>
        <w:t xml:space="preserve">Vague, shallow rationales. </w:t>
      </w:r>
      <w:r>
        <w:t xml:space="preserve">This is the number one issue. Name the slide, cell, or section, state the issue, and say why it matters.</w:t>
      </w:r>
    </w:p>
    <w:p>
      <w:pPr>
        <w:pStyle w:val="ListParagraph"/>
        <w:numPr>
          <w:ilvl w:val="0"/>
          <w:numId w:val="2"/>
        </w:numPr>
        <w:spacing w:after="60" w:before="60"/>
      </w:pPr>
      <w:r>
        <w:rPr>
          <w:b/>
          <w:bCs/>
        </w:rPr>
        <w:t xml:space="preserve">Scores that do not match the rationale or the ranking. </w:t>
      </w:r>
      <w:r>
        <w:t xml:space="preserve">Any score below the top needs a stated weakness, a top score cannot sit next to flaws you listed, and the number one response must have the top score.</w:t>
      </w:r>
    </w:p>
    <w:p>
      <w:pPr>
        <w:pStyle w:val="ListParagraph"/>
        <w:numPr>
          <w:ilvl w:val="0"/>
          <w:numId w:val="2"/>
        </w:numPr>
        <w:spacing w:after="60" w:before="60"/>
      </w:pPr>
      <w:r>
        <w:rPr>
          <w:b/>
          <w:bCs/>
        </w:rPr>
        <w:t xml:space="preserve">Claiming outside your domain. </w:t>
      </w:r>
      <w:r>
        <w:t xml:space="preserve">This gets reported and reassigned every time.</w:t>
      </w:r>
    </w:p>
    <w:p>
      <w:pPr>
        <w:pStyle w:val="ListParagraph"/>
        <w:numPr>
          <w:ilvl w:val="0"/>
          <w:numId w:val="2"/>
        </w:numPr>
        <w:spacing w:after="60" w:before="60"/>
      </w:pPr>
      <w:r>
        <w:rPr>
          <w:b/>
          <w:bCs/>
        </w:rPr>
        <w:t xml:space="preserve">Mixing up the axes. </w:t>
      </w:r>
      <w:r>
        <w:t xml:space="preserve">Editability is the most misunderstood one. It is about whether the file is editable, not whether the content is good.</w:t>
      </w:r>
    </w:p>
    <w:p>
      <w:pPr>
        <w:pStyle w:val="ListParagraph"/>
        <w:numPr>
          <w:ilvl w:val="0"/>
          <w:numId w:val="2"/>
        </w:numPr>
        <w:spacing w:after="60" w:before="60"/>
      </w:pPr>
      <w:r>
        <w:rPr>
          <w:b/>
          <w:bCs/>
        </w:rPr>
        <w:t xml:space="preserve">Paragraphs instead of bullets. </w:t>
      </w:r>
      <w:r>
        <w:t xml:space="preserve">Rationales should be short bullets, one point each.</w:t>
      </w:r>
    </w:p>
    <w:p>
      <w:pPr>
        <w:pStyle w:val="ListParagraph"/>
        <w:numPr>
          <w:ilvl w:val="0"/>
          <w:numId w:val="2"/>
        </w:numPr>
        <w:spacing w:after="60" w:before="60"/>
      </w:pPr>
      <w:r>
        <w:rPr>
          <w:b/>
          <w:bCs/>
        </w:rPr>
        <w:t xml:space="preserve">Missing clear errors. </w:t>
      </w:r>
      <w:r>
        <w:t xml:space="preserve">Overlaps, off-template colors, and broken or hardcoded formulas. Open every file, zoom in, and click into the formulas.</w:t>
      </w:r>
    </w:p>
    <w:p>
      <w:pPr>
        <w:pStyle w:val="ListParagraph"/>
        <w:numPr>
          <w:ilvl w:val="0"/>
          <w:numId w:val="2"/>
        </w:numPr>
        <w:spacing w:after="60" w:before="60"/>
      </w:pPr>
      <w:r>
        <w:rPr>
          <w:b/>
          <w:bCs/>
        </w:rPr>
        <w:t xml:space="preserve">Scoring template-following backwards. </w:t>
      </w:r>
      <w:r>
        <w:t xml:space="preserve">Score how faithfully it followed the template, not how much it "improved" on it.</w:t>
      </w:r>
    </w:p>
    <w:p>
      <w:pPr>
        <w:pStyle w:val="ListParagraph"/>
        <w:numPr>
          <w:ilvl w:val="0"/>
          <w:numId w:val="2"/>
        </w:numPr>
        <w:spacing w:after="60" w:before="60"/>
      </w:pPr>
      <w:r>
        <w:rPr>
          <w:b/>
          <w:bCs/>
        </w:rPr>
        <w:t xml:space="preserve">Wrong app, or false "corrupted" reports. </w:t>
      </w:r>
      <w:r>
        <w:t xml:space="preserve">Review in the right Microsoft 365 app in Light Mode, and run the repair steps first.</w:t>
      </w:r>
    </w:p>
    <w:p>
      <w:pPr>
        <w:pStyle w:val="ListParagraph"/>
        <w:numPr>
          <w:ilvl w:val="0"/>
          <w:numId w:val="2"/>
        </w:numPr>
        <w:spacing w:after="60" w:before="60"/>
      </w:pPr>
      <w:r>
        <w:rPr>
          <w:b/>
          <w:bCs/>
        </w:rPr>
        <w:t xml:space="preserve">Comparing responses inside a single rationale. </w:t>
      </w:r>
      <w:r>
        <w:t xml:space="preserve">Comparisons belong only in the final ranking.</w:t>
      </w:r>
    </w:p>
    <w:p>
      <w:pPr>
        <w:pStyle w:val="ListParagraph"/>
        <w:numPr>
          <w:ilvl w:val="0"/>
          <w:numId w:val="2"/>
        </w:numPr>
        <w:spacing w:after="60" w:before="60"/>
      </w:pPr>
      <w:r>
        <w:rPr>
          <w:b/>
          <w:bCs/>
        </w:rPr>
        <w:t xml:space="preserve">Using AI for any part of a task. </w:t>
      </w:r>
      <w:r>
        <w:t xml:space="preserve">This is not allowed, it is monitored, and it leads to offboarding.</w:t>
      </w:r>
    </w:p>
    <w:p>
      <w:r>
        <w:br w:type="page"/>
      </w:r>
    </w:p>
    <w:p>
      <w:pPr>
        <w:spacing w:after="160" w:before="0"/>
      </w:pPr>
      <w:r>
        <w:rPr>
          <w:b/>
          <w:bCs/>
          <w:color w:val="6B46C1"/>
          <w:sz w:val="56"/>
          <w:szCs w:val="56"/>
        </w:rPr>
        <w:t xml:space="preserve">12</w:t>
      </w:r>
      <w:r>
        <w:rPr>
          <w:b w:val="false"/>
          <w:bCs w:val="false"/>
          <w:caps/>
          <w:color w:val="6B46C1"/>
          <w:sz w:val="22"/>
          <w:szCs w:val="22"/>
        </w:rPr>
        <w:t xml:space="preserve">  ·  BROKEN FILES</w:t>
      </w:r>
    </w:p>
    <w:p>
      <w:pPr>
        <w:pStyle w:val="Heading1"/>
        <w:spacing w:after="200" w:before="0"/>
      </w:pPr>
      <w:r>
        <w:t xml:space="preserve">Escalation is a last resort.</w:t>
      </w:r>
    </w:p>
    <w:p>
      <w:pPr>
        <w:pBdr>
          <w:left w:val="single" w:color="3B82F6" w:sz="12"/>
        </w:pBdr>
        <w:shd w:fill="EFF6FF" w:val="clear"/>
        <w:spacing w:after="0" w:before="120"/>
        <w:ind w:left="200"/>
      </w:pPr>
      <w:r>
        <w:rPr>
          <w:b/>
          <w:bCs/>
          <w:color w:val="1D4ED8"/>
        </w:rPr>
        <w:t xml:space="preserve">ℹ Corrupted file? Try this first.</w:t>
      </w:r>
    </w:p>
    <w:p>
      <w:pPr>
        <w:pBdr>
          <w:left w:val="single" w:color="3B82F6" w:sz="12"/>
        </w:pBdr>
        <w:shd w:fill="EFF6FF" w:val="clear"/>
        <w:spacing w:after="120" w:before="0"/>
        <w:ind w:left="200"/>
      </w:pPr>
      <w:r>
        <w:rPr>
          <w:color w:val="1E40AF"/>
        </w:rPr>
        <w:t xml:space="preserve">Download the file, move it out of Downloads to your Desktop, and open it from there in the native Office app. If it asks, click Repair. If it opens, keep going. If it is still broken, post in #vault-helpdesk so someone else can try. Then flag your project leads (the EPMs) with the task link, who could and could not open it, your operating system, your app setup, and the steps you tried.</w:t>
      </w:r>
    </w:p>
    <w:p>
      <w:pPr>
        <w:spacing w:after="80" w:before="80"/>
      </w:pPr>
      <w:r>
        <w:t xml:space="preserve">An artifact that opens but is missing content is reviewed as is and scored down. It is not corrupted. Only a file you truly cannot open is corrupted. In that case, give a short explanation and skip the other ratings for that response.</w:t>
      </w:r>
    </w:p>
    <w:p>
      <w:pPr>
        <w:pStyle w:val="Heading2"/>
        <w:spacing w:after="100" w:before="220"/>
      </w:pPr>
      <w:r>
        <w:t xml:space="preserve">When to Escalate</w:t>
      </w:r>
    </w:p>
    <w:p>
      <w:pPr>
        <w:pStyle w:val="ListParagraph"/>
        <w:numPr>
          <w:ilvl w:val="0"/>
          <w:numId w:val="2"/>
        </w:numPr>
        <w:spacing w:after="60" w:before="60"/>
      </w:pPr>
      <w:r>
        <w:t xml:space="preserve">An input file is referenced but missing.</w:t>
      </w:r>
    </w:p>
    <w:p>
      <w:pPr>
        <w:pStyle w:val="ListParagraph"/>
        <w:numPr>
          <w:ilvl w:val="0"/>
          <w:numId w:val="2"/>
        </w:numPr>
        <w:spacing w:after="60" w:before="60"/>
      </w:pPr>
      <w:r>
        <w:t xml:space="preserve">The requested change is already applied in the input.</w:t>
      </w:r>
    </w:p>
    <w:p>
      <w:pPr>
        <w:pStyle w:val="ListParagraph"/>
        <w:numPr>
          <w:ilvl w:val="0"/>
          <w:numId w:val="2"/>
        </w:numPr>
        <w:spacing w:after="60" w:before="60"/>
      </w:pPr>
      <w:r>
        <w:t xml:space="preserve">The request has no topic and the responses go different ways.</w:t>
      </w:r>
    </w:p>
    <w:p>
      <w:pPr>
        <w:pStyle w:val="ListParagraph"/>
        <w:numPr>
          <w:ilvl w:val="0"/>
          <w:numId w:val="2"/>
        </w:numPr>
        <w:spacing w:after="60" w:before="60"/>
      </w:pPr>
      <w:r>
        <w:t xml:space="preserve">The artifact is in a language you cannot read.</w:t>
      </w:r>
    </w:p>
    <w:p>
      <w:pPr>
        <w:pStyle w:val="ListParagraph"/>
        <w:numPr>
          <w:ilvl w:val="0"/>
          <w:numId w:val="2"/>
        </w:numPr>
        <w:spacing w:after="60" w:before="60"/>
      </w:pPr>
      <w:r>
        <w:t xml:space="preserve">Two or more files are still corrupted after the repair steps.</w:t>
      </w:r>
    </w:p>
    <w:p>
      <w:pPr>
        <w:pStyle w:val="ListParagraph"/>
        <w:numPr>
          <w:ilvl w:val="0"/>
          <w:numId w:val="2"/>
        </w:numPr>
        <w:spacing w:after="60" w:before="60"/>
      </w:pPr>
      <w:r>
        <w:t xml:space="preserve">A response has two or more separate outputs or files when the request asked for a single artifact.</w:t>
      </w:r>
    </w:p>
    <w:p>
      <w:pPr>
        <w:pStyle w:val="Heading2"/>
        <w:spacing w:after="100" w:before="220"/>
      </w:pPr>
      <w:r>
        <w:t xml:space="preserve">When NOT to Escalate</w:t>
      </w:r>
    </w:p>
    <w:p>
      <w:pPr>
        <w:pStyle w:val="ListParagraph"/>
        <w:numPr>
          <w:ilvl w:val="0"/>
          <w:numId w:val="2"/>
        </w:numPr>
        <w:spacing w:after="60" w:before="60"/>
      </w:pPr>
      <w:r>
        <w:t xml:space="preserve">The output ignores the prompt — that is just a low instruction-following score.</w:t>
      </w:r>
    </w:p>
    <w:p>
      <w:pPr>
        <w:pStyle w:val="ListParagraph"/>
        <w:numPr>
          <w:ilvl w:val="0"/>
          <w:numId w:val="2"/>
        </w:numPr>
        <w:spacing w:after="60" w:before="60"/>
      </w:pPr>
      <w:r>
        <w:t xml:space="preserve">The quality is poor — score it.</w:t>
      </w:r>
    </w:p>
    <w:p>
      <w:pPr>
        <w:pStyle w:val="ListParagraph"/>
        <w:numPr>
          <w:ilvl w:val="0"/>
          <w:numId w:val="2"/>
        </w:numPr>
        <w:spacing w:after="60" w:before="60"/>
      </w:pPr>
      <w:r>
        <w:t xml:space="preserve">One file is bad and you have not tried the repair steps yet.</w:t>
      </w:r>
    </w:p>
    <w:p>
      <w:r>
        <w:br w:type="page"/>
      </w:r>
    </w:p>
    <w:p>
      <w:pPr>
        <w:spacing w:after="160" w:before="0"/>
      </w:pPr>
      <w:r>
        <w:rPr>
          <w:b/>
          <w:bCs/>
          <w:color w:val="6B46C1"/>
          <w:sz w:val="56"/>
          <w:szCs w:val="56"/>
        </w:rPr>
        <w:t xml:space="preserve">13</w:t>
      </w:r>
      <w:r>
        <w:rPr>
          <w:b w:val="false"/>
          <w:bCs w:val="false"/>
          <w:caps/>
          <w:color w:val="6B46C1"/>
          <w:sz w:val="22"/>
          <w:szCs w:val="22"/>
        </w:rPr>
        <w:t xml:space="preserve">  ·  CHECKLIST</w:t>
      </w:r>
    </w:p>
    <w:p>
      <w:pPr>
        <w:pStyle w:val="Heading1"/>
        <w:spacing w:after="200" w:before="0"/>
      </w:pPr>
      <w:r>
        <w:t xml:space="preserve">Run this before every submission.</w:t>
      </w:r>
    </w:p>
    <w:p>
      <w:pPr>
        <w:pStyle w:val="Heading2"/>
        <w:spacing w:after="100" w:before="220"/>
      </w:pPr>
      <w:r>
        <w:t xml:space="preserve">Submission Checklist</w:t>
      </w:r>
    </w:p>
    <w:p>
      <w:pPr>
        <w:pStyle w:val="ListParagraph"/>
        <w:numPr>
          <w:ilvl w:val="0"/>
          <w:numId w:val="2"/>
        </w:numPr>
        <w:spacing w:after="60" w:before="60"/>
      </w:pPr>
      <w:r>
        <w:t xml:space="preserve">Read the prompt, all the sources, and the Full Summary Report (the page with background details about the task).</w:t>
      </w:r>
    </w:p>
    <w:p>
      <w:pPr>
        <w:pStyle w:val="ListParagraph"/>
        <w:numPr>
          <w:ilvl w:val="0"/>
          <w:numId w:val="2"/>
        </w:numPr>
        <w:spacing w:after="60" w:before="60"/>
      </w:pPr>
      <w:r>
        <w:t xml:space="preserve">Reviewed every response fully, in the right app (Office, Light Mode).</w:t>
      </w:r>
    </w:p>
    <w:p>
      <w:pPr>
        <w:pStyle w:val="ListParagraph"/>
        <w:numPr>
          <w:ilvl w:val="0"/>
          <w:numId w:val="2"/>
        </w:numPr>
        <w:spacing w:after="60" w:before="60"/>
      </w:pPr>
      <w:r>
        <w:t xml:space="preserve">Checked the facts, and tested the key formulas for Sheets.</w:t>
      </w:r>
    </w:p>
    <w:p>
      <w:pPr>
        <w:pStyle w:val="ListParagraph"/>
        <w:numPr>
          <w:ilvl w:val="0"/>
          <w:numId w:val="2"/>
        </w:numPr>
        <w:spacing w:after="60" w:before="60"/>
      </w:pPr>
      <w:r>
        <w:t xml:space="preserve">Scored every dimension on its own.</w:t>
      </w:r>
    </w:p>
    <w:p>
      <w:pPr>
        <w:pStyle w:val="ListParagraph"/>
        <w:numPr>
          <w:ilvl w:val="0"/>
          <w:numId w:val="2"/>
        </w:numPr>
        <w:spacing w:after="60" w:before="60"/>
      </w:pPr>
      <w:r>
        <w:t xml:space="preserve">Rationales are short, on the right dimension, and have concrete examples.</w:t>
      </w:r>
    </w:p>
    <w:p>
      <w:pPr>
        <w:pStyle w:val="ListParagraph"/>
        <w:numPr>
          <w:ilvl w:val="0"/>
          <w:numId w:val="2"/>
        </w:numPr>
        <w:spacing w:after="60" w:before="60"/>
      </w:pPr>
      <w:r>
        <w:t xml:space="preserve">Picked a preferred response for a specific reason, and the ranking matches the scores.</w:t>
      </w:r>
    </w:p>
    <w:p>
      <w:pPr>
        <w:pStyle w:val="ListParagraph"/>
        <w:numPr>
          <w:ilvl w:val="0"/>
          <w:numId w:val="2"/>
        </w:numPr>
        <w:spacing w:after="60" w:before="60"/>
      </w:pPr>
      <w:r>
        <w:t xml:space="preserve">Check your overall ranking corresponds to the Overall score assigned to each response.</w:t>
      </w:r>
    </w:p>
    <w:p>
      <w:pPr>
        <w:pStyle w:val="ListParagraph"/>
        <w:numPr>
          <w:ilvl w:val="0"/>
          <w:numId w:val="2"/>
        </w:numPr>
        <w:spacing w:after="60" w:before="60"/>
      </w:pPr>
      <w:r>
        <w:t xml:space="preserve">Spelling and grammar are clean, with AI features off.</w:t>
      </w:r>
    </w:p>
    <w:p>
      <w:pPr>
        <w:pStyle w:val="ListParagraph"/>
        <w:numPr>
          <w:ilvl w:val="0"/>
          <w:numId w:val="2"/>
        </w:numPr>
        <w:spacing w:after="60" w:before="60"/>
      </w:pPr>
      <w:r>
        <w:t xml:space="preserve">Checked whether charts and tables are editable objects, not images.</w:t>
      </w:r>
    </w:p>
    <w:p>
      <w:pPr>
        <w:pStyle w:val="ListParagraph"/>
        <w:numPr>
          <w:ilvl w:val="0"/>
          <w:numId w:val="2"/>
        </w:numPr>
        <w:spacing w:after="60" w:before="60"/>
      </w:pPr>
      <w:r>
        <w:t xml:space="preserve">Every score below 7 names a specific defect.</w:t>
      </w:r>
    </w:p>
    <w:p>
      <w:pPr>
        <w:pStyle w:val="ListParagraph"/>
        <w:numPr>
          <w:ilvl w:val="0"/>
          <w:numId w:val="2"/>
        </w:numPr>
        <w:spacing w:after="60" w:before="60"/>
      </w:pPr>
      <w:r>
        <w:t xml:space="preserve">Overall reflects the whole artifact — a 7 needs every sub-axis at 7, but a single low sub-axis doesn't force a low Overall.</w:t>
      </w:r>
    </w:p>
    <w:p>
      <w:pPr>
        <w:pStyle w:val="ListParagraph"/>
        <w:numPr>
          <w:ilvl w:val="0"/>
          <w:numId w:val="2"/>
        </w:numPr>
        <w:spacing w:after="60" w:before="60"/>
      </w:pPr>
      <w:r>
        <w:t xml:space="preserve">Re-read the user prompt before penalizing anything.</w:t>
      </w:r>
    </w:p>
    <w:p>
      <w:pPr>
        <w:pStyle w:val="ListParagraph"/>
        <w:numPr>
          <w:ilvl w:val="0"/>
          <w:numId w:val="2"/>
        </w:numPr>
        <w:spacing w:after="60" w:before="60"/>
      </w:pPr>
      <w:r>
        <w:t xml:space="preserve">Confirmed the task is in my approved domain.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b/>
      <w:bCs/>
      <w:color w:val="111827"/>
      <w:sz w:val="34"/>
      <w:szCs w:val="34"/>
    </w:rPr>
  </w:style>
  <w:style w:type="paragraph" w:styleId="Heading2">
    <w:name w:val="Heading 2"/>
    <w:basedOn w:val="Normal"/>
    <w:next w:val="Normal"/>
    <w:pPr>
      <w:spacing w:after="100" w:before="240"/>
    </w:pPr>
    <w:rPr>
      <w:b/>
      <w:bCs/>
      <w:color w:val="374151"/>
      <w:sz w:val="26"/>
      <w:szCs w:val="26"/>
    </w:rPr>
  </w:style>
  <w:style w:type="paragraph" w:styleId="Heading3">
    <w:name w:val="Heading 3"/>
    <w:basedOn w:val="Normal"/>
    <w:next w:val="Normal"/>
    <w:pPr>
      <w:spacing w:after="80" w:before="180"/>
    </w:pPr>
    <w:rPr>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2026-08-15T03:06:39.309Z</dcterms:created>
  <dcterms:modified xsi:type="dcterms:W3CDTF">2026-08-15T03:06:39.328Z</dcterms:modified>
</cp:coreProperties>
</file>

<file path=docProps/custom.xml><?xml version="1.0" encoding="utf-8"?>
<Properties xmlns="http://schemas.openxmlformats.org/officeDocument/2006/custom-properties" xmlns:vt="http://schemas.openxmlformats.org/officeDocument/2006/docPropsVTypes"/>
</file>