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0B981"/>
          <w:sz w:val="20"/>
        </w:rPr>
        <w:t>BIRGENAI  ·  PRODUCT BLUEPRINT</w:t>
      </w:r>
    </w:p>
    <w:p>
      <w:pPr>
        <w:spacing w:before="0" w:after="0"/>
      </w:pPr>
      <w:r>
        <w:rPr>
          <w:rFonts w:ascii="Calibri" w:hAnsi="Calibri"/>
          <w:b/>
          <w:i w:val="0"/>
          <w:color w:val="065F46"/>
          <w:sz w:val="76"/>
        </w:rPr>
        <w:t>Micro Eazy</w:t>
      </w:r>
    </w:p>
    <w:p>
      <w:pPr>
        <w:spacing w:before="0" w:after="280"/>
      </w:pPr>
      <w:r>
        <w:rPr>
          <w:rFonts w:ascii="Calibri" w:hAnsi="Calibri"/>
          <w:b w:val="0"/>
          <w:i w:val="0"/>
          <w:color w:val="5A5A5A"/>
          <w:sz w:val="26"/>
        </w:rPr>
        <w:t>A two-sided credit ecosystem — and the plan to put Micromart at the centre of it</w:t>
      </w:r>
    </w:p>
    <w:p>
      <w:pPr>
        <w:pBdr>
          <w:bottom w:val="single" w:sz="12" w:space="1" w:color="065F46"/>
        </w:pBdr>
        <w:spacing w:after="120"/>
      </w:pPr>
    </w:p>
    <w:p>
      <w:pPr>
        <w:spacing w:before="0" w:after="20"/>
      </w:pPr>
      <w:r>
        <w:rPr>
          <w:rFonts w:ascii="Calibri" w:hAnsi="Calibri"/>
          <w:b/>
          <w:i w:val="0"/>
          <w:color w:val="1A1A1A"/>
          <w:sz w:val="21"/>
        </w:rPr>
        <w:t>Emmanuel Birgen  ·  Founder, BirgenAI</w:t>
      </w:r>
    </w:p>
    <w:p>
      <w:pPr>
        <w:spacing w:before="0" w:after="20"/>
      </w:pPr>
      <w:r>
        <w:rPr>
          <w:rFonts w:ascii="Calibri" w:hAnsi="Calibri"/>
          <w:b w:val="0"/>
          <w:i w:val="0"/>
          <w:color w:val="5A5A5A"/>
          <w:sz w:val="19"/>
        </w:rPr>
        <w:t>Anchor lender: Micromart Africa Limited  ·  Board presentation: week of 10 August 2026</w:t>
      </w:r>
    </w:p>
    <w:p>
      <w:pPr>
        <w:spacing w:before="0" w:after="320"/>
      </w:pPr>
      <w:r>
        <w:rPr>
          <w:rFonts w:ascii="Calibri" w:hAnsi="Calibri"/>
          <w:b w:val="0"/>
          <w:i w:val="0"/>
          <w:color w:val="5A5A5A"/>
          <w:sz w:val="19"/>
        </w:rPr>
        <w:t>5 August 2026  ·  Version 1.0  ·  Grounded in a live read of the platform database</w:t>
      </w:r>
    </w:p>
    <w:p>
      <w:pPr>
        <w:spacing w:before="0" w:after="60"/>
      </w:pPr>
      <w:r>
        <w:rPr>
          <w:rFonts w:ascii="Calibri" w:hAnsi="Calibri"/>
          <w:b/>
          <w:i w:val="0"/>
          <w:color w:val="10B981"/>
          <w:sz w:val="18"/>
        </w:rPr>
        <w:t>HOW TO READ THIS DOCUMENT</w:t>
      </w:r>
    </w:p>
    <w:p>
      <w:pPr>
        <w:spacing w:after="60"/>
        <w:ind w:left="482"/>
      </w:pPr>
      <w:r>
        <w:rPr>
          <w:rFonts w:ascii="Calibri" w:hAnsi="Calibri"/>
          <w:color w:val="10B981"/>
          <w:sz w:val="21"/>
        </w:rPr>
        <w:t xml:space="preserve">•   </w:t>
      </w:r>
      <w:r>
        <w:rPr>
          <w:rFonts w:ascii="Calibri" w:hAnsi="Calibri"/>
          <w:b/>
          <w:color w:val="1A1A1A"/>
          <w:sz w:val="21"/>
        </w:rPr>
        <w:t xml:space="preserve">Sections 1–4 can be </w:t>
      </w:r>
      <w:r>
        <w:rPr>
          <w:rFonts w:ascii="Calibri" w:hAnsi="Calibri"/>
          <w:color w:val="1A1A1A"/>
          <w:sz w:val="21"/>
        </w:rPr>
        <w:t>read cold by anyone on the Micromart board. No engineering knowledge assumed.</w:t>
      </w:r>
    </w:p>
    <w:p>
      <w:pPr>
        <w:spacing w:after="60"/>
        <w:ind w:left="482"/>
      </w:pPr>
      <w:r>
        <w:rPr>
          <w:rFonts w:ascii="Calibri" w:hAnsi="Calibri"/>
          <w:color w:val="10B981"/>
          <w:sz w:val="21"/>
        </w:rPr>
        <w:t xml:space="preserve">•   </w:t>
      </w:r>
      <w:r>
        <w:rPr>
          <w:rFonts w:ascii="Calibri" w:hAnsi="Calibri"/>
          <w:b/>
          <w:color w:val="1A1A1A"/>
          <w:sz w:val="21"/>
        </w:rPr>
        <w:t xml:space="preserve">Sections 5–12 are </w:t>
      </w:r>
      <w:r>
        <w:rPr>
          <w:rFonts w:ascii="Calibri" w:hAnsi="Calibri"/>
          <w:color w:val="1A1A1A"/>
          <w:sz w:val="21"/>
        </w:rPr>
        <w:t>the engineering contract — what gets built, in what order, and against which files.</w:t>
      </w:r>
    </w:p>
    <w:p>
      <w:pPr>
        <w:spacing w:after="60"/>
        <w:ind w:left="482"/>
      </w:pPr>
      <w:r>
        <w:rPr>
          <w:rFonts w:ascii="Calibri" w:hAnsi="Calibri"/>
          <w:color w:val="10B981"/>
          <w:sz w:val="21"/>
        </w:rPr>
        <w:t xml:space="preserve">•   </w:t>
      </w:r>
      <w:r>
        <w:rPr>
          <w:rFonts w:ascii="Calibri" w:hAnsi="Calibri"/>
          <w:b/>
          <w:color w:val="1A1A1A"/>
          <w:sz w:val="21"/>
        </w:rPr>
        <w:t xml:space="preserve">Green-barred lines </w:t>
      </w:r>
      <w:r>
        <w:rPr>
          <w:rFonts w:ascii="Calibri" w:hAnsi="Calibri"/>
          <w:color w:val="1A1A1A"/>
          <w:sz w:val="21"/>
        </w:rPr>
        <w:t>are things we are standing behind, or words to say in the room.</w:t>
      </w:r>
    </w:p>
    <w:p>
      <w:pPr>
        <w:spacing w:after="60"/>
        <w:ind w:left="482"/>
      </w:pPr>
      <w:r>
        <w:rPr>
          <w:rFonts w:ascii="Calibri" w:hAnsi="Calibri"/>
          <w:color w:val="10B981"/>
          <w:sz w:val="21"/>
        </w:rPr>
        <w:t xml:space="preserve">•   </w:t>
      </w:r>
      <w:r>
        <w:rPr>
          <w:rFonts w:ascii="Calibri" w:hAnsi="Calibri"/>
          <w:b/>
          <w:color w:val="1A1A1A"/>
          <w:sz w:val="21"/>
        </w:rPr>
        <w:t xml:space="preserve">Grey italics </w:t>
      </w:r>
      <w:r>
        <w:rPr>
          <w:rFonts w:ascii="Calibri" w:hAnsi="Calibri"/>
          <w:color w:val="1A1A1A"/>
          <w:sz w:val="21"/>
        </w:rPr>
        <w:t>are the reasoning — background, never to be read aloud.</w:t>
      </w:r>
    </w:p>
    <w:p>
      <w:pPr>
        <w:spacing w:after="60"/>
        <w:ind w:left="482"/>
      </w:pPr>
      <w:r>
        <w:rPr>
          <w:rFonts w:ascii="Calibri" w:hAnsi="Calibri"/>
          <w:color w:val="10B981"/>
          <w:sz w:val="21"/>
        </w:rPr>
        <w:t xml:space="preserve">•   </w:t>
      </w:r>
      <w:r>
        <w:rPr>
          <w:rFonts w:ascii="Calibri" w:hAnsi="Calibri"/>
          <w:color w:val="1A1A1A"/>
          <w:sz w:val="21"/>
        </w:rPr>
        <w:t>Every claim about what already exists was verified against the running system on 5 August 2026, not recalled. Section 2 shows the evidence.</w:t>
      </w:r>
    </w:p>
    <w:p/>
    <w:p>
      <w:pPr>
        <w:spacing w:before="0" w:after="60"/>
      </w:pPr>
      <w:r>
        <w:rPr>
          <w:rFonts w:ascii="Calibri" w:hAnsi="Calibri"/>
          <w:b/>
          <w:i w:val="0"/>
          <w:color w:val="B02A2A"/>
          <w:sz w:val="18"/>
        </w:rPr>
        <w:t>THE ONE THING TO GET RIGHT</w:t>
      </w:r>
    </w:p>
    <w:p>
      <w:pPr>
        <w:spacing w:before="0" w:after="120"/>
      </w:pPr>
      <w:r>
        <w:rPr>
          <w:rFonts w:ascii="Calibri" w:hAnsi="Calibri"/>
          <w:b w:val="0"/>
          <w:i w:val="0"/>
          <w:color w:val="1A1A1A"/>
          <w:sz w:val="21"/>
        </w:rPr>
        <w:t>Micromart has already built Micro Eazy. It is live, correctly configured, and it has two loans on it. We are not selling them a product, a system, or a migration. We are selling them the pipeline for the product they already own — and asking for nothing back except the shelf. Every technical decision in this document exists to make that sentence true and safe. If a thread stops serving it, drop the thread.</w:t>
      </w:r>
    </w:p>
    <w:p>
      <w:r>
        <w:br w:type="page"/>
      </w:r>
    </w:p>
    <w:p>
      <w:pPr>
        <w:spacing w:after="40"/>
      </w:pPr>
      <w:r>
        <w:rPr>
          <w:rFonts w:ascii="Calibri" w:hAnsi="Calibri"/>
          <w:b/>
          <w:color w:val="10B981"/>
          <w:sz w:val="22"/>
        </w:rPr>
        <w:t>1</w:t>
      </w:r>
      <w:r>
        <w:rPr>
          <w:rFonts w:ascii="Calibri" w:hAnsi="Calibri"/>
          <w:b/>
          <w:color w:val="065F46"/>
          <w:sz w:val="34"/>
        </w:rPr>
        <w:t xml:space="preserve">   The proposition</w:t>
      </w:r>
    </w:p>
    <w:p>
      <w:pPr>
        <w:pBdr>
          <w:bottom w:val="single" w:sz="6" w:space="1" w:color="DDDDDD"/>
        </w:pBdr>
        <w:spacing w:after="120"/>
      </w:pPr>
    </w:p>
    <w:p>
      <w:pPr>
        <w:spacing w:before="220" w:after="60"/>
      </w:pPr>
      <w:r>
        <w:rPr>
          <w:rFonts w:ascii="Calibri" w:hAnsi="Calibri"/>
          <w:b/>
          <w:color w:val="065F46"/>
          <w:sz w:val="24"/>
        </w:rPr>
        <w:t>What Micro Eazy is</w:t>
      </w:r>
    </w:p>
    <w:p>
      <w:pPr>
        <w:spacing w:before="0" w:after="80"/>
      </w:pPr>
      <w:r>
        <w:rPr>
          <w:rFonts w:ascii="Calibri" w:hAnsi="Calibri"/>
          <w:b w:val="0"/>
          <w:i w:val="0"/>
          <w:color w:val="1A1A1A"/>
          <w:sz w:val="21"/>
        </w:rPr>
        <w:t>Micro Eazy is a two-sided credit ecosystem.</w:t>
      </w:r>
    </w:p>
    <w:p>
      <w:pPr>
        <w:spacing w:after="60"/>
        <w:ind w:left="482"/>
      </w:pPr>
      <w:r>
        <w:rPr>
          <w:rFonts w:ascii="Calibri" w:hAnsi="Calibri"/>
          <w:color w:val="10B981"/>
          <w:sz w:val="21"/>
        </w:rPr>
        <w:t xml:space="preserve">•   </w:t>
      </w:r>
      <w:r>
        <w:rPr>
          <w:rFonts w:ascii="Calibri" w:hAnsi="Calibri"/>
          <w:b/>
          <w:color w:val="1A1A1A"/>
          <w:sz w:val="21"/>
        </w:rPr>
        <w:t xml:space="preserve">On the lender side, </w:t>
      </w:r>
      <w:r>
        <w:rPr>
          <w:rFonts w:ascii="Calibri" w:hAnsi="Calibri"/>
          <w:color w:val="1A1A1A"/>
          <w:sz w:val="21"/>
        </w:rPr>
        <w:t>licensed lenders run their entire business on the BirgenAI Super LMS — origination, scoring, workflow, disbursement, collections, field operations, accounting, HR and the call centre — under one sign-on.</w:t>
      </w:r>
    </w:p>
    <w:p>
      <w:pPr>
        <w:spacing w:after="60"/>
        <w:ind w:left="482"/>
      </w:pPr>
      <w:r>
        <w:rPr>
          <w:rFonts w:ascii="Calibri" w:hAnsi="Calibri"/>
          <w:color w:val="10B981"/>
          <w:sz w:val="21"/>
        </w:rPr>
        <w:t xml:space="preserve">•   </w:t>
      </w:r>
      <w:r>
        <w:rPr>
          <w:rFonts w:ascii="Calibri" w:hAnsi="Calibri"/>
          <w:b/>
          <w:color w:val="1A1A1A"/>
          <w:sz w:val="21"/>
        </w:rPr>
        <w:t xml:space="preserve">On the customer side, </w:t>
      </w:r>
      <w:r>
        <w:rPr>
          <w:rFonts w:ascii="Calibri" w:hAnsi="Calibri"/>
          <w:color w:val="1A1A1A"/>
          <w:sz w:val="21"/>
        </w:rPr>
        <w:t>Kenyans install one app, Micro Eazy, from the BirgenAI Hub app store, verify themselves once, and are routed to a licensed lender who funds them.</w:t>
      </w:r>
    </w:p>
    <w:p>
      <w:pPr>
        <w:spacing w:before="80" w:after="80"/>
      </w:pPr>
      <w:r>
        <w:rPr>
          <w:rFonts w:ascii="Calibri" w:hAnsi="Calibri"/>
          <w:b w:val="0"/>
          <w:i w:val="0"/>
          <w:color w:val="1A1A1A"/>
          <w:sz w:val="21"/>
        </w:rPr>
        <w:t>BirgenAI never lends. The licensed lender is always lender-of-record, named on every money screen, every offer and every agreement. What BirgenAI owns is the customer relationship, the verified identity, the intelligence and the rails.</w:t>
      </w:r>
    </w:p>
    <w:p>
      <w:pPr>
        <w:spacing w:before="220" w:after="60"/>
      </w:pPr>
      <w:r>
        <w:rPr>
          <w:rFonts w:ascii="Calibri" w:hAnsi="Calibri"/>
          <w:b/>
          <w:color w:val="065F46"/>
          <w:sz w:val="24"/>
        </w:rPr>
        <w:t>Why Micromart, and why now</w:t>
      </w:r>
    </w:p>
    <w:p>
      <w:pPr>
        <w:spacing w:before="0" w:after="80"/>
      </w:pPr>
      <w:r>
        <w:rPr>
          <w:rFonts w:ascii="Calibri" w:hAnsi="Calibri"/>
          <w:b w:val="0"/>
          <w:i w:val="0"/>
          <w:color w:val="1A1A1A"/>
          <w:sz w:val="21"/>
        </w:rPr>
        <w:t>Micromart’s own product screen makes the argument better than any slide could. Micro Eazy Monthly is live and correctly configured — 22% flat per month, two months, 6% processing fee, minimum credit score 500 — and it carries 2 loans and KES 144,000 outstanding.</w:t>
      </w:r>
    </w:p>
    <w:p>
      <w:pPr>
        <w:spacing w:before="80" w:after="120"/>
        <w:ind w:left="340"/>
        <w:pBdr>
          <w:left w:val="single" w:sz="18" w:space="8" w:color="10B981"/>
        </w:pBdr>
      </w:pPr>
      <w:r>
        <w:rPr>
          <w:rFonts w:ascii="Georgia" w:hAnsi="Georgia"/>
          <w:color w:val="1A1A1A"/>
          <w:sz w:val="22"/>
        </w:rPr>
        <w:t>“You have built Micro Eazy. We have built the machine that fills it. Same name, same product, same workflow you already approved — and from next week, a stream of verified, scored, geo-pinned, CRB-checked customers arriving in it every day.”</w:t>
      </w:r>
    </w:p>
    <w:p>
      <w:pPr>
        <w:spacing w:before="0" w:after="140"/>
        <w:ind w:left="340"/>
      </w:pPr>
      <w:r>
        <w:rPr>
          <w:rFonts w:ascii="Calibri" w:hAnsi="Calibri"/>
          <w:i/>
          <w:color w:val="8A8A8A"/>
          <w:sz w:val="18"/>
        </w:rPr>
        <w:t>Getting a licensed lender to pilot a credit platform is the hardest door in Kenyan fintech. It is open. Everything below is about walking through it without breaking a single thing they already run.</w:t>
      </w:r>
    </w:p>
    <w:p>
      <w:pPr>
        <w:spacing w:before="220" w:after="60"/>
      </w:pPr>
      <w:r>
        <w:rPr>
          <w:rFonts w:ascii="Calibri" w:hAnsi="Calibri"/>
          <w:b/>
          <w:color w:val="065F46"/>
          <w:sz w:val="24"/>
        </w:rPr>
        <w:t>What Micromart is being asked for</w:t>
      </w:r>
    </w:p>
    <w:p>
      <w:pPr>
        <w:spacing w:after="60"/>
        <w:ind w:left="482"/>
      </w:pPr>
      <w:r>
        <w:rPr>
          <w:rFonts w:ascii="Calibri" w:hAnsi="Calibri"/>
          <w:color w:val="10B981"/>
          <w:sz w:val="21"/>
        </w:rPr>
        <w:t xml:space="preserve">•   </w:t>
      </w:r>
      <w:r>
        <w:rPr>
          <w:rFonts w:ascii="Calibri" w:hAnsi="Calibri"/>
          <w:color w:val="1A1A1A"/>
          <w:sz w:val="21"/>
        </w:rPr>
        <w:t>Keep Micro Eazy and Micro Eazy Monthly active on their shelf.</w:t>
      </w:r>
    </w:p>
    <w:p>
      <w:pPr>
        <w:spacing w:after="60"/>
        <w:ind w:left="482"/>
      </w:pPr>
      <w:r>
        <w:rPr>
          <w:rFonts w:ascii="Calibri" w:hAnsi="Calibri"/>
          <w:color w:val="10B981"/>
          <w:sz w:val="21"/>
        </w:rPr>
        <w:t xml:space="preserve">•   </w:t>
      </w:r>
      <w:r>
        <w:rPr>
          <w:rFonts w:ascii="Calibri" w:hAnsi="Calibri"/>
          <w:color w:val="1A1A1A"/>
          <w:sz w:val="21"/>
        </w:rPr>
        <w:t>Accept applications that arrive in their existing Micro Eazy approval workflow, reviewed by their own officers, in their own system.</w:t>
      </w:r>
    </w:p>
    <w:p>
      <w:pPr>
        <w:spacing w:after="60"/>
        <w:ind w:left="482"/>
      </w:pPr>
      <w:r>
        <w:rPr>
          <w:rFonts w:ascii="Calibri" w:hAnsi="Calibri"/>
          <w:color w:val="10B981"/>
          <w:sz w:val="21"/>
        </w:rPr>
        <w:t xml:space="preserve">•   </w:t>
      </w:r>
      <w:r>
        <w:rPr>
          <w:rFonts w:ascii="Calibri" w:hAnsi="Calibri"/>
          <w:color w:val="1A1A1A"/>
          <w:sz w:val="21"/>
        </w:rPr>
        <w:t>Agree a launch appetite — loans per day and maximum exposure.</w:t>
      </w:r>
    </w:p>
    <w:p>
      <w:pPr>
        <w:spacing w:before="80" w:after="80"/>
      </w:pPr>
      <w:r>
        <w:rPr>
          <w:rFonts w:ascii="Calibri" w:hAnsi="Calibri"/>
          <w:b/>
          <w:i w:val="0"/>
          <w:color w:val="1A1A1A"/>
          <w:sz w:val="21"/>
        </w:rPr>
        <w:t>That is the whole ask. No migration, no new system for their staff to learn, no change to how money leaves their account.</w:t>
      </w:r>
    </w:p>
    <w:p>
      <w:r>
        <w:br w:type="page"/>
      </w:r>
    </w:p>
    <w:p>
      <w:pPr>
        <w:spacing w:after="40"/>
      </w:pPr>
      <w:r>
        <w:rPr>
          <w:rFonts w:ascii="Calibri" w:hAnsi="Calibri"/>
          <w:b/>
          <w:color w:val="10B981"/>
          <w:sz w:val="22"/>
        </w:rPr>
        <w:t>2</w:t>
      </w:r>
      <w:r>
        <w:rPr>
          <w:rFonts w:ascii="Calibri" w:hAnsi="Calibri"/>
          <w:b/>
          <w:color w:val="065F46"/>
          <w:sz w:val="34"/>
        </w:rPr>
        <w:t xml:space="preserve">   Where we actually are</w:t>
      </w:r>
    </w:p>
    <w:p>
      <w:pPr>
        <w:pBdr>
          <w:bottom w:val="single" w:sz="6" w:space="1" w:color="DDDDDD"/>
        </w:pBdr>
        <w:spacing w:after="120"/>
      </w:pPr>
    </w:p>
    <w:p>
      <w:pPr>
        <w:spacing w:before="0" w:after="140"/>
        <w:ind w:left="340"/>
      </w:pPr>
      <w:r>
        <w:rPr>
          <w:rFonts w:ascii="Calibri" w:hAnsi="Calibri"/>
          <w:i/>
          <w:color w:val="8A8A8A"/>
          <w:sz w:val="18"/>
        </w:rPr>
        <w:t>This section is evidence, not a status claim. Every line was probed against the live platform database and the running codebase on 5 August 2026.</w:t>
      </w:r>
    </w:p>
    <w:p>
      <w:pPr>
        <w:spacing w:before="220" w:after="60"/>
      </w:pPr>
      <w:r>
        <w:rPr>
          <w:rFonts w:ascii="Calibri" w:hAnsi="Calibri"/>
          <w:b/>
          <w:color w:val="065F46"/>
          <w:sz w:val="24"/>
        </w:rPr>
        <w:t>2.1  The lender realm — Super LMS</w:t>
      </w:r>
    </w:p>
    <w:p>
      <w:pPr>
        <w:spacing w:before="0" w:after="80"/>
      </w:pPr>
      <w:r>
        <w:rPr>
          <w:rFonts w:ascii="Calibri" w:hAnsi="Calibri"/>
          <w:b w:val="0"/>
          <w:i w:val="0"/>
          <w:color w:val="1A1A1A"/>
          <w:sz w:val="21"/>
        </w:rPr>
        <w:t>Next.js 16 · Prisma 7 · PostgreSQL with row-level security enforced inside the database, so tenant isolation is a database guarantee rather than a code-review promise. 62 data models. Thirteen console sections, roughly forty-five screens.</w:t>
      </w:r>
    </w:p>
    <w:tbl>
      <w:tblPr>
        <w:tblStyle w:val="TableGrid"/>
        <w:tblW w:type="auto" w:w="0"/>
        <w:jc w:val="left"/>
        <w:tblLook w:firstColumn="1" w:firstRow="1" w:lastColumn="0" w:lastRow="0" w:noHBand="0" w:noVBand="1" w:val="04A0"/>
      </w:tblPr>
      <w:tblGrid>
        <w:gridCol w:w="4873"/>
        <w:gridCol w:w="4873"/>
      </w:tblGrid>
      <w:tr>
        <w:tc>
          <w:tcPr>
            <w:tcW w:type="dxa" w:w="7143"/>
            <w:shd w:val="clear" w:fill="065F46"/>
          </w:tcPr>
          <w:p>
            <w:pPr>
              <w:spacing w:after="40" w:before="40"/>
            </w:pPr>
            <w:r/>
            <w:r>
              <w:rPr>
                <w:rFonts w:ascii="Calibri" w:hAnsi="Calibri"/>
                <w:b/>
                <w:color w:val="FFFFFF"/>
                <w:sz w:val="18"/>
              </w:rPr>
              <w:t>Capability</w:t>
            </w:r>
          </w:p>
        </w:tc>
        <w:tc>
          <w:tcPr>
            <w:tcW w:type="dxa" w:w="2381"/>
            <w:shd w:val="clear" w:fill="065F46"/>
          </w:tcPr>
          <w:p>
            <w:pPr>
              <w:spacing w:after="40" w:before="40"/>
            </w:pPr>
            <w:r/>
            <w:r>
              <w:rPr>
                <w:rFonts w:ascii="Calibri" w:hAnsi="Calibri"/>
                <w:b/>
                <w:color w:val="FFFFFF"/>
                <w:sz w:val="18"/>
              </w:rPr>
              <w:t>State</w:t>
            </w:r>
          </w:p>
        </w:tc>
      </w:tr>
      <w:tr>
        <w:tc>
          <w:tcPr>
            <w:tcW w:type="dxa" w:w="7143"/>
          </w:tcPr>
          <w:p>
            <w:pPr>
              <w:spacing w:after="40" w:before="40"/>
            </w:pPr>
            <w:r/>
            <w:r>
              <w:rPr>
                <w:rFonts w:ascii="Calibri" w:hAnsi="Calibri"/>
                <w:b/>
                <w:color w:val="1A1A1A"/>
                <w:sz w:val="19"/>
              </w:rPr>
              <w:t>Multi-tenant schema, RLS isolation</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Decision engine — 7 stages, reason codes on every stage, reproducible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Per-lender credit policy, declarative and versioned</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Product builder, versioning, published eligibility rules</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Workflow engine — stage tree, access tiers, OTP approvals, finalize caps</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M-Pesa statement cruncher and Internal Report</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Scoring: v2 bespoke (AUC 0.822), v3.1.1 pooled (0.823), v1 behavioural monitor</w:t>
            </w:r>
          </w:p>
        </w:tc>
        <w:tc>
          <w:tcPr>
            <w:tcW w:type="dxa" w:w="2381"/>
          </w:tcPr>
          <w:p>
            <w:pPr>
              <w:spacing w:after="40" w:before="40"/>
            </w:pPr>
            <w:r/>
            <w:r>
              <w:rPr>
                <w:rFonts w:ascii="Calibri" w:hAnsi="Calibri"/>
                <w:color w:val="1A1A1A"/>
                <w:sz w:val="19"/>
              </w:rPr>
              <w:t>LIVE</w:t>
            </w:r>
          </w:p>
        </w:tc>
      </w:tr>
      <w:tr>
        <w:tc>
          <w:tcPr>
            <w:tcW w:type="dxa" w:w="7143"/>
          </w:tcPr>
          <w:p>
            <w:pPr>
              <w:spacing w:after="40" w:before="40"/>
            </w:pPr>
            <w:r/>
            <w:r>
              <w:rPr>
                <w:rFonts w:ascii="Calibri" w:hAnsi="Calibri"/>
                <w:b/>
                <w:color w:val="1A1A1A"/>
                <w:sz w:val="19"/>
              </w:rPr>
              <w:t>Metropol CRB integration</w:t>
            </w:r>
          </w:p>
        </w:tc>
        <w:tc>
          <w:tcPr>
            <w:tcW w:type="dxa" w:w="2381"/>
          </w:tcPr>
          <w:p>
            <w:pPr>
              <w:spacing w:after="40" w:before="40"/>
            </w:pPr>
            <w:r/>
            <w:r>
              <w:rPr>
                <w:rFonts w:ascii="Calibri" w:hAnsi="Calibri"/>
                <w:color w:val="1A1A1A"/>
                <w:sz w:val="19"/>
              </w:rPr>
              <w:t>BUILT · test credentials</w:t>
            </w:r>
          </w:p>
        </w:tc>
      </w:tr>
      <w:tr>
        <w:tc>
          <w:tcPr>
            <w:tcW w:type="dxa" w:w="7143"/>
          </w:tcPr>
          <w:p>
            <w:pPr>
              <w:spacing w:after="40" w:before="40"/>
            </w:pPr>
            <w:r/>
            <w:r>
              <w:rPr>
                <w:rFonts w:ascii="Calibri" w:hAnsi="Calibri"/>
                <w:b/>
                <w:color w:val="1A1A1A"/>
                <w:sz w:val="19"/>
              </w:rPr>
              <w:t>ServiceSuite bridge — posts into the lender’s own live workflow</w:t>
            </w:r>
          </w:p>
        </w:tc>
        <w:tc>
          <w:tcPr>
            <w:tcW w:type="dxa" w:w="2381"/>
          </w:tcPr>
          <w:p>
            <w:pPr>
              <w:spacing w:after="40" w:before="40"/>
            </w:pPr>
            <w:r/>
            <w:r>
              <w:rPr>
                <w:rFonts w:ascii="Calibri" w:hAnsi="Calibri"/>
                <w:color w:val="1A1A1A"/>
                <w:sz w:val="19"/>
              </w:rPr>
              <w:t>LIVE</w:t>
            </w:r>
          </w:p>
        </w:tc>
      </w:tr>
      <w:tr>
        <w:tc>
          <w:tcPr>
            <w:tcW w:type="dxa" w:w="7143"/>
          </w:tcPr>
          <w:p>
            <w:pPr>
              <w:spacing w:after="40" w:before="40"/>
            </w:pPr>
            <w:r/>
            <w:r>
              <w:rPr>
                <w:rFonts w:ascii="Calibri" w:hAnsi="Calibri"/>
                <w:b/>
                <w:color w:val="1A1A1A"/>
                <w:sz w:val="19"/>
              </w:rPr>
              <w:t>Collections, promises-to-pay, call logs, tickets</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Field ops — geo pins, route planner, disbursement location gate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Riri assistant — role, book and customer aware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Connected Suite SSO — Lending, Portal, HR, Accounting, Call-Centre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Billing, usage metering, invoices, entitlements</w:t>
            </w:r>
          </w:p>
        </w:tc>
        <w:tc>
          <w:tcPr>
            <w:tcW w:type="dxa" w:w="2381"/>
          </w:tcPr>
          <w:p>
            <w:pPr>
              <w:spacing w:after="40" w:before="40"/>
            </w:pPr>
            <w:r/>
            <w:r>
              <w:rPr>
                <w:rFonts w:ascii="Calibri" w:hAnsi="Calibri"/>
                <w:color w:val="1A1A1A"/>
                <w:sz w:val="19"/>
              </w:rPr>
              <w:t>BUILT</w:t>
            </w:r>
          </w:p>
        </w:tc>
      </w:tr>
    </w:tbl>
    <w:p>
      <w:pPr>
        <w:spacing w:after="40"/>
      </w:pPr>
    </w:p>
    <w:p>
      <w:pPr>
        <w:spacing w:before="220" w:after="60"/>
      </w:pPr>
      <w:r>
        <w:rPr>
          <w:rFonts w:ascii="Calibri" w:hAnsi="Calibri"/>
          <w:b/>
          <w:color w:val="065F46"/>
          <w:sz w:val="24"/>
        </w:rPr>
        <w:t>2.2  Micromart, as the platform sees it today</w:t>
      </w: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7"/>
              </w:rPr>
              <w:t>micromart    BRIDGED   ACTIVE   PREMIUM   Micromart Africa</w:t>
            </w:r>
          </w:p>
          <w:p>
            <w:pPr>
              <w:spacing w:after="0" w:before="0"/>
              <w:ind w:left="113"/>
            </w:pPr>
            <w:r>
              <w:rPr>
                <w:rFonts w:ascii="Consolas" w:hAnsi="Consolas"/>
                <w:color w:val="1A1A1A"/>
                <w:sz w:val="17"/>
              </w:rPr>
            </w:r>
          </w:p>
          <w:p>
            <w:pPr>
              <w:spacing w:after="0" w:before="0"/>
              <w:ind w:left="113"/>
            </w:pPr>
            <w:r>
              <w:rPr>
                <w:rFonts w:ascii="Consolas" w:hAnsi="Consolas"/>
                <w:color w:val="1A1A1A"/>
                <w:sz w:val="17"/>
              </w:rPr>
              <w:t xml:space="preserve">  borrowers    162        loans       199      applications  50</w:t>
            </w:r>
          </w:p>
          <w:p>
            <w:pPr>
              <w:spacing w:after="0" w:before="0"/>
              <w:ind w:left="113"/>
            </w:pPr>
            <w:r>
              <w:rPr>
                <w:rFonts w:ascii="Consolas" w:hAnsi="Consolas"/>
                <w:color w:val="1A1A1A"/>
                <w:sz w:val="17"/>
              </w:rPr>
              <w:t xml:space="preserve">  offers        15        staff        17      branches       9</w:t>
            </w:r>
          </w:p>
          <w:p>
            <w:pPr>
              <w:spacing w:after="0" w:before="0"/>
              <w:ind w:left="113"/>
            </w:pPr>
            <w:r>
              <w:rPr>
                <w:rFonts w:ascii="Consolas" w:hAnsi="Consolas"/>
                <w:color w:val="1A1A1A"/>
                <w:sz w:val="17"/>
              </w:rPr>
              <w:t xml:space="preserve">  products       5  (1 active)         workflows              2</w:t>
            </w:r>
          </w:p>
          <w:p>
            <w:pPr>
              <w:spacing w:after="0" w:before="0"/>
              <w:ind w:left="113"/>
            </w:pPr>
            <w:r>
              <w:rPr>
                <w:rFonts w:ascii="Consolas" w:hAnsi="Consolas"/>
                <w:color w:val="1A1A1A"/>
                <w:sz w:val="17"/>
              </w:rPr>
              <w:t xml:space="preserve">  integrations  MPESA_STK = CONFIGURED   ·   CRB = CONFIGURED</w:t>
            </w:r>
          </w:p>
          <w:p>
            <w:pPr>
              <w:spacing w:after="0" w:before="0"/>
              <w:ind w:left="113"/>
            </w:pPr>
            <w:r>
              <w:rPr>
                <w:rFonts w:ascii="Consolas" w:hAnsi="Consolas"/>
                <w:color w:val="1A1A1A"/>
                <w:sz w:val="17"/>
              </w:rPr>
              <w:t xml:space="preserve">  bridge        live — posts via sp_InsertLoan, channel 7</w:t>
            </w:r>
          </w:p>
        </w:tc>
      </w:tr>
    </w:tbl>
    <w:p>
      <w:pPr>
        <w:spacing w:after="40"/>
      </w:pPr>
    </w:p>
    <w:p>
      <w:pPr>
        <w:spacing w:before="40" w:after="80"/>
      </w:pPr>
      <w:r>
        <w:rPr>
          <w:rFonts w:ascii="Calibri" w:hAnsi="Calibri"/>
          <w:b w:val="0"/>
          <w:i w:val="0"/>
          <w:color w:val="1A1A1A"/>
          <w:sz w:val="21"/>
        </w:rPr>
        <w:t>Micro Eazy and Micro Eazy Monthly do not yet exist on our side. That is a configuration task, not an engineering one — which is precisely what the product builder is for.</w:t>
      </w:r>
    </w:p>
    <w:p>
      <w:pPr>
        <w:spacing w:before="220" w:after="60"/>
      </w:pPr>
      <w:r>
        <w:rPr>
          <w:rFonts w:ascii="Calibri" w:hAnsi="Calibri"/>
          <w:b/>
          <w:color w:val="065F46"/>
          <w:sz w:val="24"/>
        </w:rPr>
        <w:t>2.3  The customer realm — what exists, and what is missing</w:t>
      </w:r>
    </w:p>
    <w:p>
      <w:pPr>
        <w:spacing w:before="0" w:after="80"/>
      </w:pPr>
      <w:r>
        <w:rPr>
          <w:rFonts w:ascii="Calibri" w:hAnsi="Calibri"/>
          <w:b w:val="0"/>
          <w:i w:val="0"/>
          <w:color w:val="1A1A1A"/>
          <w:sz w:val="21"/>
        </w:rPr>
        <w:t>The borrower surfaces are real and working. They are simply not yet an app.</w:t>
      </w:r>
    </w:p>
    <w:tbl>
      <w:tblPr>
        <w:tblStyle w:val="TableGrid"/>
        <w:tblW w:type="auto" w:w="0"/>
        <w:jc w:val="left"/>
        <w:tblLook w:firstColumn="1" w:firstRow="1" w:lastColumn="0" w:lastRow="0" w:noHBand="0" w:noVBand="1" w:val="04A0"/>
      </w:tblPr>
      <w:tblGrid>
        <w:gridCol w:w="4873"/>
        <w:gridCol w:w="4873"/>
      </w:tblGrid>
      <w:tr>
        <w:tc>
          <w:tcPr>
            <w:tcW w:type="dxa" w:w="7143"/>
            <w:shd w:val="clear" w:fill="065F46"/>
          </w:tcPr>
          <w:p>
            <w:pPr>
              <w:spacing w:after="40" w:before="40"/>
            </w:pPr>
            <w:r/>
            <w:r>
              <w:rPr>
                <w:rFonts w:ascii="Calibri" w:hAnsi="Calibri"/>
                <w:b/>
                <w:color w:val="FFFFFF"/>
                <w:sz w:val="18"/>
              </w:rPr>
              <w:t>Customer surface</w:t>
            </w:r>
          </w:p>
        </w:tc>
        <w:tc>
          <w:tcPr>
            <w:tcW w:type="dxa" w:w="2381"/>
            <w:shd w:val="clear" w:fill="065F46"/>
          </w:tcPr>
          <w:p>
            <w:pPr>
              <w:spacing w:after="40" w:before="40"/>
            </w:pPr>
            <w:r/>
            <w:r>
              <w:rPr>
                <w:rFonts w:ascii="Calibri" w:hAnsi="Calibri"/>
                <w:b/>
                <w:color w:val="FFFFFF"/>
                <w:sz w:val="18"/>
              </w:rPr>
              <w:t>State</w:t>
            </w:r>
          </w:p>
        </w:tc>
      </w:tr>
      <w:tr>
        <w:tc>
          <w:tcPr>
            <w:tcW w:type="dxa" w:w="7143"/>
          </w:tcPr>
          <w:p>
            <w:pPr>
              <w:spacing w:after="40" w:before="40"/>
            </w:pPr>
            <w:r/>
            <w:r>
              <w:rPr>
                <w:rFonts w:ascii="Calibri" w:hAnsi="Calibri"/>
                <w:b/>
                <w:color w:val="1A1A1A"/>
                <w:sz w:val="19"/>
              </w:rPr>
              <w:t>Branded application wizard — phone, consent, crunch, score, offer</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OTP door, national-ID + PIN door, session</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Crunch theatre — the statement analysis, watchable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Offer, full schedule, e-signature</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My loan, balance, Pay Now by STK push</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Auto-repay (M-Pesa Ratiba)</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Internal Report sold to the customer</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Guarantor invitation and consent</w:t>
            </w:r>
          </w:p>
        </w:tc>
        <w:tc>
          <w:tcPr>
            <w:tcW w:type="dxa" w:w="2381"/>
          </w:tcPr>
          <w:p>
            <w:pPr>
              <w:spacing w:after="40" w:before="40"/>
            </w:pPr>
            <w:r/>
            <w:r>
              <w:rPr>
                <w:rFonts w:ascii="Calibri" w:hAnsi="Calibri"/>
                <w:color w:val="1A1A1A"/>
                <w:sz w:val="19"/>
              </w:rPr>
              <w:t>BUILT</w:t>
            </w:r>
          </w:p>
        </w:tc>
      </w:tr>
      <w:tr>
        <w:tc>
          <w:tcPr>
            <w:tcW w:type="dxa" w:w="7143"/>
          </w:tcPr>
          <w:p>
            <w:pPr>
              <w:spacing w:after="40" w:before="40"/>
            </w:pPr>
            <w:r/>
            <w:r>
              <w:rPr>
                <w:rFonts w:ascii="Calibri" w:hAnsi="Calibri"/>
                <w:b/>
                <w:color w:val="1A1A1A"/>
                <w:sz w:val="19"/>
              </w:rPr>
              <w:t>Installable app — manifest, icons, service worker</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Push notifications, notification inbox</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Offline shell and background sync</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“Why was I declined” and “how do I fix it”</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Limit ladder and graduation progress</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Rewards, tiers, early-settlement rebate</w:t>
            </w:r>
          </w:p>
        </w:tc>
        <w:tc>
          <w:tcPr>
            <w:tcW w:type="dxa" w:w="2381"/>
          </w:tcPr>
          <w:p>
            <w:pPr>
              <w:spacing w:after="40" w:before="40"/>
            </w:pPr>
            <w:r/>
            <w:r>
              <w:rPr>
                <w:rFonts w:ascii="Calibri" w:hAnsi="Calibri"/>
                <w:color w:val="1A1A1A"/>
                <w:sz w:val="19"/>
              </w:rPr>
              <w:t>MISSING</w:t>
            </w:r>
          </w:p>
        </w:tc>
      </w:tr>
      <w:tr>
        <w:tc>
          <w:tcPr>
            <w:tcW w:type="dxa" w:w="7143"/>
          </w:tcPr>
          <w:p>
            <w:pPr>
              <w:spacing w:after="40" w:before="40"/>
            </w:pPr>
            <w:r/>
            <w:r>
              <w:rPr>
                <w:rFonts w:ascii="Calibri" w:hAnsi="Calibri"/>
                <w:b/>
                <w:color w:val="1A1A1A"/>
                <w:sz w:val="19"/>
              </w:rPr>
              <w:t>Multi-lender routing — the Exchange</w:t>
            </w:r>
          </w:p>
        </w:tc>
        <w:tc>
          <w:tcPr>
            <w:tcW w:type="dxa" w:w="2381"/>
          </w:tcPr>
          <w:p>
            <w:pPr>
              <w:spacing w:after="40" w:before="40"/>
            </w:pPr>
            <w:r/>
            <w:r>
              <w:rPr>
                <w:rFonts w:ascii="Calibri" w:hAnsi="Calibri"/>
                <w:color w:val="1A1A1A"/>
                <w:sz w:val="19"/>
              </w:rPr>
              <w:t>MISSING — the new build</w:t>
            </w:r>
          </w:p>
        </w:tc>
      </w:tr>
    </w:tbl>
    <w:p>
      <w:pPr>
        <w:spacing w:after="40"/>
      </w:pPr>
    </w:p>
    <w:p>
      <w:pPr>
        <w:spacing w:before="220" w:after="60"/>
      </w:pPr>
      <w:r>
        <w:rPr>
          <w:rFonts w:ascii="Calibri" w:hAnsi="Calibri"/>
          <w:b/>
          <w:color w:val="065F46"/>
          <w:sz w:val="24"/>
        </w:rPr>
        <w:t>2.4  How Micro Eazy appears on the BirgenAI Hub</w:t>
      </w:r>
    </w:p>
    <w:p>
      <w:pPr>
        <w:spacing w:before="0" w:after="80"/>
      </w:pPr>
      <w:r>
        <w:rPr>
          <w:rFonts w:ascii="Calibri" w:hAnsi="Calibri"/>
          <w:b w:val="0"/>
          <w:i w:val="0"/>
          <w:color w:val="1A1A1A"/>
          <w:sz w:val="21"/>
        </w:rPr>
        <w:t>The Hub app store reads a single table. Making Micro Eazy appear on the “Loans &amp; Credit” shelf is three steps, and the first one is the logo:</w:t>
      </w:r>
    </w:p>
    <w:p>
      <w:pPr>
        <w:spacing w:after="60"/>
        <w:ind w:left="482"/>
      </w:pPr>
      <w:r>
        <w:rPr>
          <w:rFonts w:ascii="Calibri" w:hAnsi="Calibri"/>
          <w:color w:val="10B981"/>
          <w:sz w:val="21"/>
        </w:rPr>
        <w:t xml:space="preserve">1.  </w:t>
      </w:r>
      <w:r>
        <w:rPr>
          <w:rFonts w:ascii="Calibri" w:hAnsi="Calibri"/>
          <w:b/>
          <w:color w:val="1A1A1A"/>
          <w:sz w:val="21"/>
        </w:rPr>
        <w:t xml:space="preserve">Drop </w:t>
      </w:r>
      <w:r>
        <w:rPr>
          <w:rFonts w:ascii="Calibri" w:hAnsi="Calibri"/>
          <w:color w:val="1A1A1A"/>
          <w:sz w:val="21"/>
        </w:rPr>
        <w:t>the logo at public/apps/icons/micro-eazy.png, 512×512, transparent.</w:t>
      </w:r>
    </w:p>
    <w:p>
      <w:pPr>
        <w:spacing w:after="60"/>
        <w:ind w:left="482"/>
      </w:pPr>
      <w:r>
        <w:rPr>
          <w:rFonts w:ascii="Calibri" w:hAnsi="Calibri"/>
          <w:color w:val="10B981"/>
          <w:sz w:val="21"/>
        </w:rPr>
        <w:t xml:space="preserve">2.  </w:t>
      </w:r>
      <w:r>
        <w:rPr>
          <w:rFonts w:ascii="Calibri" w:hAnsi="Calibri"/>
          <w:b/>
          <w:color w:val="1A1A1A"/>
          <w:sz w:val="21"/>
        </w:rPr>
        <w:t xml:space="preserve">Add one row </w:t>
      </w:r>
      <w:r>
        <w:rPr>
          <w:rFonts w:ascii="Calibri" w:hAnsi="Calibri"/>
          <w:color w:val="1A1A1A"/>
          <w:sz w:val="21"/>
        </w:rPr>
        <w:t>in the apps seed — category LENDING, featured, sort order 0, URL microeazy.birgenai.com.</w:t>
      </w:r>
    </w:p>
    <w:p>
      <w:pPr>
        <w:spacing w:after="60"/>
        <w:ind w:left="482"/>
      </w:pPr>
      <w:r>
        <w:rPr>
          <w:rFonts w:ascii="Calibri" w:hAnsi="Calibri"/>
          <w:color w:val="10B981"/>
          <w:sz w:val="21"/>
        </w:rPr>
        <w:t xml:space="preserve">3.  </w:t>
      </w:r>
      <w:r>
        <w:rPr>
          <w:rFonts w:ascii="Calibri" w:hAnsi="Calibri"/>
          <w:b/>
          <w:color w:val="1A1A1A"/>
          <w:sz w:val="21"/>
        </w:rPr>
        <w:t xml:space="preserve">Re-run </w:t>
      </w:r>
      <w:r>
        <w:rPr>
          <w:rFonts w:ascii="Calibri" w:hAnsi="Calibri"/>
          <w:color w:val="1A1A1A"/>
          <w:sz w:val="21"/>
        </w:rPr>
        <w:t>the seed. Micro Eazy is now the first tile on the shelf.</w:t>
      </w:r>
    </w:p>
    <w:p>
      <w:r>
        <w:br w:type="page"/>
      </w:r>
    </w:p>
    <w:p>
      <w:pPr>
        <w:spacing w:after="40"/>
      </w:pPr>
      <w:r>
        <w:rPr>
          <w:rFonts w:ascii="Calibri" w:hAnsi="Calibri"/>
          <w:b/>
          <w:color w:val="10B981"/>
          <w:sz w:val="22"/>
        </w:rPr>
        <w:t>3</w:t>
      </w:r>
      <w:r>
        <w:rPr>
          <w:rFonts w:ascii="Calibri" w:hAnsi="Calibri"/>
          <w:b/>
          <w:color w:val="065F46"/>
          <w:sz w:val="34"/>
        </w:rPr>
        <w:t xml:space="preserve">   The three decisions, locked</w:t>
      </w:r>
    </w:p>
    <w:p>
      <w:pPr>
        <w:pBdr>
          <w:bottom w:val="single" w:sz="6" w:space="1" w:color="DDDDDD"/>
        </w:pBdr>
        <w:spacing w:after="120"/>
      </w:pPr>
    </w:p>
    <w:tbl>
      <w:tblPr>
        <w:tblStyle w:val="TableGrid"/>
        <w:tblW w:type="auto" w:w="0"/>
        <w:jc w:val="left"/>
        <w:tblLook w:firstColumn="1" w:firstRow="1" w:lastColumn="0" w:lastRow="0" w:noHBand="0" w:noVBand="1" w:val="04A0"/>
      </w:tblPr>
      <w:tblGrid>
        <w:gridCol w:w="3249"/>
        <w:gridCol w:w="3249"/>
        <w:gridCol w:w="3249"/>
      </w:tblGrid>
      <w:tr>
        <w:tc>
          <w:tcPr>
            <w:tcW w:type="dxa" w:w="1928"/>
            <w:shd w:val="clear" w:fill="065F46"/>
          </w:tcPr>
          <w:p>
            <w:pPr>
              <w:spacing w:after="40" w:before="40"/>
            </w:pPr>
            <w:r/>
            <w:r>
              <w:rPr>
                <w:rFonts w:ascii="Calibri" w:hAnsi="Calibri"/>
                <w:b/>
                <w:color w:val="FFFFFF"/>
                <w:sz w:val="18"/>
              </w:rPr>
              <w:t>Decision</w:t>
            </w:r>
          </w:p>
        </w:tc>
        <w:tc>
          <w:tcPr>
            <w:tcW w:type="dxa" w:w="3628"/>
            <w:shd w:val="clear" w:fill="065F46"/>
          </w:tcPr>
          <w:p>
            <w:pPr>
              <w:spacing w:after="40" w:before="40"/>
            </w:pPr>
            <w:r/>
            <w:r>
              <w:rPr>
                <w:rFonts w:ascii="Calibri" w:hAnsi="Calibri"/>
                <w:b/>
                <w:color w:val="FFFFFF"/>
                <w:sz w:val="18"/>
              </w:rPr>
              <w:t>What we chose</w:t>
            </w:r>
          </w:p>
        </w:tc>
        <w:tc>
          <w:tcPr>
            <w:tcW w:type="dxa" w:w="3969"/>
            <w:shd w:val="clear" w:fill="065F46"/>
          </w:tcPr>
          <w:p>
            <w:pPr>
              <w:spacing w:after="40" w:before="40"/>
            </w:pPr>
            <w:r/>
            <w:r>
              <w:rPr>
                <w:rFonts w:ascii="Calibri" w:hAnsi="Calibri"/>
                <w:b/>
                <w:color w:val="FFFFFF"/>
                <w:sz w:val="18"/>
              </w:rPr>
              <w:t>Why</w:t>
            </w:r>
          </w:p>
        </w:tc>
      </w:tr>
      <w:tr>
        <w:tc>
          <w:tcPr>
            <w:tcW w:type="dxa" w:w="1928"/>
          </w:tcPr>
          <w:p>
            <w:pPr>
              <w:spacing w:after="40" w:before="40"/>
            </w:pPr>
            <w:r/>
            <w:r>
              <w:rPr>
                <w:rFonts w:ascii="Calibri" w:hAnsi="Calibri"/>
                <w:b/>
                <w:color w:val="1A1A1A"/>
                <w:sz w:val="18"/>
              </w:rPr>
              <w:t>D1  ·  The app</w:t>
            </w:r>
          </w:p>
        </w:tc>
        <w:tc>
          <w:tcPr>
            <w:tcW w:type="dxa" w:w="3628"/>
          </w:tcPr>
          <w:p>
            <w:pPr>
              <w:spacing w:after="40" w:before="40"/>
            </w:pPr>
            <w:r/>
            <w:r>
              <w:rPr>
                <w:rFonts w:ascii="Calibri" w:hAnsi="Calibri"/>
                <w:color w:val="1A1A1A"/>
                <w:sz w:val="18"/>
              </w:rPr>
              <w:t>ONE customer PWA at microeazy.birgenai.com. After routing, its chrome repaints to the assigned lender. Lender subdomains survive as branded doors into the same installed app.</w:t>
            </w:r>
          </w:p>
        </w:tc>
        <w:tc>
          <w:tcPr>
            <w:tcW w:type="dxa" w:w="3969"/>
          </w:tcPr>
          <w:p>
            <w:pPr>
              <w:spacing w:after="40" w:before="40"/>
            </w:pPr>
            <w:r/>
            <w:r>
              <w:rPr>
                <w:rFonts w:ascii="Calibri" w:hAnsi="Calibri"/>
                <w:color w:val="1A1A1A"/>
                <w:sz w:val="18"/>
              </w:rPr>
              <w:t>One manifest, one home-screen icon, one push channel, one install base — owned by BirgenAI. Lender #2 costs zero customer re-installs. Per-lender apps fragment the install base and hand it to the lender.</w:t>
            </w:r>
          </w:p>
        </w:tc>
      </w:tr>
      <w:tr>
        <w:tc>
          <w:tcPr>
            <w:tcW w:type="dxa" w:w="1928"/>
          </w:tcPr>
          <w:p>
            <w:pPr>
              <w:spacing w:after="40" w:before="40"/>
            </w:pPr>
            <w:r/>
            <w:r>
              <w:rPr>
                <w:rFonts w:ascii="Calibri" w:hAnsi="Calibri"/>
                <w:b/>
                <w:color w:val="1A1A1A"/>
                <w:sz w:val="18"/>
              </w:rPr>
              <w:t>D2  ·  The brand</w:t>
            </w:r>
          </w:p>
        </w:tc>
        <w:tc>
          <w:tcPr>
            <w:tcW w:type="dxa" w:w="3628"/>
          </w:tcPr>
          <w:p>
            <w:pPr>
              <w:spacing w:after="40" w:before="40"/>
            </w:pPr>
            <w:r/>
            <w:r>
              <w:rPr>
                <w:rFonts w:ascii="Calibri" w:hAnsi="Calibri"/>
                <w:color w:val="1A1A1A"/>
                <w:sz w:val="18"/>
              </w:rPr>
              <w:t>Co-branded. “Micro Eazy · Funded and serviced by Micromart Africa Ltd · Powered by BirgenAI” on every money screen, offer, agreement and SMS.</w:t>
            </w:r>
          </w:p>
        </w:tc>
        <w:tc>
          <w:tcPr>
            <w:tcW w:type="dxa" w:w="3969"/>
          </w:tcPr>
          <w:p>
            <w:pPr>
              <w:spacing w:after="40" w:before="40"/>
            </w:pPr>
            <w:r/>
            <w:r>
              <w:rPr>
                <w:rFonts w:ascii="Calibri" w:hAnsi="Calibri"/>
                <w:color w:val="1A1A1A"/>
                <w:sz w:val="18"/>
              </w:rPr>
              <w:t>It is the honest regulatory position — BirgenAI never lends. It names Micromart where it legally matters. And it keeps the consumer brand portable to lender #2.</w:t>
            </w:r>
          </w:p>
        </w:tc>
      </w:tr>
      <w:tr>
        <w:tc>
          <w:tcPr>
            <w:tcW w:type="dxa" w:w="1928"/>
          </w:tcPr>
          <w:p>
            <w:pPr>
              <w:spacing w:after="40" w:before="40"/>
            </w:pPr>
            <w:r/>
            <w:r>
              <w:rPr>
                <w:rFonts w:ascii="Calibri" w:hAnsi="Calibri"/>
                <w:b/>
                <w:color w:val="1A1A1A"/>
                <w:sz w:val="18"/>
              </w:rPr>
              <w:t>D3  ·  The product</w:t>
            </w:r>
          </w:p>
        </w:tc>
        <w:tc>
          <w:tcPr>
            <w:tcW w:type="dxa" w:w="3628"/>
          </w:tcPr>
          <w:p>
            <w:pPr>
              <w:spacing w:after="40" w:before="40"/>
            </w:pPr>
            <w:r/>
            <w:r>
              <w:rPr>
                <w:rFonts w:ascii="Calibri" w:hAnsi="Calibri"/>
                <w:color w:val="1A1A1A"/>
                <w:sz w:val="18"/>
              </w:rPr>
              <w:t>Micro Eazy mirrors Micromart’s terms exactly — same names, same rates, same fee, same workflow names.</w:t>
            </w:r>
          </w:p>
        </w:tc>
        <w:tc>
          <w:tcPr>
            <w:tcW w:type="dxa" w:w="3969"/>
          </w:tcPr>
          <w:p>
            <w:pPr>
              <w:spacing w:after="40" w:before="40"/>
            </w:pPr>
            <w:r/>
            <w:r>
              <w:rPr>
                <w:rFonts w:ascii="Calibri" w:hAnsi="Calibri"/>
                <w:color w:val="1A1A1A"/>
                <w:sz w:val="18"/>
              </w:rPr>
              <w:t>The board must recognise their own product on screen. Zero configuration argument in the room. Divergence is a later, negotiated conversation.</w:t>
            </w:r>
          </w:p>
        </w:tc>
      </w:tr>
    </w:tbl>
    <w:p>
      <w:pPr>
        <w:spacing w:after="40"/>
      </w:pPr>
    </w:p>
    <w:p>
      <w:r>
        <w:br w:type="page"/>
      </w:r>
    </w:p>
    <w:p>
      <w:pPr>
        <w:spacing w:after="40"/>
      </w:pPr>
      <w:r>
        <w:rPr>
          <w:rFonts w:ascii="Calibri" w:hAnsi="Calibri"/>
          <w:b/>
          <w:color w:val="10B981"/>
          <w:sz w:val="22"/>
        </w:rPr>
        <w:t>4</w:t>
      </w:r>
      <w:r>
        <w:rPr>
          <w:rFonts w:ascii="Calibri" w:hAnsi="Calibri"/>
          <w:b/>
          <w:color w:val="065F46"/>
          <w:sz w:val="34"/>
        </w:rPr>
        <w:t xml:space="preserve">   The Trust Contract</w:t>
      </w:r>
    </w:p>
    <w:p>
      <w:pPr>
        <w:pBdr>
          <w:bottom w:val="single" w:sz="6" w:space="1" w:color="DDDDDD"/>
        </w:pBdr>
        <w:spacing w:after="120"/>
      </w:pPr>
    </w:p>
    <w:p>
      <w:pPr>
        <w:spacing w:before="0" w:after="80"/>
      </w:pPr>
      <w:r>
        <w:rPr>
          <w:rFonts w:ascii="Calibri" w:hAnsi="Calibri"/>
          <w:b w:val="0"/>
          <w:i w:val="0"/>
          <w:color w:val="1A1A1A"/>
          <w:sz w:val="21"/>
        </w:rPr>
        <w:t>This is what makes Micro Eazy an ecosystem rather than a lead-generation funnel. Both sides owe each other something, and both sets of obligations are enforced in code, not promised in a brochure. This is the section to read aloud to the board.</w:t>
      </w:r>
    </w:p>
    <w:p>
      <w:pPr>
        <w:spacing w:before="220" w:after="60"/>
      </w:pPr>
      <w:r>
        <w:rPr>
          <w:rFonts w:ascii="Calibri" w:hAnsi="Calibri"/>
          <w:b/>
          <w:color w:val="065F46"/>
          <w:sz w:val="24"/>
        </w:rPr>
        <w:t>4.1  What the customer gives</w:t>
      </w:r>
    </w:p>
    <w:p>
      <w:pPr>
        <w:spacing w:before="0" w:after="80"/>
      </w:pPr>
      <w:r>
        <w:rPr>
          <w:rFonts w:ascii="Calibri" w:hAnsi="Calibri"/>
          <w:b w:val="0"/>
          <w:i w:val="0"/>
          <w:color w:val="1A1A1A"/>
          <w:sz w:val="21"/>
        </w:rPr>
        <w:t>Stated plainly, once, before anything is collected. Mandatory to receive money through Micro Eazy:</w:t>
      </w:r>
    </w:p>
    <w:p>
      <w:pPr>
        <w:spacing w:after="60"/>
        <w:ind w:left="482"/>
      </w:pPr>
      <w:r>
        <w:rPr>
          <w:rFonts w:ascii="Calibri" w:hAnsi="Calibri"/>
          <w:color w:val="10B981"/>
          <w:sz w:val="21"/>
        </w:rPr>
        <w:t xml:space="preserve">•   </w:t>
      </w:r>
      <w:r>
        <w:rPr>
          <w:rFonts w:ascii="Calibri" w:hAnsi="Calibri"/>
          <w:color w:val="1A1A1A"/>
          <w:sz w:val="21"/>
        </w:rPr>
        <w:t>verified identity — national ID capture, selfie with liveness, IPRS cross-check</w:t>
      </w:r>
    </w:p>
    <w:p>
      <w:pPr>
        <w:spacing w:after="60"/>
        <w:ind w:left="482"/>
      </w:pPr>
      <w:r>
        <w:rPr>
          <w:rFonts w:ascii="Calibri" w:hAnsi="Calibri"/>
          <w:color w:val="10B981"/>
          <w:sz w:val="21"/>
        </w:rPr>
        <w:t xml:space="preserve">•   </w:t>
      </w:r>
      <w:r>
        <w:rPr>
          <w:rFonts w:ascii="Calibri" w:hAnsi="Calibri"/>
          <w:color w:val="1A1A1A"/>
          <w:sz w:val="21"/>
        </w:rPr>
        <w:t>consent to CRB check, M-Pesa statement analysis and automated scoring — versioned and IP-stamped</w:t>
      </w:r>
    </w:p>
    <w:p>
      <w:pPr>
        <w:spacing w:after="60"/>
        <w:ind w:left="482"/>
      </w:pPr>
      <w:r>
        <w:rPr>
          <w:rFonts w:ascii="Calibri" w:hAnsi="Calibri"/>
          <w:color w:val="10B981"/>
          <w:sz w:val="21"/>
        </w:rPr>
        <w:t xml:space="preserve">•   </w:t>
      </w:r>
      <w:r>
        <w:rPr>
          <w:rFonts w:ascii="Calibri" w:hAnsi="Calibri"/>
          <w:color w:val="1A1A1A"/>
          <w:sz w:val="21"/>
        </w:rPr>
        <w:t>a location pin that can actually be visited — already a hard disbursement gate</w:t>
      </w:r>
    </w:p>
    <w:p>
      <w:pPr>
        <w:spacing w:after="60"/>
        <w:ind w:left="482"/>
      </w:pPr>
      <w:r>
        <w:rPr>
          <w:rFonts w:ascii="Calibri" w:hAnsi="Calibri"/>
          <w:color w:val="10B981"/>
          <w:sz w:val="21"/>
        </w:rPr>
        <w:t xml:space="preserve">•   </w:t>
      </w:r>
      <w:r>
        <w:rPr>
          <w:rFonts w:ascii="Calibri" w:hAnsi="Calibri"/>
          <w:color w:val="1A1A1A"/>
          <w:sz w:val="21"/>
        </w:rPr>
        <w:t>device fingerprint, as a fraud signal</w:t>
      </w:r>
    </w:p>
    <w:p>
      <w:pPr>
        <w:spacing w:after="60"/>
        <w:ind w:left="482"/>
      </w:pPr>
      <w:r>
        <w:rPr>
          <w:rFonts w:ascii="Calibri" w:hAnsi="Calibri"/>
          <w:color w:val="10B981"/>
          <w:sz w:val="21"/>
        </w:rPr>
        <w:t xml:space="preserve">•   </w:t>
      </w:r>
      <w:r>
        <w:rPr>
          <w:rFonts w:ascii="Calibri" w:hAnsi="Calibri"/>
          <w:color w:val="1A1A1A"/>
          <w:sz w:val="21"/>
        </w:rPr>
        <w:t>repayment on the agreed schedule</w:t>
      </w:r>
    </w:p>
    <w:p>
      <w:pPr>
        <w:spacing w:before="220" w:after="60"/>
      </w:pPr>
      <w:r>
        <w:rPr>
          <w:rFonts w:ascii="Calibri" w:hAnsi="Calibri"/>
          <w:b/>
          <w:color w:val="065F46"/>
          <w:sz w:val="24"/>
        </w:rPr>
        <w:t>4.2  What the ecosystem owes back — seven enforceable promises</w:t>
      </w:r>
    </w:p>
    <w:tbl>
      <w:tblPr>
        <w:tblStyle w:val="TableGrid"/>
        <w:tblW w:type="auto" w:w="0"/>
        <w:jc w:val="left"/>
        <w:tblLook w:firstColumn="1" w:firstRow="1" w:lastColumn="0" w:lastRow="0" w:noHBand="0" w:noVBand="1" w:val="04A0"/>
      </w:tblPr>
      <w:tblGrid>
        <w:gridCol w:w="4873"/>
        <w:gridCol w:w="4873"/>
      </w:tblGrid>
      <w:tr>
        <w:tc>
          <w:tcPr>
            <w:tcW w:type="dxa" w:w="2948"/>
            <w:shd w:val="clear" w:fill="065F46"/>
          </w:tcPr>
          <w:p>
            <w:pPr>
              <w:spacing w:after="40" w:before="40"/>
            </w:pPr>
            <w:r/>
            <w:r>
              <w:rPr>
                <w:rFonts w:ascii="Calibri" w:hAnsi="Calibri"/>
                <w:b/>
                <w:color w:val="FFFFFF"/>
                <w:sz w:val="18"/>
              </w:rPr>
              <w:t>Promise</w:t>
            </w:r>
          </w:p>
        </w:tc>
        <w:tc>
          <w:tcPr>
            <w:tcW w:type="dxa" w:w="6576"/>
            <w:shd w:val="clear" w:fill="065F46"/>
          </w:tcPr>
          <w:p>
            <w:pPr>
              <w:spacing w:after="40" w:before="40"/>
            </w:pPr>
            <w:r/>
            <w:r>
              <w:rPr>
                <w:rFonts w:ascii="Calibri" w:hAnsi="Calibri"/>
                <w:b/>
                <w:color w:val="FFFFFF"/>
                <w:sz w:val="18"/>
              </w:rPr>
              <w:t>How it is enforced</w:t>
            </w:r>
          </w:p>
        </w:tc>
      </w:tr>
      <w:tr>
        <w:tc>
          <w:tcPr>
            <w:tcW w:type="dxa" w:w="2948"/>
          </w:tcPr>
          <w:p>
            <w:pPr>
              <w:spacing w:after="40" w:before="40"/>
            </w:pPr>
            <w:r/>
            <w:r>
              <w:rPr>
                <w:rFonts w:ascii="Calibri" w:hAnsi="Calibri"/>
                <w:b/>
                <w:color w:val="1A1A1A"/>
                <w:sz w:val="19"/>
              </w:rPr>
              <w:t>No silent decline</w:t>
            </w:r>
          </w:p>
        </w:tc>
        <w:tc>
          <w:tcPr>
            <w:tcW w:type="dxa" w:w="6576"/>
          </w:tcPr>
          <w:p>
            <w:pPr>
              <w:spacing w:after="40" w:before="40"/>
            </w:pPr>
            <w:r/>
            <w:r>
              <w:rPr>
                <w:rFonts w:ascii="Calibri" w:hAnsi="Calibri"/>
                <w:color w:val="1A1A1A"/>
                <w:sz w:val="19"/>
              </w:rPr>
              <w:t>Engine reason codes surfaced verbatim to the customer, in English and Kiswahili, with a named path to fix each one.</w:t>
            </w:r>
          </w:p>
        </w:tc>
      </w:tr>
      <w:tr>
        <w:tc>
          <w:tcPr>
            <w:tcW w:type="dxa" w:w="2948"/>
          </w:tcPr>
          <w:p>
            <w:pPr>
              <w:spacing w:after="40" w:before="40"/>
            </w:pPr>
            <w:r/>
            <w:r>
              <w:rPr>
                <w:rFonts w:ascii="Calibri" w:hAnsi="Calibri"/>
                <w:b/>
                <w:color w:val="1A1A1A"/>
                <w:sz w:val="19"/>
              </w:rPr>
              <w:t>A visible ladder</w:t>
            </w:r>
          </w:p>
        </w:tc>
        <w:tc>
          <w:tcPr>
            <w:tcW w:type="dxa" w:w="6576"/>
          </w:tcPr>
          <w:p>
            <w:pPr>
              <w:spacing w:after="40" w:before="40"/>
            </w:pPr>
            <w:r/>
            <w:r>
              <w:rPr>
                <w:rFonts w:ascii="Calibri" w:hAnsi="Calibri"/>
                <w:color w:val="1A1A1A"/>
                <w:sz w:val="19"/>
              </w:rPr>
              <w:t>“Rung 2 of 7. Clear this on time → KES 15,000. Clear it early → KES 18,000.”</w:t>
            </w:r>
          </w:p>
        </w:tc>
      </w:tr>
      <w:tr>
        <w:tc>
          <w:tcPr>
            <w:tcW w:type="dxa" w:w="2948"/>
          </w:tcPr>
          <w:p>
            <w:pPr>
              <w:spacing w:after="40" w:before="40"/>
            </w:pPr>
            <w:r/>
            <w:r>
              <w:rPr>
                <w:rFonts w:ascii="Calibri" w:hAnsi="Calibri"/>
                <w:b/>
                <w:color w:val="1A1A1A"/>
                <w:sz w:val="19"/>
              </w:rPr>
              <w:t>Pay early, pay less — priced live</w:t>
            </w:r>
          </w:p>
        </w:tc>
        <w:tc>
          <w:tcPr>
            <w:tcW w:type="dxa" w:w="6576"/>
          </w:tcPr>
          <w:p>
            <w:pPr>
              <w:spacing w:after="40" w:before="40"/>
            </w:pPr>
            <w:r/>
            <w:r>
              <w:rPr>
                <w:rFonts w:ascii="Calibri" w:hAnsi="Calibri"/>
                <w:color w:val="1A1A1A"/>
                <w:sz w:val="19"/>
              </w:rPr>
              <w:t>Early-settlement rebate as a slider on the loan card, not a phone call to the branch.</w:t>
            </w:r>
          </w:p>
        </w:tc>
      </w:tr>
      <w:tr>
        <w:tc>
          <w:tcPr>
            <w:tcW w:type="dxa" w:w="2948"/>
          </w:tcPr>
          <w:p>
            <w:pPr>
              <w:spacing w:after="40" w:before="40"/>
            </w:pPr>
            <w:r/>
            <w:r>
              <w:rPr>
                <w:rFonts w:ascii="Calibri" w:hAnsi="Calibri"/>
                <w:b/>
                <w:color w:val="1A1A1A"/>
                <w:sz w:val="19"/>
              </w:rPr>
              <w:t>Your data, your report</w:t>
            </w:r>
          </w:p>
        </w:tc>
        <w:tc>
          <w:tcPr>
            <w:tcW w:type="dxa" w:w="6576"/>
          </w:tcPr>
          <w:p>
            <w:pPr>
              <w:spacing w:after="40" w:before="40"/>
            </w:pPr>
            <w:r/>
            <w:r>
              <w:rPr>
                <w:rFonts w:ascii="Calibri" w:hAnsi="Calibri"/>
                <w:color w:val="1A1A1A"/>
                <w:sz w:val="19"/>
              </w:rPr>
              <w:t>The Internal Report — the same analysis the lender buys — free to the customer once per cycle.</w:t>
            </w:r>
          </w:p>
        </w:tc>
      </w:tr>
      <w:tr>
        <w:tc>
          <w:tcPr>
            <w:tcW w:type="dxa" w:w="2948"/>
          </w:tcPr>
          <w:p>
            <w:pPr>
              <w:spacing w:after="40" w:before="40"/>
            </w:pPr>
            <w:r/>
            <w:r>
              <w:rPr>
                <w:rFonts w:ascii="Calibri" w:hAnsi="Calibri"/>
                <w:b/>
                <w:color w:val="1A1A1A"/>
                <w:sz w:val="19"/>
              </w:rPr>
              <w:t>Portability</w:t>
            </w:r>
          </w:p>
        </w:tc>
        <w:tc>
          <w:tcPr>
            <w:tcW w:type="dxa" w:w="6576"/>
          </w:tcPr>
          <w:p>
            <w:pPr>
              <w:spacing w:after="40" w:before="40"/>
            </w:pPr>
            <w:r/>
            <w:r>
              <w:rPr>
                <w:rFonts w:ascii="Calibri" w:hAnsi="Calibri"/>
                <w:color w:val="1A1A1A"/>
                <w:sz w:val="19"/>
              </w:rPr>
              <w:t>Good behaviour travels to the next lender in the ecosystem under a stated legal basis. The reward is not locked inside one lender’s book.</w:t>
            </w:r>
          </w:p>
        </w:tc>
      </w:tr>
      <w:tr>
        <w:tc>
          <w:tcPr>
            <w:tcW w:type="dxa" w:w="2948"/>
          </w:tcPr>
          <w:p>
            <w:pPr>
              <w:spacing w:after="40" w:before="40"/>
            </w:pPr>
            <w:r/>
            <w:r>
              <w:rPr>
                <w:rFonts w:ascii="Calibri" w:hAnsi="Calibri"/>
                <w:b/>
                <w:color w:val="1A1A1A"/>
                <w:sz w:val="19"/>
              </w:rPr>
              <w:t>A human answers appeals</w:t>
            </w:r>
          </w:p>
        </w:tc>
        <w:tc>
          <w:tcPr>
            <w:tcW w:type="dxa" w:w="6576"/>
          </w:tcPr>
          <w:p>
            <w:pPr>
              <w:spacing w:after="40" w:before="40"/>
            </w:pPr>
            <w:r/>
            <w:r>
              <w:rPr>
                <w:rFonts w:ascii="Calibri" w:hAnsi="Calibri"/>
                <w:color w:val="1A1A1A"/>
                <w:sz w:val="19"/>
              </w:rPr>
              <w:t>Adverse decisions are never fully automatic. The appeal clock is displayed and counted down.</w:t>
            </w:r>
          </w:p>
        </w:tc>
      </w:tr>
      <w:tr>
        <w:tc>
          <w:tcPr>
            <w:tcW w:type="dxa" w:w="2948"/>
          </w:tcPr>
          <w:p>
            <w:pPr>
              <w:spacing w:after="40" w:before="40"/>
            </w:pPr>
            <w:r/>
            <w:r>
              <w:rPr>
                <w:rFonts w:ascii="Calibri" w:hAnsi="Calibri"/>
                <w:b/>
                <w:color w:val="1A1A1A"/>
                <w:sz w:val="19"/>
              </w:rPr>
              <w:t>Purpose and retention, always stated</w:t>
            </w:r>
          </w:p>
        </w:tc>
        <w:tc>
          <w:tcPr>
            <w:tcW w:type="dxa" w:w="6576"/>
          </w:tcPr>
          <w:p>
            <w:pPr>
              <w:spacing w:after="40" w:before="40"/>
            </w:pPr>
            <w:r/>
            <w:r>
              <w:rPr>
                <w:rFonts w:ascii="Calibri" w:hAnsi="Calibri"/>
                <w:color w:val="1A1A1A"/>
                <w:sz w:val="19"/>
              </w:rPr>
              <w:t>Retention windows per data class; export and deletion workflows per organisation.</w:t>
            </w:r>
          </w:p>
        </w:tc>
      </w:tr>
    </w:tbl>
    <w:p>
      <w:pPr>
        <w:spacing w:after="40"/>
      </w:pPr>
    </w:p>
    <w:p>
      <w:pPr>
        <w:spacing w:before="220" w:after="60"/>
      </w:pPr>
      <w:r>
        <w:rPr>
          <w:rFonts w:ascii="Calibri" w:hAnsi="Calibri"/>
          <w:b/>
          <w:color w:val="065F46"/>
          <w:sz w:val="24"/>
        </w:rPr>
        <w:t>4.3  Rewards — the ladder up</w:t>
      </w:r>
    </w:p>
    <w:p>
      <w:pPr>
        <w:spacing w:before="0" w:after="80"/>
      </w:pPr>
      <w:r>
        <w:rPr>
          <w:rFonts w:ascii="Calibri" w:hAnsi="Calibri"/>
          <w:b w:val="0"/>
          <w:i w:val="0"/>
          <w:color w:val="1A1A1A"/>
          <w:sz w:val="21"/>
        </w:rPr>
        <w:t>Clean cycle → limit graduation · rate step-down · processing-fee waiver at rung four · instant re-borrow that skips the officer stages the lender marked skippable · early-settlement rebate · Micro Eazy Gold, which routes to the best-priced listing first · referral credit.</w:t>
      </w:r>
    </w:p>
    <w:p>
      <w:pPr>
        <w:spacing w:before="220" w:after="60"/>
      </w:pPr>
      <w:r>
        <w:rPr>
          <w:rFonts w:ascii="Calibri" w:hAnsi="Calibri"/>
          <w:b/>
          <w:color w:val="065F46"/>
          <w:sz w:val="24"/>
        </w:rPr>
        <w:t>4.4  Consequences — proportionate, disclosed up front, never a surprise</w:t>
      </w:r>
    </w:p>
    <w:p>
      <w:pPr>
        <w:spacing w:before="0" w:after="80"/>
      </w:pPr>
      <w:r>
        <w:rPr>
          <w:rFonts w:ascii="Calibri" w:hAnsi="Calibri"/>
          <w:b w:val="0"/>
          <w:i w:val="0"/>
          <w:color w:val="1A1A1A"/>
          <w:sz w:val="21"/>
        </w:rPr>
        <w:t>Missed instalment → reminder ladder at T-3, T-1 and T0 → promise-to-pay → agent call → geo-pinned field visit → limit freeze → limit reduction → rate step-up → CRB listing at the disclosed threshold, by the lender-of-record → ecosystem stop-flag.</w:t>
      </w:r>
    </w:p>
    <w:p>
      <w:pPr>
        <w:spacing w:before="80" w:after="120"/>
        <w:ind w:left="340"/>
        <w:pBdr>
          <w:left w:val="single" w:sz="18" w:space="8" w:color="10B981"/>
        </w:pBdr>
      </w:pPr>
      <w:r>
        <w:rPr>
          <w:rFonts w:ascii="Georgia" w:hAnsi="Georgia"/>
          <w:color w:val="1A1A1A"/>
          <w:sz w:val="22"/>
        </w:rPr>
        <w:t>“Every rung is written into the agreement the customer signs, and every rung is visible in the app before it is reached. A consequence the customer was warned about is collections. A consequence they were not is a complaint to the regulator.”</w:t>
      </w:r>
    </w:p>
    <w:p>
      <w:pPr>
        <w:spacing w:before="220" w:after="60"/>
      </w:pPr>
      <w:r>
        <w:rPr>
          <w:rFonts w:ascii="Calibri" w:hAnsi="Calibri"/>
          <w:b/>
          <w:color w:val="065F46"/>
          <w:sz w:val="24"/>
        </w:rPr>
        <w:t>4.5  Responsible AI — non-negotiable, ecosystem-wide</w:t>
      </w:r>
    </w:p>
    <w:p>
      <w:pPr>
        <w:spacing w:after="60"/>
        <w:ind w:left="482"/>
      </w:pPr>
      <w:r>
        <w:rPr>
          <w:rFonts w:ascii="Calibri" w:hAnsi="Calibri"/>
          <w:color w:val="10B981"/>
          <w:sz w:val="21"/>
        </w:rPr>
        <w:t xml:space="preserve">•   </w:t>
      </w:r>
      <w:r>
        <w:rPr>
          <w:rFonts w:ascii="Calibri" w:hAnsi="Calibri"/>
          <w:color w:val="1A1A1A"/>
          <w:sz w:val="21"/>
        </w:rPr>
        <w:t>Every model output carries its model version, input hash and reason codes, persisted.</w:t>
      </w:r>
    </w:p>
    <w:p>
      <w:pPr>
        <w:spacing w:after="60"/>
        <w:ind w:left="482"/>
      </w:pPr>
      <w:r>
        <w:rPr>
          <w:rFonts w:ascii="Calibri" w:hAnsi="Calibri"/>
          <w:color w:val="10B981"/>
          <w:sz w:val="21"/>
        </w:rPr>
        <w:t xml:space="preserve">•   </w:t>
      </w:r>
      <w:r>
        <w:rPr>
          <w:rFonts w:ascii="Calibri" w:hAnsi="Calibri"/>
          <w:color w:val="1A1A1A"/>
          <w:sz w:val="21"/>
        </w:rPr>
        <w:t>Server-side recompute only. The client is never trusted with a score.</w:t>
      </w:r>
    </w:p>
    <w:p>
      <w:pPr>
        <w:spacing w:after="60"/>
        <w:ind w:left="482"/>
      </w:pPr>
      <w:r>
        <w:rPr>
          <w:rFonts w:ascii="Calibri" w:hAnsi="Calibri"/>
          <w:color w:val="10B981"/>
          <w:sz w:val="21"/>
        </w:rPr>
        <w:t xml:space="preserve">•   </w:t>
      </w:r>
      <w:r>
        <w:rPr>
          <w:rFonts w:ascii="Calibri" w:hAnsi="Calibri"/>
          <w:color w:val="1A1A1A"/>
          <w:sz w:val="21"/>
        </w:rPr>
        <w:t>No fully automatic adverse decision beyond the lender’s own disclosed floor.</w:t>
      </w:r>
    </w:p>
    <w:p>
      <w:pPr>
        <w:spacing w:after="60"/>
        <w:ind w:left="482"/>
      </w:pPr>
      <w:r>
        <w:rPr>
          <w:rFonts w:ascii="Calibri" w:hAnsi="Calibri"/>
          <w:color w:val="10B981"/>
          <w:sz w:val="21"/>
        </w:rPr>
        <w:t xml:space="preserve">•   </w:t>
      </w:r>
      <w:r>
        <w:rPr>
          <w:rFonts w:ascii="Calibri" w:hAnsi="Calibri"/>
          <w:color w:val="1A1A1A"/>
          <w:sz w:val="21"/>
        </w:rPr>
        <w:t>Every decision is reproducible — “why was I declined in March?” is answerable in March’s terms, because the policy version, product version, inputs and full stage trace are all stored.</w:t>
      </w:r>
    </w:p>
    <w:p>
      <w:pPr>
        <w:spacing w:after="60"/>
        <w:ind w:left="482"/>
      </w:pPr>
      <w:r>
        <w:rPr>
          <w:rFonts w:ascii="Calibri" w:hAnsi="Calibri"/>
          <w:color w:val="10B981"/>
          <w:sz w:val="21"/>
        </w:rPr>
        <w:t xml:space="preserve">•   </w:t>
      </w:r>
      <w:r>
        <w:rPr>
          <w:rFonts w:ascii="Calibri" w:hAnsi="Calibri"/>
          <w:color w:val="1A1A1A"/>
          <w:sz w:val="21"/>
        </w:rPr>
        <w:t>Cross-border minimisation — features and aggregates leave, raw personal data does not.</w:t>
      </w:r>
    </w:p>
    <w:p>
      <w:pPr>
        <w:spacing w:after="60"/>
        <w:ind w:left="482"/>
      </w:pPr>
      <w:r>
        <w:rPr>
          <w:rFonts w:ascii="Calibri" w:hAnsi="Calibri"/>
          <w:color w:val="10B981"/>
          <w:sz w:val="21"/>
        </w:rPr>
        <w:t xml:space="preserve">•   </w:t>
      </w:r>
      <w:r>
        <w:rPr>
          <w:rFonts w:ascii="Calibri" w:hAnsi="Calibri"/>
          <w:color w:val="1A1A1A"/>
          <w:sz w:val="21"/>
        </w:rPr>
        <w:t>Bias monitoring on the closed ML loop: the 300-outcome gate, Wilson intervals, priced errors.</w:t>
      </w:r>
    </w:p>
    <w:p>
      <w:r>
        <w:br w:type="page"/>
      </w:r>
    </w:p>
    <w:p>
      <w:pPr>
        <w:spacing w:after="40"/>
      </w:pPr>
      <w:r>
        <w:rPr>
          <w:rFonts w:ascii="Calibri" w:hAnsi="Calibri"/>
          <w:b/>
          <w:color w:val="10B981"/>
          <w:sz w:val="22"/>
        </w:rPr>
        <w:t>5</w:t>
      </w:r>
      <w:r>
        <w:rPr>
          <w:rFonts w:ascii="Calibri" w:hAnsi="Calibri"/>
          <w:b/>
          <w:color w:val="065F46"/>
          <w:sz w:val="34"/>
        </w:rPr>
        <w:t xml:space="preserve">   Architecture — two realms, one spine</w:t>
      </w:r>
    </w:p>
    <w:p>
      <w:pPr>
        <w:pBdr>
          <w:bottom w:val="single" w:sz="6" w:space="1" w:color="DDDDDD"/>
        </w:pBdr>
        <w:spacing w:after="120"/>
      </w:pP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5"/>
              </w:rPr>
              <w:t xml:space="preserve">                    BIRGENAI HUB  (birgenai.com)</w:t>
            </w:r>
          </w:p>
          <w:p>
            <w:pPr>
              <w:spacing w:after="0" w:before="0"/>
              <w:ind w:left="113"/>
            </w:pPr>
            <w:r>
              <w:rPr>
                <w:rFonts w:ascii="Consolas" w:hAnsi="Consolas"/>
                <w:color w:val="1A1A1A"/>
                <w:sz w:val="15"/>
              </w:rPr>
              <w:t xml:space="preserve">             App store  &gt;  Loans &amp; Credit  &gt;  [ Micro Eazy ]</w:t>
            </w:r>
          </w:p>
          <w:p>
            <w:pPr>
              <w:spacing w:after="0" w:before="0"/>
              <w:ind w:left="113"/>
            </w:pPr>
            <w:r>
              <w:rPr>
                <w:rFonts w:ascii="Consolas" w:hAnsi="Consolas"/>
                <w:color w:val="1A1A1A"/>
                <w:sz w:val="15"/>
              </w:rPr>
              <w:t xml:space="preserve">                              |  install / launch (SSO)</w:t>
            </w:r>
          </w:p>
          <w:p>
            <w:pPr>
              <w:spacing w:after="0" w:before="0"/>
              <w:ind w:left="113"/>
            </w:pPr>
            <w:r>
              <w:rPr>
                <w:rFonts w:ascii="Consolas" w:hAnsi="Consolas"/>
                <w:color w:val="1A1A1A"/>
                <w:sz w:val="15"/>
              </w:rPr>
              <w:t xml:space="preserve">                              v</w:t>
            </w:r>
          </w:p>
          <w:p>
            <w:pPr>
              <w:spacing w:after="0" w:before="0"/>
              <w:ind w:left="113"/>
            </w:pPr>
            <w:r>
              <w:rPr>
                <w:rFonts w:ascii="Consolas" w:hAnsi="Consolas"/>
                <w:color w:val="1A1A1A"/>
                <w:sz w:val="15"/>
              </w:rPr>
              <w:t xml:space="preserve">  +---------------------+  +--------------------+  +----------------------------+</w:t>
            </w:r>
          </w:p>
          <w:p>
            <w:pPr>
              <w:spacing w:after="0" w:before="0"/>
              <w:ind w:left="113"/>
            </w:pPr>
            <w:r>
              <w:rPr>
                <w:rFonts w:ascii="Consolas" w:hAnsi="Consolas"/>
                <w:color w:val="1A1A1A"/>
                <w:sz w:val="15"/>
              </w:rPr>
              <w:t xml:space="preserve">  |  REALM B  CUSTOMER  |  |     THE SPINE      |  |  REALM A  LENDER           |</w:t>
            </w:r>
          </w:p>
          <w:p>
            <w:pPr>
              <w:spacing w:after="0" w:before="0"/>
              <w:ind w:left="113"/>
            </w:pPr>
            <w:r>
              <w:rPr>
                <w:rFonts w:ascii="Consolas" w:hAnsi="Consolas"/>
                <w:color w:val="1A1A1A"/>
                <w:sz w:val="15"/>
              </w:rPr>
              <w:t xml:space="preserve">  | microeazy.birgenai  |  | MICRO EAZY EXCHANGE|  |  Super LMS console         |</w:t>
            </w:r>
          </w:p>
          <w:p>
            <w:pPr>
              <w:spacing w:after="0" w:before="0"/>
              <w:ind w:left="113"/>
            </w:pPr>
            <w:r>
              <w:rPr>
                <w:rFonts w:ascii="Consolas" w:hAnsi="Consolas"/>
                <w:color w:val="1A1A1A"/>
                <w:sz w:val="15"/>
              </w:rPr>
              <w:t xml:space="preserve">  | installable PWA     |  |                    |  |                            |</w:t>
            </w:r>
          </w:p>
          <w:p>
            <w:pPr>
              <w:spacing w:after="0" w:before="0"/>
              <w:ind w:left="113"/>
            </w:pPr>
            <w:r>
              <w:rPr>
                <w:rFonts w:ascii="Consolas" w:hAnsi="Consolas"/>
                <w:color w:val="1A1A1A"/>
                <w:sz w:val="15"/>
              </w:rPr>
              <w:t xml:space="preserve">  |                     |  |  . Listings        |  |  . products &amp; workflows    |</w:t>
            </w:r>
          </w:p>
          <w:p>
            <w:pPr>
              <w:spacing w:after="0" w:before="0"/>
              <w:ind w:left="113"/>
            </w:pPr>
            <w:r>
              <w:rPr>
                <w:rFonts w:ascii="Consolas" w:hAnsi="Consolas"/>
                <w:color w:val="1A1A1A"/>
                <w:sz w:val="15"/>
              </w:rPr>
              <w:t xml:space="preserve">  | . one identity      |&lt;&gt;|  . Allocation      |&lt;&gt;|  . officer queues          |</w:t>
            </w:r>
          </w:p>
          <w:p>
            <w:pPr>
              <w:spacing w:after="0" w:before="0"/>
              <w:ind w:left="113"/>
            </w:pPr>
            <w:r>
              <w:rPr>
                <w:rFonts w:ascii="Consolas" w:hAnsi="Consolas"/>
                <w:color w:val="1A1A1A"/>
                <w:sz w:val="15"/>
              </w:rPr>
              <w:t xml:space="preserve">  | . one KYC, reusable |  |    policy          |  |  . disbursement / float    |</w:t>
            </w:r>
          </w:p>
          <w:p>
            <w:pPr>
              <w:spacing w:after="0" w:before="0"/>
              <w:ind w:left="113"/>
            </w:pPr>
            <w:r>
              <w:rPr>
                <w:rFonts w:ascii="Consolas" w:hAnsi="Consolas"/>
                <w:color w:val="1A1A1A"/>
                <w:sz w:val="15"/>
              </w:rPr>
              <w:t xml:space="preserve">  | . apply/offer/sign  |  |  . Appetite ledger |  |  . collections / field     |</w:t>
            </w:r>
          </w:p>
          <w:p>
            <w:pPr>
              <w:spacing w:after="0" w:before="0"/>
              <w:ind w:left="113"/>
            </w:pPr>
            <w:r>
              <w:rPr>
                <w:rFonts w:ascii="Consolas" w:hAnsi="Consolas"/>
                <w:color w:val="1A1A1A"/>
                <w:sz w:val="15"/>
              </w:rPr>
              <w:t xml:space="preserve">  | . pay / auto-repay  |  |  . RoFR + SLA      |  |  . Riri / analytics        |</w:t>
            </w:r>
          </w:p>
          <w:p>
            <w:pPr>
              <w:spacing w:after="0" w:before="0"/>
              <w:ind w:left="113"/>
            </w:pPr>
            <w:r>
              <w:rPr>
                <w:rFonts w:ascii="Consolas" w:hAnsi="Consolas"/>
                <w:color w:val="1A1A1A"/>
                <w:sz w:val="15"/>
              </w:rPr>
              <w:t xml:space="preserve">  | . limit ladder      |  |  . Routing record  |  |  . HR / Accounts / Calls   |</w:t>
            </w:r>
          </w:p>
          <w:p>
            <w:pPr>
              <w:spacing w:after="0" w:before="0"/>
              <w:ind w:left="113"/>
            </w:pPr>
            <w:r>
              <w:rPr>
                <w:rFonts w:ascii="Consolas" w:hAnsi="Consolas"/>
                <w:color w:val="1A1A1A"/>
                <w:sz w:val="15"/>
              </w:rPr>
              <w:t xml:space="preserve">  | . why-declined      |  |    (reason codes)  |  |                            |</w:t>
            </w:r>
          </w:p>
          <w:p>
            <w:pPr>
              <w:spacing w:after="0" w:before="0"/>
              <w:ind w:left="113"/>
            </w:pPr>
            <w:r>
              <w:rPr>
                <w:rFonts w:ascii="Consolas" w:hAnsi="Consolas"/>
                <w:color w:val="1A1A1A"/>
                <w:sz w:val="15"/>
              </w:rPr>
              <w:t xml:space="preserve">  | . Internal Report   |  |                    |  |  ServiceSuite BRIDGE ------+--&gt; Micromart</w:t>
            </w:r>
          </w:p>
          <w:p>
            <w:pPr>
              <w:spacing w:after="0" w:before="0"/>
              <w:ind w:left="113"/>
            </w:pPr>
            <w:r>
              <w:rPr>
                <w:rFonts w:ascii="Consolas" w:hAnsi="Consolas"/>
                <w:color w:val="1A1A1A"/>
                <w:sz w:val="15"/>
              </w:rPr>
              <w:t xml:space="preserve">  | . rewards / tier    |  | -- TRUST CONTRACT -|  |  sp_InsertLoan -&gt; workflow |    live book</w:t>
            </w:r>
          </w:p>
          <w:p>
            <w:pPr>
              <w:spacing w:after="0" w:before="0"/>
              <w:ind w:left="113"/>
            </w:pPr>
            <w:r>
              <w:rPr>
                <w:rFonts w:ascii="Consolas" w:hAnsi="Consolas"/>
                <w:color w:val="1A1A1A"/>
                <w:sz w:val="15"/>
              </w:rPr>
              <w:t xml:space="preserve">  +---------------------+  +--------------------+  +----------------------------+</w:t>
            </w:r>
          </w:p>
          <w:p>
            <w:pPr>
              <w:spacing w:after="0" w:before="0"/>
              <w:ind w:left="113"/>
            </w:pPr>
            <w:r>
              <w:rPr>
                <w:rFonts w:ascii="Consolas" w:hAnsi="Consolas"/>
                <w:color w:val="1A1A1A"/>
                <w:sz w:val="15"/>
              </w:rPr>
            </w:r>
          </w:p>
          <w:p>
            <w:pPr>
              <w:spacing w:after="0" w:before="0"/>
              <w:ind w:left="113"/>
            </w:pPr>
            <w:r>
              <w:rPr>
                <w:rFonts w:ascii="Consolas" w:hAnsi="Consolas"/>
                <w:color w:val="1A1A1A"/>
                <w:sz w:val="15"/>
              </w:rPr>
              <w:t xml:space="preserve">        SHARED INTELLIGENCE  (API-first, separable, embeddable)</w:t>
            </w:r>
          </w:p>
          <w:p>
            <w:pPr>
              <w:spacing w:after="0" w:before="0"/>
              <w:ind w:left="113"/>
            </w:pPr>
            <w:r>
              <w:rPr>
                <w:rFonts w:ascii="Consolas" w:hAnsi="Consolas"/>
                <w:color w:val="1A1A1A"/>
                <w:sz w:val="15"/>
              </w:rPr>
              <w:t xml:space="preserve">   Statement Cruncher . Internal Score . CRB . Decision Engine .</w:t>
            </w:r>
          </w:p>
          <w:p>
            <w:pPr>
              <w:spacing w:after="0" w:before="0"/>
              <w:ind w:left="113"/>
            </w:pPr>
            <w:r>
              <w:rPr>
                <w:rFonts w:ascii="Consolas" w:hAnsi="Consolas"/>
                <w:color w:val="1A1A1A"/>
                <w:sz w:val="15"/>
              </w:rPr>
              <w:t xml:space="preserve">   Behavioural Monitor . Riri</w:t>
            </w:r>
          </w:p>
        </w:tc>
      </w:tr>
    </w:tbl>
    <w:p>
      <w:pPr>
        <w:spacing w:after="40"/>
      </w:pPr>
    </w:p>
    <w:p>
      <w:pPr>
        <w:spacing w:before="80" w:after="80"/>
      </w:pPr>
      <w:r>
        <w:rPr>
          <w:rFonts w:ascii="Calibri" w:hAnsi="Calibri"/>
          <w:b/>
          <w:i w:val="0"/>
          <w:color w:val="1A1A1A"/>
          <w:sz w:val="21"/>
        </w:rPr>
        <w:t>Realm A is roughly 80% built. The spine, and Realm B’s shell, are the new work.</w:t>
      </w:r>
    </w:p>
    <w:p>
      <w:r>
        <w:br w:type="page"/>
      </w:r>
    </w:p>
    <w:p>
      <w:pPr>
        <w:spacing w:after="40"/>
      </w:pPr>
      <w:r>
        <w:rPr>
          <w:rFonts w:ascii="Calibri" w:hAnsi="Calibri"/>
          <w:b/>
          <w:color w:val="10B981"/>
          <w:sz w:val="22"/>
        </w:rPr>
        <w:t>6</w:t>
      </w:r>
      <w:r>
        <w:rPr>
          <w:rFonts w:ascii="Calibri" w:hAnsi="Calibri"/>
          <w:b/>
          <w:color w:val="065F46"/>
          <w:sz w:val="34"/>
        </w:rPr>
        <w:t xml:space="preserve">   The Micro Eazy Exchange — the actual invention</w:t>
      </w:r>
    </w:p>
    <w:p>
      <w:pPr>
        <w:pBdr>
          <w:bottom w:val="single" w:sz="6" w:space="1" w:color="DDDDDD"/>
        </w:pBdr>
        <w:spacing w:after="120"/>
      </w:pPr>
    </w:p>
    <w:p>
      <w:pPr>
        <w:spacing w:before="0" w:after="80"/>
      </w:pPr>
      <w:r>
        <w:rPr>
          <w:rFonts w:ascii="Calibri" w:hAnsi="Calibri"/>
          <w:b w:val="0"/>
          <w:i w:val="0"/>
          <w:color w:val="1A1A1A"/>
          <w:sz w:val="21"/>
        </w:rPr>
        <w:t>Everything else in this document is assembly. This is the new product.</w:t>
      </w:r>
    </w:p>
    <w:p>
      <w:pPr>
        <w:spacing w:before="0" w:after="80"/>
      </w:pPr>
      <w:r>
        <w:rPr>
          <w:rFonts w:ascii="Calibri" w:hAnsi="Calibri"/>
          <w:b w:val="0"/>
          <w:i w:val="0"/>
          <w:color w:val="1A1A1A"/>
          <w:sz w:val="21"/>
        </w:rPr>
        <w:t>Today the decision engine’s routing stage answers “who inside this lender may approve?” It does not answer “which lender gets this customer?” — because until now there has only ever been one.</w:t>
      </w:r>
    </w:p>
    <w:p>
      <w:pPr>
        <w:spacing w:before="220" w:after="60"/>
      </w:pPr>
      <w:r>
        <w:rPr>
          <w:rFonts w:ascii="Calibri" w:hAnsi="Calibri"/>
          <w:b/>
          <w:color w:val="065F46"/>
          <w:sz w:val="24"/>
        </w:rPr>
        <w:t>6.1  Design principle: a pre-pass, not a rewrite</w:t>
      </w:r>
    </w:p>
    <w:p>
      <w:pPr>
        <w:spacing w:before="0" w:after="80"/>
      </w:pPr>
      <w:r>
        <w:rPr>
          <w:rFonts w:ascii="Calibri" w:hAnsi="Calibri"/>
          <w:b w:val="0"/>
          <w:i w:val="0"/>
          <w:color w:val="1A1A1A"/>
          <w:sz w:val="21"/>
        </w:rPr>
        <w:t>The decision engine is pure, reproducible and covered by parity tests. It does not change. The Exchange runs before it and picks the lender; the existing per-lender engine then runs unchanged inside that lender’s policy.</w:t>
      </w: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7"/>
              </w:rPr>
              <w:t xml:space="preserve">  applicant</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v</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  EXCHANGE PRE-PASS                         |</w:t>
            </w:r>
          </w:p>
          <w:p>
            <w:pPr>
              <w:spacing w:after="0" w:before="0"/>
              <w:ind w:left="113"/>
            </w:pPr>
            <w:r>
              <w:rPr>
                <w:rFonts w:ascii="Consolas" w:hAnsi="Consolas"/>
                <w:color w:val="1A1A1A"/>
                <w:sz w:val="17"/>
              </w:rPr>
              <w:t xml:space="preserve">  |  1. eligible listings for this applicant   |</w:t>
            </w:r>
          </w:p>
          <w:p>
            <w:pPr>
              <w:spacing w:after="0" w:before="0"/>
              <w:ind w:left="113"/>
            </w:pPr>
            <w:r>
              <w:rPr>
                <w:rFonts w:ascii="Consolas" w:hAnsi="Consolas"/>
                <w:color w:val="1A1A1A"/>
                <w:sz w:val="17"/>
              </w:rPr>
              <w:t xml:space="preserve">  |  2. appetite / quota check per lender      |</w:t>
            </w:r>
          </w:p>
          <w:p>
            <w:pPr>
              <w:spacing w:after="0" w:before="0"/>
              <w:ind w:left="113"/>
            </w:pPr>
            <w:r>
              <w:rPr>
                <w:rFonts w:ascii="Consolas" w:hAnsi="Consolas"/>
                <w:color w:val="1A1A1A"/>
                <w:sz w:val="17"/>
              </w:rPr>
              <w:t xml:space="preserve">  |  3. allocation policy applied              |</w:t>
            </w:r>
          </w:p>
          <w:p>
            <w:pPr>
              <w:spacing w:after="0" w:before="0"/>
              <w:ind w:left="113"/>
            </w:pPr>
            <w:r>
              <w:rPr>
                <w:rFonts w:ascii="Consolas" w:hAnsi="Consolas"/>
                <w:color w:val="1A1A1A"/>
                <w:sz w:val="17"/>
              </w:rPr>
              <w:t xml:space="preserve">  |  4. right-of-first-refusal + SLA clock     |</w:t>
            </w:r>
          </w:p>
          <w:p>
            <w:pPr>
              <w:spacing w:after="0" w:before="0"/>
              <w:ind w:left="113"/>
            </w:pPr>
            <w:r>
              <w:rPr>
                <w:rFonts w:ascii="Consolas" w:hAnsi="Consolas"/>
                <w:color w:val="1A1A1A"/>
                <w:sz w:val="17"/>
              </w:rPr>
              <w:t xml:space="preserve">  |  -&gt; { orgId, listingId, reasons[] }        |</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v</w:t>
            </w:r>
          </w:p>
          <w:p>
            <w:pPr>
              <w:spacing w:after="0" w:before="0"/>
              <w:ind w:left="113"/>
            </w:pPr>
            <w:r>
              <w:rPr>
                <w:rFonts w:ascii="Consolas" w:hAnsi="Consolas"/>
                <w:color w:val="1A1A1A"/>
                <w:sz w:val="17"/>
              </w:rPr>
              <w:t xml:space="preserve">     candidatesFor(orgId) -&gt; engine.decide(...)   &lt;-- UNCHANGED</w:t>
            </w:r>
          </w:p>
          <w:p>
            <w:pPr>
              <w:spacing w:after="0" w:before="0"/>
              <w:ind w:left="113"/>
            </w:pPr>
            <w:r>
              <w:rPr>
                <w:rFonts w:ascii="Consolas" w:hAnsi="Consolas"/>
                <w:color w:val="1A1A1A"/>
                <w:sz w:val="17"/>
              </w:rPr>
              <w:t xml:space="preserve">                        v</w:t>
            </w:r>
          </w:p>
          <w:p>
            <w:pPr>
              <w:spacing w:after="0" w:before="0"/>
              <w:ind w:left="113"/>
            </w:pPr>
            <w:r>
              <w:rPr>
                <w:rFonts w:ascii="Consolas" w:hAnsi="Consolas"/>
                <w:color w:val="1A1A1A"/>
                <w:sz w:val="17"/>
              </w:rPr>
              <w:t xml:space="preserve">     offer . workflow . disbursement (that lender's rails)</w:t>
            </w:r>
          </w:p>
        </w:tc>
      </w:tr>
    </w:tbl>
    <w:p>
      <w:pPr>
        <w:spacing w:after="40"/>
      </w:pPr>
    </w:p>
    <w:p>
      <w:pPr>
        <w:spacing w:before="220" w:after="60"/>
      </w:pPr>
      <w:r>
        <w:rPr>
          <w:rFonts w:ascii="Calibri" w:hAnsi="Calibri"/>
          <w:b/>
          <w:color w:val="065F46"/>
          <w:sz w:val="24"/>
        </w:rPr>
        <w:t>6.2  The five allocation modes</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fill="065F46"/>
          </w:tcPr>
          <w:p>
            <w:pPr>
              <w:spacing w:after="40" w:before="40"/>
            </w:pPr>
            <w:r/>
            <w:r>
              <w:rPr>
                <w:rFonts w:ascii="Calibri" w:hAnsi="Calibri"/>
                <w:b/>
                <w:color w:val="FFFFFF"/>
                <w:sz w:val="18"/>
              </w:rPr>
              <w:t>Mode</w:t>
            </w:r>
          </w:p>
        </w:tc>
        <w:tc>
          <w:tcPr>
            <w:tcW w:type="dxa" w:w="4195"/>
            <w:shd w:val="clear" w:fill="065F46"/>
          </w:tcPr>
          <w:p>
            <w:pPr>
              <w:spacing w:after="40" w:before="40"/>
            </w:pPr>
            <w:r/>
            <w:r>
              <w:rPr>
                <w:rFonts w:ascii="Calibri" w:hAnsi="Calibri"/>
                <w:b/>
                <w:color w:val="FFFFFF"/>
                <w:sz w:val="18"/>
              </w:rPr>
              <w:t>What it does</w:t>
            </w:r>
          </w:p>
        </w:tc>
        <w:tc>
          <w:tcPr>
            <w:tcW w:type="dxa" w:w="3628"/>
            <w:shd w:val="clear" w:fill="065F46"/>
          </w:tcPr>
          <w:p>
            <w:pPr>
              <w:spacing w:after="40" w:before="40"/>
            </w:pPr>
            <w:r/>
            <w:r>
              <w:rPr>
                <w:rFonts w:ascii="Calibri" w:hAnsi="Calibri"/>
                <w:b/>
                <w:color w:val="FFFFFF"/>
                <w:sz w:val="18"/>
              </w:rPr>
              <w:t>When it turns on</w:t>
            </w:r>
          </w:p>
        </w:tc>
      </w:tr>
      <w:tr>
        <w:tc>
          <w:tcPr>
            <w:tcW w:type="dxa" w:w="1701"/>
          </w:tcPr>
          <w:p>
            <w:pPr>
              <w:spacing w:after="40" w:before="40"/>
            </w:pPr>
            <w:r/>
            <w:r>
              <w:rPr>
                <w:rFonts w:ascii="Calibri" w:hAnsi="Calibri"/>
                <w:b/>
                <w:color w:val="1A1A1A"/>
                <w:sz w:val="18"/>
              </w:rPr>
              <w:t>SOLE</w:t>
            </w:r>
          </w:p>
        </w:tc>
        <w:tc>
          <w:tcPr>
            <w:tcW w:type="dxa" w:w="4195"/>
          </w:tcPr>
          <w:p>
            <w:pPr>
              <w:spacing w:after="40" w:before="40"/>
            </w:pPr>
            <w:r/>
            <w:r>
              <w:rPr>
                <w:rFonts w:ascii="Calibri" w:hAnsi="Calibri"/>
                <w:color w:val="1A1A1A"/>
                <w:sz w:val="18"/>
              </w:rPr>
              <w:t>One lender takes everything.</w:t>
            </w:r>
          </w:p>
        </w:tc>
        <w:tc>
          <w:tcPr>
            <w:tcW w:type="dxa" w:w="3628"/>
          </w:tcPr>
          <w:p>
            <w:pPr>
              <w:spacing w:after="40" w:before="40"/>
            </w:pPr>
            <w:r/>
            <w:r>
              <w:rPr>
                <w:rFonts w:ascii="Calibri" w:hAnsi="Calibri"/>
                <w:color w:val="1A1A1A"/>
                <w:sz w:val="18"/>
              </w:rPr>
              <w:t>Launch — Micromart.</w:t>
            </w:r>
          </w:p>
        </w:tc>
      </w:tr>
      <w:tr>
        <w:tc>
          <w:tcPr>
            <w:tcW w:type="dxa" w:w="1701"/>
          </w:tcPr>
          <w:p>
            <w:pPr>
              <w:spacing w:after="40" w:before="40"/>
            </w:pPr>
            <w:r/>
            <w:r>
              <w:rPr>
                <w:rFonts w:ascii="Calibri" w:hAnsi="Calibri"/>
                <w:b/>
                <w:color w:val="1A1A1A"/>
                <w:sz w:val="18"/>
              </w:rPr>
              <w:t>WEIGHTED</w:t>
            </w:r>
          </w:p>
        </w:tc>
        <w:tc>
          <w:tcPr>
            <w:tcW w:type="dxa" w:w="4195"/>
          </w:tcPr>
          <w:p>
            <w:pPr>
              <w:spacing w:after="40" w:before="40"/>
            </w:pPr>
            <w:r/>
            <w:r>
              <w:rPr>
                <w:rFonts w:ascii="Calibri" w:hAnsi="Calibri"/>
                <w:color w:val="1A1A1A"/>
                <w:sz w:val="18"/>
              </w:rPr>
              <w:t>Round-robin by capital-share weights.</w:t>
            </w:r>
          </w:p>
        </w:tc>
        <w:tc>
          <w:tcPr>
            <w:tcW w:type="dxa" w:w="3628"/>
          </w:tcPr>
          <w:p>
            <w:pPr>
              <w:spacing w:after="40" w:before="40"/>
            </w:pPr>
            <w:r/>
            <w:r>
              <w:rPr>
                <w:rFonts w:ascii="Calibri" w:hAnsi="Calibri"/>
                <w:color w:val="1A1A1A"/>
                <w:sz w:val="18"/>
              </w:rPr>
              <w:t>Lender #2 and #3 arrive with different balance sheets.</w:t>
            </w:r>
          </w:p>
        </w:tc>
      </w:tr>
      <w:tr>
        <w:tc>
          <w:tcPr>
            <w:tcW w:type="dxa" w:w="1701"/>
          </w:tcPr>
          <w:p>
            <w:pPr>
              <w:spacing w:after="40" w:before="40"/>
            </w:pPr>
            <w:r/>
            <w:r>
              <w:rPr>
                <w:rFonts w:ascii="Calibri" w:hAnsi="Calibri"/>
                <w:b/>
                <w:color w:val="1A1A1A"/>
                <w:sz w:val="18"/>
              </w:rPr>
              <w:t>CAPACITY_FIRST</w:t>
            </w:r>
          </w:p>
        </w:tc>
        <w:tc>
          <w:tcPr>
            <w:tcW w:type="dxa" w:w="4195"/>
          </w:tcPr>
          <w:p>
            <w:pPr>
              <w:spacing w:after="40" w:before="40"/>
            </w:pPr>
            <w:r/>
            <w:r>
              <w:rPr>
                <w:rFonts w:ascii="Calibri" w:hAnsi="Calibri"/>
                <w:color w:val="1A1A1A"/>
                <w:sz w:val="18"/>
              </w:rPr>
              <w:t>Route to whoever has remaining appetite today.</w:t>
            </w:r>
          </w:p>
        </w:tc>
        <w:tc>
          <w:tcPr>
            <w:tcW w:type="dxa" w:w="3628"/>
          </w:tcPr>
          <w:p>
            <w:pPr>
              <w:spacing w:after="40" w:before="40"/>
            </w:pPr>
            <w:r/>
            <w:r>
              <w:rPr>
                <w:rFonts w:ascii="Calibri" w:hAnsi="Calibri"/>
                <w:color w:val="1A1A1A"/>
                <w:sz w:val="18"/>
              </w:rPr>
              <w:t>Protects lenders from flooding, customers from silent queues.</w:t>
            </w:r>
          </w:p>
        </w:tc>
      </w:tr>
      <w:tr>
        <w:tc>
          <w:tcPr>
            <w:tcW w:type="dxa" w:w="1701"/>
          </w:tcPr>
          <w:p>
            <w:pPr>
              <w:spacing w:after="40" w:before="40"/>
            </w:pPr>
            <w:r/>
            <w:r>
              <w:rPr>
                <w:rFonts w:ascii="Calibri" w:hAnsi="Calibri"/>
                <w:b/>
                <w:color w:val="1A1A1A"/>
                <w:sz w:val="18"/>
              </w:rPr>
              <w:t>BEST_FIT</w:t>
            </w:r>
          </w:p>
        </w:tc>
        <w:tc>
          <w:tcPr>
            <w:tcW w:type="dxa" w:w="4195"/>
          </w:tcPr>
          <w:p>
            <w:pPr>
              <w:spacing w:after="40" w:before="40"/>
            </w:pPr>
            <w:r/>
            <w:r>
              <w:rPr>
                <w:rFonts w:ascii="Calibri" w:hAnsi="Calibri"/>
                <w:color w:val="1A1A1A"/>
                <w:sz w:val="18"/>
              </w:rPr>
              <w:t>Price the applicant against every live listing; the customer gets the best affordable offer and sees why.</w:t>
            </w:r>
          </w:p>
        </w:tc>
        <w:tc>
          <w:tcPr>
            <w:tcW w:type="dxa" w:w="3628"/>
          </w:tcPr>
          <w:p>
            <w:pPr>
              <w:spacing w:after="40" w:before="40"/>
            </w:pPr>
            <w:r/>
            <w:r>
              <w:rPr>
                <w:rFonts w:ascii="Calibri" w:hAnsi="Calibri"/>
                <w:color w:val="1A1A1A"/>
                <w:sz w:val="18"/>
              </w:rPr>
              <w:t>The endgame — this is what makes Micro Eazy a market rather than a funnel.</w:t>
            </w:r>
          </w:p>
        </w:tc>
      </w:tr>
      <w:tr>
        <w:tc>
          <w:tcPr>
            <w:tcW w:type="dxa" w:w="1701"/>
          </w:tcPr>
          <w:p>
            <w:pPr>
              <w:spacing w:after="40" w:before="40"/>
            </w:pPr>
            <w:r/>
            <w:r>
              <w:rPr>
                <w:rFonts w:ascii="Calibri" w:hAnsi="Calibri"/>
                <w:b/>
                <w:color w:val="1A1A1A"/>
                <w:sz w:val="18"/>
              </w:rPr>
              <w:t>WATERFALL</w:t>
            </w:r>
          </w:p>
        </w:tc>
        <w:tc>
          <w:tcPr>
            <w:tcW w:type="dxa" w:w="4195"/>
          </w:tcPr>
          <w:p>
            <w:pPr>
              <w:spacing w:after="40" w:before="40"/>
            </w:pPr>
            <w:r/>
            <w:r>
              <w:rPr>
                <w:rFonts w:ascii="Calibri" w:hAnsi="Calibri"/>
                <w:color w:val="1A1A1A"/>
                <w:sz w:val="18"/>
              </w:rPr>
              <w:t>First-look lender holds right of first refusal for N minutes, then the customer cascades.</w:t>
            </w:r>
          </w:p>
        </w:tc>
        <w:tc>
          <w:tcPr>
            <w:tcW w:type="dxa" w:w="3628"/>
          </w:tcPr>
          <w:p>
            <w:pPr>
              <w:spacing w:after="40" w:before="40"/>
            </w:pPr>
            <w:r/>
            <w:r>
              <w:rPr>
                <w:rFonts w:ascii="Calibri" w:hAnsi="Calibri"/>
                <w:color w:val="1A1A1A"/>
                <w:sz w:val="18"/>
              </w:rPr>
              <w:t>Sells premium first-look as a paid tier.</w:t>
            </w:r>
          </w:p>
        </w:tc>
      </w:tr>
    </w:tbl>
    <w:p>
      <w:pPr>
        <w:spacing w:after="40"/>
      </w:pPr>
    </w:p>
    <w:p>
      <w:pPr>
        <w:spacing w:before="80" w:after="120"/>
        <w:ind w:left="340"/>
        <w:pBdr>
          <w:left w:val="single" w:sz="18" w:space="8" w:color="10B981"/>
        </w:pBdr>
      </w:pPr>
      <w:r>
        <w:rPr>
          <w:rFonts w:ascii="Georgia" w:hAnsi="Georgia"/>
          <w:color w:val="1A1A1A"/>
          <w:sz w:val="22"/>
        </w:rPr>
        <w:t>“SOLE at launch. The other four ship in the code from day one, switched off — which is exactly what lets us tell the Micromart board “you are our only lender” and mean it, without rebuilding anything when that changes.”</w:t>
      </w:r>
    </w:p>
    <w:p>
      <w:pPr>
        <w:spacing w:before="220" w:after="60"/>
      </w:pPr>
      <w:r>
        <w:rPr>
          <w:rFonts w:ascii="Calibri" w:hAnsi="Calibri"/>
          <w:b/>
          <w:color w:val="065F46"/>
          <w:sz w:val="24"/>
        </w:rPr>
        <w:t>6.3  Every routing explains itself</w:t>
      </w:r>
    </w:p>
    <w:p>
      <w:pPr>
        <w:spacing w:before="0" w:after="80"/>
      </w:pPr>
      <w:r>
        <w:rPr>
          <w:rFonts w:ascii="Calibri" w:hAnsi="Calibri"/>
          <w:b w:val="0"/>
          <w:i w:val="0"/>
          <w:color w:val="1A1A1A"/>
          <w:sz w:val="21"/>
        </w:rPr>
        <w:t>The routing record reuses the engine’s reason-code shape, so the customer-facing “why” and the regulator-facing audit trail are the same object:</w:t>
      </w: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7"/>
              </w:rPr>
              <w:t>LENDER_AWARDED     Micromart Africa     Sole lender for Micro Eazy in this period</w:t>
            </w:r>
          </w:p>
          <w:p>
            <w:pPr>
              <w:spacing w:after="0" w:before="0"/>
              <w:ind w:left="113"/>
            </w:pPr>
            <w:r>
              <w:rPr>
                <w:rFonts w:ascii="Consolas" w:hAnsi="Consolas"/>
                <w:color w:val="1A1A1A"/>
                <w:sz w:val="17"/>
              </w:rPr>
              <w:t>LISTING_MATCH      Micro Eazy Monthly   KES 5,000-100,000 fits your assessed limit</w:t>
            </w:r>
          </w:p>
          <w:p>
            <w:pPr>
              <w:spacing w:after="0" w:before="0"/>
              <w:ind w:left="113"/>
            </w:pPr>
            <w:r>
              <w:rPr>
                <w:rFonts w:ascii="Consolas" w:hAnsi="Consolas"/>
                <w:color w:val="1A1A1A"/>
                <w:sz w:val="17"/>
              </w:rPr>
              <w:t xml:space="preserve">                                        of KES 25,000</w:t>
            </w:r>
          </w:p>
          <w:p>
            <w:pPr>
              <w:spacing w:after="0" w:before="0"/>
              <w:ind w:left="113"/>
            </w:pPr>
            <w:r>
              <w:rPr>
                <w:rFonts w:ascii="Consolas" w:hAnsi="Consolas"/>
                <w:color w:val="1A1A1A"/>
                <w:sz w:val="17"/>
              </w:rPr>
              <w:t>LISTING_EXCLUDED   Micro Eazy (weekly)  Your income cycle is monthly; weekly terms</w:t>
            </w:r>
          </w:p>
          <w:p>
            <w:pPr>
              <w:spacing w:after="0" w:before="0"/>
              <w:ind w:left="113"/>
            </w:pPr>
            <w:r>
              <w:rPr>
                <w:rFonts w:ascii="Consolas" w:hAnsi="Consolas"/>
                <w:color w:val="1A1A1A"/>
                <w:sz w:val="17"/>
              </w:rPr>
              <w:t xml:space="preserve">                                        were not offered</w:t>
            </w:r>
          </w:p>
          <w:p>
            <w:pPr>
              <w:spacing w:after="0" w:before="0"/>
              <w:ind w:left="113"/>
            </w:pPr>
            <w:r>
              <w:rPr>
                <w:rFonts w:ascii="Consolas" w:hAnsi="Consolas"/>
                <w:color w:val="1A1A1A"/>
                <w:sz w:val="17"/>
              </w:rPr>
              <w:t>APPETITE_OK        Micromart            Within today's remaining capacity</w:t>
            </w:r>
          </w:p>
        </w:tc>
      </w:tr>
    </w:tbl>
    <w:p>
      <w:pPr>
        <w:spacing w:after="40"/>
      </w:pPr>
    </w:p>
    <w:p>
      <w:pPr>
        <w:spacing w:before="0" w:after="140"/>
        <w:ind w:left="340"/>
      </w:pPr>
      <w:r>
        <w:rPr>
          <w:rFonts w:ascii="Calibri" w:hAnsi="Calibri"/>
          <w:i/>
          <w:color w:val="8A8A8A"/>
          <w:sz w:val="18"/>
        </w:rPr>
        <w:t>That last block is also a sales asset. It is the report you put in front of a lender to sell them a bigger quota.</w:t>
      </w:r>
    </w:p>
    <w:p>
      <w:r>
        <w:br w:type="page"/>
      </w:r>
    </w:p>
    <w:p>
      <w:pPr>
        <w:spacing w:after="40"/>
      </w:pPr>
      <w:r>
        <w:rPr>
          <w:rFonts w:ascii="Calibri" w:hAnsi="Calibri"/>
          <w:b/>
          <w:color w:val="10B981"/>
          <w:sz w:val="22"/>
        </w:rPr>
        <w:t>7</w:t>
      </w:r>
      <w:r>
        <w:rPr>
          <w:rFonts w:ascii="Calibri" w:hAnsi="Calibri"/>
          <w:b/>
          <w:color w:val="065F46"/>
          <w:sz w:val="34"/>
        </w:rPr>
        <w:t xml:space="preserve">   Realm B — the Micro Eazy app</w:t>
      </w:r>
    </w:p>
    <w:p>
      <w:pPr>
        <w:pBdr>
          <w:bottom w:val="single" w:sz="6" w:space="1" w:color="DDDDDD"/>
        </w:pBdr>
        <w:spacing w:after="120"/>
      </w:pPr>
    </w:p>
    <w:p>
      <w:pPr>
        <w:spacing w:before="0" w:after="80"/>
      </w:pPr>
      <w:r>
        <w:rPr>
          <w:rFonts w:ascii="Calibri" w:hAnsi="Calibri"/>
          <w:b w:val="0"/>
          <w:i w:val="0"/>
          <w:color w:val="1A1A1A"/>
          <w:sz w:val="21"/>
        </w:rPr>
        <w:t>Same codebase, new route group and host. No new repository.</w:t>
      </w:r>
    </w:p>
    <w:p>
      <w:pPr>
        <w:spacing w:before="220" w:after="60"/>
      </w:pPr>
      <w:r>
        <w:rPr>
          <w:rFonts w:ascii="Calibri" w:hAnsi="Calibri"/>
          <w:b/>
          <w:color w:val="065F46"/>
          <w:sz w:val="24"/>
        </w:rPr>
        <w:t>7.1  Ten of sixteen screens already exist</w:t>
      </w:r>
    </w:p>
    <w:tbl>
      <w:tblPr>
        <w:tblStyle w:val="TableGrid"/>
        <w:tblW w:type="auto" w:w="0"/>
        <w:jc w:val="left"/>
        <w:tblLook w:firstColumn="1" w:firstRow="1" w:lastColumn="0" w:lastRow="0" w:noHBand="0" w:noVBand="1" w:val="04A0"/>
      </w:tblPr>
      <w:tblGrid>
        <w:gridCol w:w="4873"/>
        <w:gridCol w:w="4873"/>
      </w:tblGrid>
      <w:tr>
        <w:tc>
          <w:tcPr>
            <w:tcW w:type="dxa" w:w="7370"/>
            <w:shd w:val="clear" w:fill="065F46"/>
          </w:tcPr>
          <w:p>
            <w:pPr>
              <w:spacing w:after="40" w:before="40"/>
            </w:pPr>
            <w:r/>
            <w:r>
              <w:rPr>
                <w:rFonts w:ascii="Calibri" w:hAnsi="Calibri"/>
                <w:b/>
                <w:color w:val="FFFFFF"/>
                <w:sz w:val="18"/>
              </w:rPr>
              <w:t>Screen</w:t>
            </w:r>
          </w:p>
        </w:tc>
        <w:tc>
          <w:tcPr>
            <w:tcW w:type="dxa" w:w="2154"/>
            <w:shd w:val="clear" w:fill="065F46"/>
          </w:tcPr>
          <w:p>
            <w:pPr>
              <w:spacing w:after="40" w:before="40"/>
            </w:pPr>
            <w:r/>
            <w:r>
              <w:rPr>
                <w:rFonts w:ascii="Calibri" w:hAnsi="Calibri"/>
                <w:b/>
                <w:color w:val="FFFFFF"/>
                <w:sz w:val="18"/>
              </w:rPr>
              <w:t>Work</w:t>
            </w:r>
          </w:p>
        </w:tc>
      </w:tr>
      <w:tr>
        <w:tc>
          <w:tcPr>
            <w:tcW w:type="dxa" w:w="7370"/>
          </w:tcPr>
          <w:p>
            <w:pPr>
              <w:spacing w:after="40" w:before="40"/>
            </w:pPr>
            <w:r/>
            <w:r>
              <w:rPr>
                <w:rFonts w:ascii="Calibri" w:hAnsi="Calibri"/>
                <w:b/>
                <w:color w:val="1A1A1A"/>
                <w:sz w:val="19"/>
              </w:rPr>
              <w:t>Splash and install coaching — Android prompt, iOS add-to-home-screen</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Phone + OTP door</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National ID + PIN door</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Consent — granular, versioned</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KYC — ID capture, quality gates, selfie, liveness, face match</w:t>
            </w:r>
          </w:p>
        </w:tc>
        <w:tc>
          <w:tcPr>
            <w:tcW w:type="dxa" w:w="2154"/>
          </w:tcPr>
          <w:p>
            <w:pPr>
              <w:spacing w:after="40" w:before="40"/>
            </w:pPr>
            <w:r/>
            <w:r>
              <w:rPr>
                <w:rFonts w:ascii="Calibri" w:hAnsi="Calibri"/>
                <w:color w:val="1A1A1A"/>
                <w:sz w:val="19"/>
              </w:rPr>
              <w:t>finish</w:t>
            </w:r>
          </w:p>
        </w:tc>
      </w:tr>
      <w:tr>
        <w:tc>
          <w:tcPr>
            <w:tcW w:type="dxa" w:w="7370"/>
          </w:tcPr>
          <w:p>
            <w:pPr>
              <w:spacing w:after="40" w:before="40"/>
            </w:pPr>
            <w:r/>
            <w:r>
              <w:rPr>
                <w:rFonts w:ascii="Calibri" w:hAnsi="Calibri"/>
                <w:b/>
                <w:color w:val="1A1A1A"/>
                <w:sz w:val="19"/>
              </w:rPr>
              <w:t>Crunch theatre</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Offer, full schedule, e-signature</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Home — current loan, due today, pay slider</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Auto-repay (Ratiba)</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Internal Report</w:t>
            </w:r>
          </w:p>
        </w:tc>
        <w:tc>
          <w:tcPr>
            <w:tcW w:type="dxa" w:w="2154"/>
          </w:tcPr>
          <w:p>
            <w:pPr>
              <w:spacing w:after="40" w:before="40"/>
            </w:pPr>
            <w:r/>
            <w:r>
              <w:rPr>
                <w:rFonts w:ascii="Calibri" w:hAnsi="Calibri"/>
                <w:color w:val="1A1A1A"/>
                <w:sz w:val="19"/>
              </w:rPr>
              <w:t>re-shell</w:t>
            </w:r>
          </w:p>
        </w:tc>
      </w:tr>
      <w:tr>
        <w:tc>
          <w:tcPr>
            <w:tcW w:type="dxa" w:w="7370"/>
          </w:tcPr>
          <w:p>
            <w:pPr>
              <w:spacing w:after="40" w:before="40"/>
            </w:pPr>
            <w:r/>
            <w:r>
              <w:rPr>
                <w:rFonts w:ascii="Calibri" w:hAnsi="Calibri"/>
                <w:b/>
                <w:color w:val="1A1A1A"/>
                <w:sz w:val="19"/>
              </w:rPr>
              <w:t>Why declined, and how to fix it</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Limit ladder and graduation</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Rewards and tier</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Notification inbox and push</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Offline shell and background sync</w:t>
            </w:r>
          </w:p>
        </w:tc>
        <w:tc>
          <w:tcPr>
            <w:tcW w:type="dxa" w:w="2154"/>
          </w:tcPr>
          <w:p>
            <w:pPr>
              <w:spacing w:after="40" w:before="40"/>
            </w:pPr>
            <w:r/>
            <w:r>
              <w:rPr>
                <w:rFonts w:ascii="Calibri" w:hAnsi="Calibri"/>
                <w:color w:val="1A1A1A"/>
                <w:sz w:val="19"/>
              </w:rPr>
              <w:t>NEW</w:t>
            </w:r>
          </w:p>
        </w:tc>
      </w:tr>
      <w:tr>
        <w:tc>
          <w:tcPr>
            <w:tcW w:type="dxa" w:w="7370"/>
          </w:tcPr>
          <w:p>
            <w:pPr>
              <w:spacing w:after="40" w:before="40"/>
            </w:pPr>
            <w:r/>
            <w:r>
              <w:rPr>
                <w:rFonts w:ascii="Calibri" w:hAnsi="Calibri"/>
                <w:b/>
                <w:color w:val="1A1A1A"/>
                <w:sz w:val="19"/>
              </w:rPr>
              <w:t>Support — Riri chat and tickets</w:t>
            </w:r>
          </w:p>
        </w:tc>
        <w:tc>
          <w:tcPr>
            <w:tcW w:type="dxa" w:w="2154"/>
          </w:tcPr>
          <w:p>
            <w:pPr>
              <w:spacing w:after="40" w:before="40"/>
            </w:pPr>
            <w:r/>
            <w:r>
              <w:rPr>
                <w:rFonts w:ascii="Calibri" w:hAnsi="Calibri"/>
                <w:color w:val="1A1A1A"/>
                <w:sz w:val="19"/>
              </w:rPr>
              <w:t>port</w:t>
            </w:r>
          </w:p>
        </w:tc>
      </w:tr>
    </w:tbl>
    <w:p>
      <w:pPr>
        <w:spacing w:after="40"/>
      </w:pPr>
    </w:p>
    <w:p>
      <w:pPr>
        <w:spacing w:before="40" w:after="80"/>
      </w:pPr>
      <w:r>
        <w:rPr>
          <w:rFonts w:ascii="Calibri" w:hAnsi="Calibri"/>
          <w:b w:val="0"/>
          <w:i w:val="0"/>
          <w:color w:val="1A1A1A"/>
          <w:sz w:val="21"/>
        </w:rPr>
        <w:t>This is why a two-week path to a working demo is realistic rather than delusional: the app is mostly a re-shell of code that already works, plus six new screens.</w:t>
      </w:r>
    </w:p>
    <w:p>
      <w:pPr>
        <w:spacing w:before="220" w:after="60"/>
      </w:pPr>
      <w:r>
        <w:rPr>
          <w:rFonts w:ascii="Calibri" w:hAnsi="Calibri"/>
          <w:b/>
          <w:color w:val="065F46"/>
          <w:sz w:val="24"/>
        </w:rPr>
        <w:t>7.2  The install path, end to end</w:t>
      </w: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7"/>
              </w:rPr>
              <w:t xml:space="preserve">  Hub app store &gt; Loans &amp; Credit &gt; [Micro Eazy]  -- install --&gt;  microeazy.birgenai.com</w:t>
            </w:r>
          </w:p>
          <w:p>
            <w:pPr>
              <w:spacing w:after="0" w:before="0"/>
              <w:ind w:left="113"/>
            </w:pPr>
            <w:r>
              <w:rPr>
                <w:rFonts w:ascii="Consolas" w:hAnsi="Consolas"/>
                <w:color w:val="1A1A1A"/>
                <w:sz w:val="17"/>
              </w:rPr>
              <w:t xml:space="preserve">        |                                                              |</w:t>
            </w:r>
          </w:p>
          <w:p>
            <w:pPr>
              <w:spacing w:after="0" w:before="0"/>
              <w:ind w:left="113"/>
            </w:pPr>
            <w:r>
              <w:rPr>
                <w:rFonts w:ascii="Consolas" w:hAnsi="Consolas"/>
                <w:color w:val="1A1A1A"/>
                <w:sz w:val="17"/>
              </w:rPr>
              <w:t xml:space="preserve">        +-- SSO: BirgenAI ID already signed in ------------------------+</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Android: install prompt -&gt; home-screen icon</w:t>
            </w:r>
          </w:p>
          <w:p>
            <w:pPr>
              <w:spacing w:after="0" w:before="0"/>
              <w:ind w:left="113"/>
            </w:pPr>
            <w:r>
              <w:rPr>
                <w:rFonts w:ascii="Consolas" w:hAnsi="Consolas"/>
                <w:color w:val="1A1A1A"/>
                <w:sz w:val="17"/>
              </w:rPr>
              <w:t xml:space="preserve">                    iOS: Safari share-sheet coaching card</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standalone app, Micro Eazy icon, no browser chrome</w:t>
            </w:r>
          </w:p>
        </w:tc>
      </w:tr>
    </w:tbl>
    <w:p>
      <w:pPr>
        <w:spacing w:after="40"/>
      </w:pPr>
    </w:p>
    <w:p>
      <w:pPr>
        <w:spacing w:before="220" w:after="60"/>
      </w:pPr>
      <w:r>
        <w:rPr>
          <w:rFonts w:ascii="Calibri" w:hAnsi="Calibri"/>
          <w:b/>
          <w:color w:val="065F46"/>
          <w:sz w:val="24"/>
        </w:rPr>
        <w:t>7.3  Specification</w:t>
      </w:r>
    </w:p>
    <w:p>
      <w:pPr>
        <w:spacing w:after="60"/>
        <w:ind w:left="482"/>
      </w:pPr>
      <w:r>
        <w:rPr>
          <w:rFonts w:ascii="Calibri" w:hAnsi="Calibri"/>
          <w:color w:val="10B981"/>
          <w:sz w:val="21"/>
        </w:rPr>
        <w:t xml:space="preserve">•   </w:t>
      </w:r>
      <w:r>
        <w:rPr>
          <w:rFonts w:ascii="Calibri" w:hAnsi="Calibri"/>
          <w:b/>
          <w:color w:val="1A1A1A"/>
          <w:sz w:val="21"/>
        </w:rPr>
        <w:t xml:space="preserve">Manifest: </w:t>
      </w:r>
      <w:r>
        <w:rPr>
          <w:rFonts w:ascii="Calibri" w:hAnsi="Calibri"/>
          <w:color w:val="1A1A1A"/>
          <w:sz w:val="21"/>
        </w:rPr>
        <w:t>standalone display, icons at 192, 512 and 512-maskable, theme colour, portrait orientation, and shortcuts for Pay Now, My Loan and Apply.</w:t>
      </w:r>
    </w:p>
    <w:p>
      <w:pPr>
        <w:spacing w:after="60"/>
        <w:ind w:left="482"/>
      </w:pPr>
      <w:r>
        <w:rPr>
          <w:rFonts w:ascii="Calibri" w:hAnsi="Calibri"/>
          <w:color w:val="10B981"/>
          <w:sz w:val="21"/>
        </w:rPr>
        <w:t xml:space="preserve">•   </w:t>
      </w:r>
      <w:r>
        <w:rPr>
          <w:rFonts w:ascii="Calibri" w:hAnsi="Calibri"/>
          <w:b/>
          <w:color w:val="1A1A1A"/>
          <w:sz w:val="21"/>
        </w:rPr>
        <w:t xml:space="preserve">Service worker: </w:t>
      </w:r>
      <w:r>
        <w:rPr>
          <w:rFonts w:ascii="Calibri" w:hAnsi="Calibri"/>
          <w:color w:val="1A1A1A"/>
          <w:sz w:val="21"/>
        </w:rPr>
        <w:t>app-shell precache, network-first for the API, and background sync for pending repayments and consent submissions — Kenyan network reality, not a nicety.</w:t>
      </w:r>
    </w:p>
    <w:p>
      <w:pPr>
        <w:spacing w:after="60"/>
        <w:ind w:left="482"/>
      </w:pPr>
      <w:r>
        <w:rPr>
          <w:rFonts w:ascii="Calibri" w:hAnsi="Calibri"/>
          <w:color w:val="10B981"/>
          <w:sz w:val="21"/>
        </w:rPr>
        <w:t xml:space="preserve">•   </w:t>
      </w:r>
      <w:r>
        <w:rPr>
          <w:rFonts w:ascii="Calibri" w:hAnsi="Calibri"/>
          <w:b/>
          <w:color w:val="1A1A1A"/>
          <w:sz w:val="21"/>
        </w:rPr>
        <w:t xml:space="preserve">Push: </w:t>
      </w:r>
      <w:r>
        <w:rPr>
          <w:rFonts w:ascii="Calibri" w:hAnsi="Calibri"/>
          <w:color w:val="1A1A1A"/>
          <w:sz w:val="21"/>
        </w:rPr>
        <w:t>approved, disbursed, payment received, due at T-3 / T-1 / T0, limit increased.</w:t>
      </w:r>
    </w:p>
    <w:p>
      <w:pPr>
        <w:spacing w:after="60"/>
        <w:ind w:left="482"/>
      </w:pPr>
      <w:r>
        <w:rPr>
          <w:rFonts w:ascii="Calibri" w:hAnsi="Calibri"/>
          <w:color w:val="10B981"/>
          <w:sz w:val="21"/>
        </w:rPr>
        <w:t xml:space="preserve">•   </w:t>
      </w:r>
      <w:r>
        <w:rPr>
          <w:rFonts w:ascii="Calibri" w:hAnsi="Calibri"/>
          <w:b/>
          <w:color w:val="1A1A1A"/>
          <w:sz w:val="21"/>
        </w:rPr>
        <w:t xml:space="preserve">Layout: </w:t>
      </w:r>
      <w:r>
        <w:rPr>
          <w:rFonts w:ascii="Calibri" w:hAnsi="Calibri"/>
          <w:color w:val="1A1A1A"/>
          <w:sz w:val="21"/>
        </w:rPr>
        <w:t>mobile-first Android. Every touch target at least 44 pixels. The whole flow works one-handed on a 360-pixel viewport.</w:t>
      </w:r>
    </w:p>
    <w:p>
      <w:r>
        <w:br w:type="page"/>
      </w:r>
    </w:p>
    <w:p>
      <w:pPr>
        <w:spacing w:after="40"/>
      </w:pPr>
      <w:r>
        <w:rPr>
          <w:rFonts w:ascii="Calibri" w:hAnsi="Calibri"/>
          <w:b/>
          <w:color w:val="10B981"/>
          <w:sz w:val="22"/>
        </w:rPr>
        <w:t>8</w:t>
      </w:r>
      <w:r>
        <w:rPr>
          <w:rFonts w:ascii="Calibri" w:hAnsi="Calibri"/>
          <w:b/>
          <w:color w:val="065F46"/>
          <w:sz w:val="34"/>
        </w:rPr>
        <w:t xml:space="preserve">   Micromart — the exact configuration</w:t>
      </w:r>
    </w:p>
    <w:p>
      <w:pPr>
        <w:pBdr>
          <w:bottom w:val="single" w:sz="6" w:space="1" w:color="DDDDDD"/>
        </w:pBdr>
        <w:spacing w:after="120"/>
      </w:pPr>
    </w:p>
    <w:p>
      <w:pPr>
        <w:spacing w:before="220" w:after="60"/>
      </w:pPr>
      <w:r>
        <w:rPr>
          <w:rFonts w:ascii="Calibri" w:hAnsi="Calibri"/>
          <w:b/>
          <w:color w:val="065F46"/>
          <w:sz w:val="24"/>
        </w:rPr>
        <w:t>8.1  Micro Eazy Monthly, mirrored from their live screen</w:t>
      </w:r>
    </w:p>
    <w:tbl>
      <w:tblPr>
        <w:tblStyle w:val="TableGrid"/>
        <w:tblW w:type="auto" w:w="0"/>
        <w:jc w:val="left"/>
        <w:tblLook w:firstColumn="1" w:firstRow="1" w:lastColumn="0" w:lastRow="0" w:noHBand="0" w:noVBand="1" w:val="04A0"/>
      </w:tblPr>
      <w:tblGrid>
        <w:gridCol w:w="4873"/>
        <w:gridCol w:w="4873"/>
      </w:tblGrid>
      <w:tr>
        <w:tc>
          <w:tcPr>
            <w:tcW w:type="dxa" w:w="2835"/>
            <w:shd w:val="clear" w:fill="065F46"/>
          </w:tcPr>
          <w:p>
            <w:pPr>
              <w:spacing w:after="40" w:before="40"/>
            </w:pPr>
            <w:r/>
            <w:r>
              <w:rPr>
                <w:rFonts w:ascii="Calibri" w:hAnsi="Calibri"/>
                <w:b/>
                <w:color w:val="FFFFFF"/>
                <w:sz w:val="18"/>
              </w:rPr>
              <w:t>Field</w:t>
            </w:r>
          </w:p>
        </w:tc>
        <w:tc>
          <w:tcPr>
            <w:tcW w:type="dxa" w:w="6690"/>
            <w:shd w:val="clear" w:fill="065F46"/>
          </w:tcPr>
          <w:p>
            <w:pPr>
              <w:spacing w:after="40" w:before="40"/>
            </w:pPr>
            <w:r/>
            <w:r>
              <w:rPr>
                <w:rFonts w:ascii="Calibri" w:hAnsi="Calibri"/>
                <w:b/>
                <w:color w:val="FFFFFF"/>
                <w:sz w:val="18"/>
              </w:rPr>
              <w:t>Value</w:t>
            </w:r>
          </w:p>
        </w:tc>
      </w:tr>
      <w:tr>
        <w:tc>
          <w:tcPr>
            <w:tcW w:type="dxa" w:w="2835"/>
          </w:tcPr>
          <w:p>
            <w:pPr>
              <w:spacing w:after="40" w:before="40"/>
            </w:pPr>
            <w:r/>
            <w:r>
              <w:rPr>
                <w:rFonts w:ascii="Calibri" w:hAnsi="Calibri"/>
                <w:b/>
                <w:color w:val="1A1A1A"/>
                <w:sz w:val="19"/>
              </w:rPr>
              <w:t>Principal</w:t>
            </w:r>
          </w:p>
        </w:tc>
        <w:tc>
          <w:tcPr>
            <w:tcW w:type="dxa" w:w="6690"/>
          </w:tcPr>
          <w:p>
            <w:pPr>
              <w:spacing w:after="40" w:before="40"/>
            </w:pPr>
            <w:r/>
            <w:r>
              <w:rPr>
                <w:rFonts w:ascii="Calibri" w:hAnsi="Calibri"/>
                <w:color w:val="1A1A1A"/>
                <w:sz w:val="19"/>
              </w:rPr>
              <w:t>KES 5,000 – 100,000</w:t>
            </w:r>
          </w:p>
        </w:tc>
      </w:tr>
      <w:tr>
        <w:tc>
          <w:tcPr>
            <w:tcW w:type="dxa" w:w="2835"/>
          </w:tcPr>
          <w:p>
            <w:pPr>
              <w:spacing w:after="40" w:before="40"/>
            </w:pPr>
            <w:r/>
            <w:r>
              <w:rPr>
                <w:rFonts w:ascii="Calibri" w:hAnsi="Calibri"/>
                <w:b/>
                <w:color w:val="1A1A1A"/>
                <w:sz w:val="19"/>
              </w:rPr>
              <w:t>Interest method</w:t>
            </w:r>
          </w:p>
        </w:tc>
        <w:tc>
          <w:tcPr>
            <w:tcW w:type="dxa" w:w="6690"/>
          </w:tcPr>
          <w:p>
            <w:pPr>
              <w:spacing w:after="40" w:before="40"/>
            </w:pPr>
            <w:r/>
            <w:r>
              <w:rPr>
                <w:rFonts w:ascii="Calibri" w:hAnsi="Calibri"/>
                <w:color w:val="1A1A1A"/>
                <w:sz w:val="19"/>
              </w:rPr>
              <w:t>Flat rate</w:t>
            </w:r>
          </w:p>
        </w:tc>
      </w:tr>
      <w:tr>
        <w:tc>
          <w:tcPr>
            <w:tcW w:type="dxa" w:w="2835"/>
          </w:tcPr>
          <w:p>
            <w:pPr>
              <w:spacing w:after="40" w:before="40"/>
            </w:pPr>
            <w:r/>
            <w:r>
              <w:rPr>
                <w:rFonts w:ascii="Calibri" w:hAnsi="Calibri"/>
                <w:b/>
                <w:color w:val="1A1A1A"/>
                <w:sz w:val="19"/>
              </w:rPr>
              <w:t>Interest rate</w:t>
            </w:r>
          </w:p>
        </w:tc>
        <w:tc>
          <w:tcPr>
            <w:tcW w:type="dxa" w:w="6690"/>
          </w:tcPr>
          <w:p>
            <w:pPr>
              <w:spacing w:after="40" w:before="40"/>
            </w:pPr>
            <w:r/>
            <w:r>
              <w:rPr>
                <w:rFonts w:ascii="Calibri" w:hAnsi="Calibri"/>
                <w:color w:val="1A1A1A"/>
                <w:sz w:val="19"/>
              </w:rPr>
              <w:t>22.00% per month</w:t>
            </w:r>
          </w:p>
        </w:tc>
      </w:tr>
      <w:tr>
        <w:tc>
          <w:tcPr>
            <w:tcW w:type="dxa" w:w="2835"/>
          </w:tcPr>
          <w:p>
            <w:pPr>
              <w:spacing w:after="40" w:before="40"/>
            </w:pPr>
            <w:r/>
            <w:r>
              <w:rPr>
                <w:rFonts w:ascii="Calibri" w:hAnsi="Calibri"/>
                <w:b/>
                <w:color w:val="1A1A1A"/>
                <w:sz w:val="19"/>
              </w:rPr>
              <w:t>Repayment</w:t>
            </w:r>
          </w:p>
        </w:tc>
        <w:tc>
          <w:tcPr>
            <w:tcW w:type="dxa" w:w="6690"/>
          </w:tcPr>
          <w:p>
            <w:pPr>
              <w:spacing w:after="40" w:before="40"/>
            </w:pPr>
            <w:r/>
            <w:r>
              <w:rPr>
                <w:rFonts w:ascii="Calibri" w:hAnsi="Calibri"/>
                <w:color w:val="1A1A1A"/>
                <w:sz w:val="19"/>
              </w:rPr>
              <w:t>2 (Month)</w:t>
            </w:r>
          </w:p>
        </w:tc>
      </w:tr>
      <w:tr>
        <w:tc>
          <w:tcPr>
            <w:tcW w:type="dxa" w:w="2835"/>
          </w:tcPr>
          <w:p>
            <w:pPr>
              <w:spacing w:after="40" w:before="40"/>
            </w:pPr>
            <w:r/>
            <w:r>
              <w:rPr>
                <w:rFonts w:ascii="Calibri" w:hAnsi="Calibri"/>
                <w:b/>
                <w:color w:val="1A1A1A"/>
                <w:sz w:val="19"/>
              </w:rPr>
              <w:t>Rollover penalty</w:t>
            </w:r>
          </w:p>
        </w:tc>
        <w:tc>
          <w:tcPr>
            <w:tcW w:type="dxa" w:w="6690"/>
          </w:tcPr>
          <w:p>
            <w:pPr>
              <w:spacing w:after="40" w:before="40"/>
            </w:pPr>
            <w:r/>
            <w:r>
              <w:rPr>
                <w:rFonts w:ascii="Calibri" w:hAnsi="Calibri"/>
                <w:color w:val="1A1A1A"/>
                <w:sz w:val="19"/>
              </w:rPr>
              <w:t>20.00%</w:t>
            </w:r>
          </w:p>
        </w:tc>
      </w:tr>
      <w:tr>
        <w:tc>
          <w:tcPr>
            <w:tcW w:type="dxa" w:w="2835"/>
          </w:tcPr>
          <w:p>
            <w:pPr>
              <w:spacing w:after="40" w:before="40"/>
            </w:pPr>
            <w:r/>
            <w:r>
              <w:rPr>
                <w:rFonts w:ascii="Calibri" w:hAnsi="Calibri"/>
                <w:b/>
                <w:color w:val="1A1A1A"/>
                <w:sz w:val="19"/>
              </w:rPr>
              <w:t>New loans</w:t>
            </w:r>
          </w:p>
        </w:tc>
        <w:tc>
          <w:tcPr>
            <w:tcW w:type="dxa" w:w="6690"/>
          </w:tcPr>
          <w:p>
            <w:pPr>
              <w:spacing w:after="40" w:before="40"/>
            </w:pPr>
            <w:r/>
            <w:r>
              <w:rPr>
                <w:rFonts w:ascii="Calibri" w:hAnsi="Calibri"/>
                <w:color w:val="1A1A1A"/>
                <w:sz w:val="19"/>
              </w:rPr>
              <w:t>Approval required · workflow “Micro Eazy”</w:t>
            </w:r>
          </w:p>
        </w:tc>
      </w:tr>
      <w:tr>
        <w:tc>
          <w:tcPr>
            <w:tcW w:type="dxa" w:w="2835"/>
          </w:tcPr>
          <w:p>
            <w:pPr>
              <w:spacing w:after="40" w:before="40"/>
            </w:pPr>
            <w:r/>
            <w:r>
              <w:rPr>
                <w:rFonts w:ascii="Calibri" w:hAnsi="Calibri"/>
                <w:b/>
                <w:color w:val="1A1A1A"/>
                <w:sz w:val="19"/>
              </w:rPr>
              <w:t>Repeat loans</w:t>
            </w:r>
          </w:p>
        </w:tc>
        <w:tc>
          <w:tcPr>
            <w:tcW w:type="dxa" w:w="6690"/>
          </w:tcPr>
          <w:p>
            <w:pPr>
              <w:spacing w:after="40" w:before="40"/>
            </w:pPr>
            <w:r/>
            <w:r>
              <w:rPr>
                <w:rFonts w:ascii="Calibri" w:hAnsi="Calibri"/>
                <w:color w:val="1A1A1A"/>
                <w:sz w:val="19"/>
              </w:rPr>
              <w:t>Approval required · workflow “Micro Eazy”</w:t>
            </w:r>
          </w:p>
        </w:tc>
      </w:tr>
      <w:tr>
        <w:tc>
          <w:tcPr>
            <w:tcW w:type="dxa" w:w="2835"/>
          </w:tcPr>
          <w:p>
            <w:pPr>
              <w:spacing w:after="40" w:before="40"/>
            </w:pPr>
            <w:r/>
            <w:r>
              <w:rPr>
                <w:rFonts w:ascii="Calibri" w:hAnsi="Calibri"/>
                <w:b/>
                <w:color w:val="1A1A1A"/>
                <w:sz w:val="19"/>
              </w:rPr>
              <w:t>Guarantor</w:t>
            </w:r>
          </w:p>
        </w:tc>
        <w:tc>
          <w:tcPr>
            <w:tcW w:type="dxa" w:w="6690"/>
          </w:tcPr>
          <w:p>
            <w:pPr>
              <w:spacing w:after="40" w:before="40"/>
            </w:pPr>
            <w:r/>
            <w:r>
              <w:rPr>
                <w:rFonts w:ascii="Calibri" w:hAnsi="Calibri"/>
                <w:color w:val="1A1A1A"/>
                <w:sz w:val="19"/>
              </w:rPr>
              <w:t>Not required · in-active guarantors cannot borrow</w:t>
            </w:r>
          </w:p>
        </w:tc>
      </w:tr>
      <w:tr>
        <w:tc>
          <w:tcPr>
            <w:tcW w:type="dxa" w:w="2835"/>
          </w:tcPr>
          <w:p>
            <w:pPr>
              <w:spacing w:after="40" w:before="40"/>
            </w:pPr>
            <w:r/>
            <w:r>
              <w:rPr>
                <w:rFonts w:ascii="Calibri" w:hAnsi="Calibri"/>
                <w:b/>
                <w:color w:val="1A1A1A"/>
                <w:sz w:val="19"/>
              </w:rPr>
              <w:t>Security</w:t>
            </w:r>
          </w:p>
        </w:tc>
        <w:tc>
          <w:tcPr>
            <w:tcW w:type="dxa" w:w="6690"/>
          </w:tcPr>
          <w:p>
            <w:pPr>
              <w:spacing w:after="40" w:before="40"/>
            </w:pPr>
            <w:r/>
            <w:r>
              <w:rPr>
                <w:rFonts w:ascii="Calibri" w:hAnsi="Calibri"/>
                <w:color w:val="1A1A1A"/>
                <w:sz w:val="19"/>
              </w:rPr>
              <w:t>Not required</w:t>
            </w:r>
          </w:p>
        </w:tc>
      </w:tr>
      <w:tr>
        <w:tc>
          <w:tcPr>
            <w:tcW w:type="dxa" w:w="2835"/>
          </w:tcPr>
          <w:p>
            <w:pPr>
              <w:spacing w:after="40" w:before="40"/>
            </w:pPr>
            <w:r/>
            <w:r>
              <w:rPr>
                <w:rFonts w:ascii="Calibri" w:hAnsi="Calibri"/>
                <w:b/>
                <w:color w:val="1A1A1A"/>
                <w:sz w:val="19"/>
              </w:rPr>
              <w:t>Minimum credit score</w:t>
            </w:r>
          </w:p>
        </w:tc>
        <w:tc>
          <w:tcPr>
            <w:tcW w:type="dxa" w:w="6690"/>
          </w:tcPr>
          <w:p>
            <w:pPr>
              <w:spacing w:after="40" w:before="40"/>
            </w:pPr>
            <w:r/>
            <w:r>
              <w:rPr>
                <w:rFonts w:ascii="Calibri" w:hAnsi="Calibri"/>
                <w:color w:val="1A1A1A"/>
                <w:sz w:val="19"/>
              </w:rPr>
              <w:t>500.00</w:t>
            </w:r>
          </w:p>
        </w:tc>
      </w:tr>
      <w:tr>
        <w:tc>
          <w:tcPr>
            <w:tcW w:type="dxa" w:w="2835"/>
          </w:tcPr>
          <w:p>
            <w:pPr>
              <w:spacing w:after="40" w:before="40"/>
            </w:pPr>
            <w:r/>
            <w:r>
              <w:rPr>
                <w:rFonts w:ascii="Calibri" w:hAnsi="Calibri"/>
                <w:b/>
                <w:color w:val="1A1A1A"/>
                <w:sz w:val="19"/>
              </w:rPr>
              <w:t>Minimum loan limit</w:t>
            </w:r>
          </w:p>
        </w:tc>
        <w:tc>
          <w:tcPr>
            <w:tcW w:type="dxa" w:w="6690"/>
          </w:tcPr>
          <w:p>
            <w:pPr>
              <w:spacing w:after="40" w:before="40"/>
            </w:pPr>
            <w:r/>
            <w:r>
              <w:rPr>
                <w:rFonts w:ascii="Calibri" w:hAnsi="Calibri"/>
                <w:color w:val="1A1A1A"/>
                <w:sz w:val="19"/>
              </w:rPr>
              <w:t>KES 5,000</w:t>
            </w:r>
          </w:p>
        </w:tc>
      </w:tr>
      <w:tr>
        <w:tc>
          <w:tcPr>
            <w:tcW w:type="dxa" w:w="2835"/>
          </w:tcPr>
          <w:p>
            <w:pPr>
              <w:spacing w:after="40" w:before="40"/>
            </w:pPr>
            <w:r/>
            <w:r>
              <w:rPr>
                <w:rFonts w:ascii="Calibri" w:hAnsi="Calibri"/>
                <w:b/>
                <w:color w:val="1A1A1A"/>
                <w:sz w:val="19"/>
              </w:rPr>
              <w:t>Charge</w:t>
            </w:r>
          </w:p>
        </w:tc>
        <w:tc>
          <w:tcPr>
            <w:tcW w:type="dxa" w:w="6690"/>
          </w:tcPr>
          <w:p>
            <w:pPr>
              <w:spacing w:after="40" w:before="40"/>
            </w:pPr>
            <w:r/>
            <w:r>
              <w:rPr>
                <w:rFonts w:ascii="Calibri" w:hAnsi="Calibri"/>
                <w:color w:val="1A1A1A"/>
                <w:sz w:val="19"/>
              </w:rPr>
              <w:t>PROCESSING FEE (PF) · before disbursement · 6.00% · capped KES 650–6,000 · range KES 5,000–100,000 · mandatory · active</w:t>
            </w:r>
          </w:p>
        </w:tc>
      </w:tr>
    </w:tbl>
    <w:p>
      <w:pPr>
        <w:spacing w:after="40"/>
      </w:pPr>
    </w:p>
    <w:p>
      <w:pPr>
        <w:spacing w:before="220" w:after="60"/>
      </w:pPr>
      <w:r>
        <w:rPr>
          <w:rFonts w:ascii="Calibri" w:hAnsi="Calibri"/>
          <w:b/>
          <w:color w:val="065F46"/>
          <w:sz w:val="24"/>
        </w:rPr>
        <w:t>8.2  The worked example the board will do in their heads</w:t>
      </w:r>
    </w:p>
    <w:p>
      <w:pPr>
        <w:spacing w:before="0" w:after="140"/>
        <w:ind w:left="340"/>
      </w:pPr>
      <w:r>
        <w:rPr>
          <w:rFonts w:ascii="Calibri" w:hAnsi="Calibri"/>
          <w:i/>
          <w:color w:val="8A8A8A"/>
          <w:sz w:val="18"/>
        </w:rPr>
        <w:t>Get this right on the first screen they see. If the arithmetic on our offer card does not match the arithmetic in their heads, nothing else in the demo lands.</w:t>
      </w:r>
    </w:p>
    <w:tbl>
      <w:tblPr>
        <w:tblW w:type="auto" w:w="0"/>
        <w:jc w:val="left"/>
        <w:tblLook w:firstColumn="1" w:firstRow="1" w:lastColumn="0" w:lastRow="0" w:noHBand="0" w:noVBand="1" w:val="04A0"/>
      </w:tblPr>
      <w:tblGrid>
        <w:gridCol w:w="9746"/>
      </w:tblGrid>
      <w:tr>
        <w:tc>
          <w:tcPr>
            <w:tcW w:type="dxa" w:w="9746"/>
            <w:shd w:val="clear" w:fill="F4F7F5"/>
          </w:tcPr>
          <w:p>
            <w:pPr>
              <w:spacing w:after="0" w:before="0"/>
              <w:ind w:left="113"/>
            </w:pPr>
            <w:r/>
            <w:r>
              <w:rPr>
                <w:rFonts w:ascii="Consolas" w:hAnsi="Consolas"/>
                <w:color w:val="1A1A1A"/>
                <w:sz w:val="17"/>
              </w:rPr>
              <w:t xml:space="preserve">  Principal                                    KES  25,000</w:t>
            </w:r>
          </w:p>
          <w:p>
            <w:pPr>
              <w:spacing w:after="0" w:before="0"/>
              <w:ind w:left="113"/>
            </w:pPr>
            <w:r>
              <w:rPr>
                <w:rFonts w:ascii="Consolas" w:hAnsi="Consolas"/>
                <w:color w:val="1A1A1A"/>
                <w:sz w:val="17"/>
              </w:rPr>
              <w:t xml:space="preserve">  Processing fee  6%  (inside the 650-6,000 cap)    1,500   deducted before disbursement</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NET TO CUSTOMER                              KES  23,500</w:t>
            </w:r>
          </w:p>
          <w:p>
            <w:pPr>
              <w:spacing w:after="0" w:before="0"/>
              <w:ind w:left="113"/>
            </w:pPr>
            <w:r>
              <w:rPr>
                <w:rFonts w:ascii="Consolas" w:hAnsi="Consolas"/>
                <w:color w:val="1A1A1A"/>
                <w:sz w:val="17"/>
              </w:rPr>
            </w:r>
          </w:p>
          <w:p>
            <w:pPr>
              <w:spacing w:after="0" w:before="0"/>
              <w:ind w:left="113"/>
            </w:pPr>
            <w:r>
              <w:rPr>
                <w:rFonts w:ascii="Consolas" w:hAnsi="Consolas"/>
                <w:color w:val="1A1A1A"/>
                <w:sz w:val="17"/>
              </w:rPr>
              <w:t xml:space="preserve">  Interest  22% flat per month x 2 months on 25,000  11,000</w:t>
            </w:r>
          </w:p>
          <w:p>
            <w:pPr>
              <w:spacing w:after="0" w:before="0"/>
              <w:ind w:left="113"/>
            </w:pPr>
            <w:r>
              <w:rPr>
                <w:rFonts w:ascii="Consolas" w:hAnsi="Consolas"/>
                <w:color w:val="1A1A1A"/>
                <w:sz w:val="17"/>
              </w:rPr>
              <w:t xml:space="preserve">  ------------------------------------------------------</w:t>
            </w:r>
          </w:p>
          <w:p>
            <w:pPr>
              <w:spacing w:after="0" w:before="0"/>
              <w:ind w:left="113"/>
            </w:pPr>
            <w:r>
              <w:rPr>
                <w:rFonts w:ascii="Consolas" w:hAnsi="Consolas"/>
                <w:color w:val="1A1A1A"/>
                <w:sz w:val="17"/>
              </w:rPr>
              <w:t xml:space="preserve">  TOTAL REPAYABLE                              KES  36,000</w:t>
            </w:r>
          </w:p>
          <w:p>
            <w:pPr>
              <w:spacing w:after="0" w:before="0"/>
              <w:ind w:left="113"/>
            </w:pPr>
            <w:r>
              <w:rPr>
                <w:rFonts w:ascii="Consolas" w:hAnsi="Consolas"/>
                <w:color w:val="1A1A1A"/>
                <w:sz w:val="17"/>
              </w:rPr>
              <w:t xml:space="preserve">  Monthly instalment                           KES  18,000  x 2</w:t>
            </w:r>
          </w:p>
          <w:p>
            <w:pPr>
              <w:spacing w:after="0" w:before="0"/>
              <w:ind w:left="113"/>
            </w:pPr>
            <w:r>
              <w:rPr>
                <w:rFonts w:ascii="Consolas" w:hAnsi="Consolas"/>
                <w:color w:val="1A1A1A"/>
                <w:sz w:val="17"/>
              </w:rPr>
            </w:r>
          </w:p>
          <w:p>
            <w:pPr>
              <w:spacing w:after="0" w:before="0"/>
              <w:ind w:left="113"/>
            </w:pPr>
            <w:r>
              <w:rPr>
                <w:rFonts w:ascii="Consolas" w:hAnsi="Consolas"/>
                <w:color w:val="1A1A1A"/>
                <w:sz w:val="17"/>
              </w:rPr>
              <w:t xml:space="preserve">  Rollover penalty                             20%  if rolled</w:t>
            </w:r>
          </w:p>
        </w:tc>
      </w:tr>
    </w:tbl>
    <w:p>
      <w:pPr>
        <w:spacing w:after="40"/>
      </w:pPr>
    </w:p>
    <w:p>
      <w:pPr>
        <w:spacing w:before="220" w:after="60"/>
      </w:pPr>
      <w:r>
        <w:rPr>
          <w:rFonts w:ascii="Calibri" w:hAnsi="Calibri"/>
          <w:b/>
          <w:color w:val="065F46"/>
          <w:sz w:val="24"/>
        </w:rPr>
        <w:t>8.3  Micro Eazy — the base product — OPEN</w:t>
      </w:r>
    </w:p>
    <w:p>
      <w:pPr>
        <w:spacing w:before="0" w:after="80"/>
      </w:pPr>
      <w:r>
        <w:rPr>
          <w:rFonts w:ascii="Calibri" w:hAnsi="Calibri"/>
          <w:b w:val="0"/>
          <w:i w:val="0"/>
          <w:color w:val="1A1A1A"/>
          <w:sz w:val="21"/>
        </w:rPr>
        <w:t>Micromart has two Micro Eazy products; only Monthly’s screen was supplied. Needed before the demo: principal range, interest rate and unit, repayment count and unit, rollover penalty, minimum credit score, minimum loan limit, charge structure and workflow name. Until it arrives, Micro Eazy Monthly carries the demo alone.</w:t>
      </w:r>
    </w:p>
    <w:p>
      <w:pPr>
        <w:spacing w:before="220" w:after="60"/>
      </w:pPr>
      <w:r>
        <w:rPr>
          <w:rFonts w:ascii="Calibri" w:hAnsi="Calibri"/>
          <w:b/>
          <w:color w:val="065F46"/>
          <w:sz w:val="24"/>
        </w:rPr>
        <w:t>8.4  What gets configured, not coded</w:t>
      </w:r>
    </w:p>
    <w:p>
      <w:pPr>
        <w:spacing w:after="60"/>
        <w:ind w:left="482"/>
      </w:pPr>
      <w:r>
        <w:rPr>
          <w:rFonts w:ascii="Calibri" w:hAnsi="Calibri"/>
          <w:color w:val="10B981"/>
          <w:sz w:val="21"/>
        </w:rPr>
        <w:t xml:space="preserve">•   </w:t>
      </w:r>
      <w:r>
        <w:rPr>
          <w:rFonts w:ascii="Calibri" w:hAnsi="Calibri"/>
          <w:color w:val="1A1A1A"/>
          <w:sz w:val="21"/>
        </w:rPr>
        <w:t>Two product records in the Micromart organisation, exact mirrors, set active — and for a bridged lender, activating a product is what puts it on their live shelf.</w:t>
      </w:r>
    </w:p>
    <w:p>
      <w:pPr>
        <w:spacing w:after="60"/>
        <w:ind w:left="482"/>
      </w:pPr>
      <w:r>
        <w:rPr>
          <w:rFonts w:ascii="Calibri" w:hAnsi="Calibri"/>
          <w:color w:val="10B981"/>
          <w:sz w:val="21"/>
        </w:rPr>
        <w:t xml:space="preserve">•   </w:t>
      </w:r>
      <w:r>
        <w:rPr>
          <w:rFonts w:ascii="Calibri" w:hAnsi="Calibri"/>
          <w:color w:val="1A1A1A"/>
          <w:sz w:val="21"/>
        </w:rPr>
        <w:t>One charge record: processing fee, 6%, minimum 650, maximum 6,000, before disbursement, mandatory.</w:t>
      </w:r>
    </w:p>
    <w:p>
      <w:pPr>
        <w:spacing w:after="60"/>
        <w:ind w:left="482"/>
      </w:pPr>
      <w:r>
        <w:rPr>
          <w:rFonts w:ascii="Calibri" w:hAnsi="Calibri"/>
          <w:color w:val="10B981"/>
          <w:sz w:val="21"/>
        </w:rPr>
        <w:t xml:space="preserve">•   </w:t>
      </w:r>
      <w:r>
        <w:rPr>
          <w:rFonts w:ascii="Calibri" w:hAnsi="Calibri"/>
          <w:color w:val="1A1A1A"/>
          <w:sz w:val="21"/>
        </w:rPr>
        <w:t>One workflow titled “Micro Eazy”, stages mirroring theirs, mapped to their ServiceSuite approval workflow.</w:t>
      </w:r>
    </w:p>
    <w:p>
      <w:pPr>
        <w:spacing w:after="60"/>
        <w:ind w:left="482"/>
      </w:pPr>
      <w:r>
        <w:rPr>
          <w:rFonts w:ascii="Calibri" w:hAnsi="Calibri"/>
          <w:color w:val="10B981"/>
          <w:sz w:val="21"/>
        </w:rPr>
        <w:t xml:space="preserve">•   </w:t>
      </w:r>
      <w:r>
        <w:rPr>
          <w:rFonts w:ascii="Calibri" w:hAnsi="Calibri"/>
          <w:color w:val="1A1A1A"/>
          <w:sz w:val="21"/>
        </w:rPr>
        <w:t>A credit policy whose automatic-decline floor matches their minimum score of 500, and whose automatic-approval band is set conservatively so that every launch loan is officer-reviewed. Human in the loop, and the board sees their officers still in control.</w:t>
      </w:r>
    </w:p>
    <w:p>
      <w:pPr>
        <w:spacing w:after="60"/>
        <w:ind w:left="482"/>
      </w:pPr>
      <w:r>
        <w:rPr>
          <w:rFonts w:ascii="Calibri" w:hAnsi="Calibri"/>
          <w:color w:val="10B981"/>
          <w:sz w:val="21"/>
        </w:rPr>
        <w:t xml:space="preserve">•   </w:t>
      </w:r>
      <w:r>
        <w:rPr>
          <w:rFonts w:ascii="Calibri" w:hAnsi="Calibri"/>
          <w:color w:val="1A1A1A"/>
          <w:sz w:val="21"/>
        </w:rPr>
        <w:t>Two marketplace listings, marked exclusive.</w:t>
      </w:r>
    </w:p>
    <w:p>
      <w:pPr>
        <w:spacing w:after="60"/>
        <w:ind w:left="482"/>
      </w:pPr>
      <w:r>
        <w:rPr>
          <w:rFonts w:ascii="Calibri" w:hAnsi="Calibri"/>
          <w:color w:val="10B981"/>
          <w:sz w:val="21"/>
        </w:rPr>
        <w:t xml:space="preserve">•   </w:t>
      </w:r>
      <w:r>
        <w:rPr>
          <w:rFonts w:ascii="Calibri" w:hAnsi="Calibri"/>
          <w:color w:val="1A1A1A"/>
          <w:sz w:val="21"/>
        </w:rPr>
        <w:t>One allocation policy: SOLE, awarding to Micromart.</w:t>
      </w:r>
    </w:p>
    <w:p>
      <w:r>
        <w:br w:type="page"/>
      </w:r>
    </w:p>
    <w:p>
      <w:pPr>
        <w:spacing w:after="40"/>
      </w:pPr>
      <w:r>
        <w:rPr>
          <w:rFonts w:ascii="Calibri" w:hAnsi="Calibri"/>
          <w:b/>
          <w:color w:val="10B981"/>
          <w:sz w:val="22"/>
        </w:rPr>
        <w:t>9</w:t>
      </w:r>
      <w:r>
        <w:rPr>
          <w:rFonts w:ascii="Calibri" w:hAnsi="Calibri"/>
          <w:b/>
          <w:color w:val="065F46"/>
          <w:sz w:val="34"/>
        </w:rPr>
        <w:t xml:space="preserve">   The demo — what happens in the room</w:t>
      </w:r>
    </w:p>
    <w:p>
      <w:pPr>
        <w:pBdr>
          <w:bottom w:val="single" w:sz="6" w:space="1" w:color="DDDDDD"/>
        </w:pBdr>
        <w:spacing w:after="120"/>
      </w:pPr>
    </w:p>
    <w:p>
      <w:pPr>
        <w:spacing w:before="80" w:after="120"/>
        <w:ind w:left="340"/>
        <w:pBdr>
          <w:left w:val="single" w:sz="18" w:space="8" w:color="10B981"/>
        </w:pBdr>
      </w:pPr>
      <w:r>
        <w:rPr>
          <w:rFonts w:ascii="Georgia" w:hAnsi="Georgia"/>
          <w:color w:val="1A1A1A"/>
          <w:sz w:val="22"/>
        </w:rPr>
        <w:t>“Do not present slides. Present a loan.”</w:t>
      </w:r>
    </w:p>
    <w:p>
      <w:pPr>
        <w:spacing w:after="60"/>
        <w:ind w:left="482"/>
      </w:pPr>
      <w:r>
        <w:rPr>
          <w:rFonts w:ascii="Calibri" w:hAnsi="Calibri"/>
          <w:color w:val="10B981"/>
          <w:sz w:val="21"/>
        </w:rPr>
        <w:t xml:space="preserve"> 1.  </w:t>
      </w:r>
      <w:r>
        <w:rPr>
          <w:rFonts w:ascii="Calibri" w:hAnsi="Calibri"/>
          <w:color w:val="1A1A1A"/>
          <w:sz w:val="21"/>
        </w:rPr>
        <w:t>Open birgenai.com on the projector. App store, Loans &amp; Credit. Micro Eazy is the first tile, carrying the logo they are about to see everywhere.</w:t>
      </w:r>
    </w:p>
    <w:p>
      <w:pPr>
        <w:spacing w:after="60"/>
        <w:ind w:left="482"/>
      </w:pPr>
      <w:r>
        <w:rPr>
          <w:rFonts w:ascii="Calibri" w:hAnsi="Calibri"/>
          <w:color w:val="10B981"/>
          <w:sz w:val="21"/>
        </w:rPr>
        <w:t xml:space="preserve"> 2.  </w:t>
      </w:r>
      <w:r>
        <w:rPr>
          <w:rFonts w:ascii="Calibri" w:hAnsi="Calibri"/>
          <w:color w:val="1A1A1A"/>
          <w:sz w:val="21"/>
        </w:rPr>
        <w:t>Install it on a real Android phone, on stage. The icon lands on the home screen.</w:t>
      </w:r>
    </w:p>
    <w:p>
      <w:pPr>
        <w:spacing w:after="60"/>
        <w:ind w:left="482"/>
      </w:pPr>
      <w:r>
        <w:rPr>
          <w:rFonts w:ascii="Calibri" w:hAnsi="Calibri"/>
          <w:color w:val="10B981"/>
          <w:sz w:val="21"/>
        </w:rPr>
        <w:t xml:space="preserve"> 3.  </w:t>
      </w:r>
      <w:r>
        <w:rPr>
          <w:rFonts w:ascii="Calibri" w:hAnsi="Calibri"/>
          <w:color w:val="1A1A1A"/>
          <w:sz w:val="21"/>
        </w:rPr>
        <w:t>Apply as a real customer: phone, OTP, consent, ID and selfie, M-Pesa statement. Let them watch the crunch theatre run. CRB pull. Decision.</w:t>
      </w:r>
    </w:p>
    <w:p>
      <w:pPr>
        <w:spacing w:after="60"/>
        <w:ind w:left="482"/>
      </w:pPr>
      <w:r>
        <w:rPr>
          <w:rFonts w:ascii="Calibri" w:hAnsi="Calibri"/>
          <w:color w:val="10B981"/>
          <w:sz w:val="21"/>
        </w:rPr>
        <w:t xml:space="preserve"> 4.  </w:t>
      </w:r>
      <w:r>
        <w:rPr>
          <w:rFonts w:ascii="Calibri" w:hAnsi="Calibri"/>
          <w:color w:val="1A1A1A"/>
          <w:sz w:val="21"/>
        </w:rPr>
        <w:t>The offer appears — “Micro Eazy Monthly · KES 25,000 · 2 months · KES 18,000 per month · Funded and serviced by Micromart Africa Ltd” — and beside it, the reason codes that produced it.</w:t>
      </w:r>
    </w:p>
    <w:p>
      <w:pPr>
        <w:spacing w:after="60"/>
        <w:ind w:left="482"/>
      </w:pPr>
      <w:r>
        <w:rPr>
          <w:rFonts w:ascii="Calibri" w:hAnsi="Calibri"/>
          <w:color w:val="10B981"/>
          <w:sz w:val="21"/>
        </w:rPr>
        <w:t xml:space="preserve"> 5.  </w:t>
      </w:r>
      <w:r>
        <w:rPr>
          <w:rFonts w:ascii="Calibri" w:hAnsi="Calibri"/>
          <w:color w:val="1A1A1A"/>
          <w:sz w:val="21"/>
        </w:rPr>
        <w:t>Accept. E-sign by OTP.</w:t>
      </w:r>
    </w:p>
    <w:p>
      <w:pPr>
        <w:spacing w:after="60"/>
        <w:ind w:left="482"/>
      </w:pPr>
      <w:r>
        <w:rPr>
          <w:rFonts w:ascii="Calibri" w:hAnsi="Calibri"/>
          <w:color w:val="10B981"/>
          <w:sz w:val="21"/>
        </w:rPr>
        <w:t xml:space="preserve"> 6.  </w:t>
      </w:r>
      <w:r>
        <w:rPr>
          <w:rFonts w:ascii="Calibri" w:hAnsi="Calibri"/>
          <w:color w:val="1A1A1A"/>
          <w:sz w:val="21"/>
        </w:rPr>
        <w:t>Turn the projector to MICROMART’S OWN SERVICESUITE SCREEN. The loan is sitting in their Micro Eazy workflow, at Officer Review, unapproved. Their loan. Their workflow. Their officer.</w:t>
      </w:r>
    </w:p>
    <w:p>
      <w:pPr>
        <w:spacing w:after="60"/>
        <w:ind w:left="482"/>
      </w:pPr>
      <w:r>
        <w:rPr>
          <w:rFonts w:ascii="Calibri" w:hAnsi="Calibri"/>
          <w:color w:val="10B981"/>
          <w:sz w:val="21"/>
        </w:rPr>
        <w:t xml:space="preserve"> 7.  </w:t>
      </w:r>
      <w:r>
        <w:rPr>
          <w:rFonts w:ascii="Calibri" w:hAnsi="Calibri"/>
          <w:color w:val="1A1A1A"/>
          <w:sz w:val="21"/>
        </w:rPr>
        <w:t>A Micromart officer approves it live, in their own system.</w:t>
      </w:r>
    </w:p>
    <w:p>
      <w:pPr>
        <w:spacing w:after="60"/>
        <w:ind w:left="482"/>
      </w:pPr>
      <w:r>
        <w:rPr>
          <w:rFonts w:ascii="Calibri" w:hAnsi="Calibri"/>
          <w:color w:val="10B981"/>
          <w:sz w:val="21"/>
        </w:rPr>
        <w:t xml:space="preserve"> 8.  </w:t>
      </w:r>
      <w:r>
        <w:rPr>
          <w:rFonts w:ascii="Calibri" w:hAnsi="Calibri"/>
          <w:color w:val="1A1A1A"/>
          <w:sz w:val="21"/>
        </w:rPr>
        <w:t>Back to the phone: disbursed. SMS receipt. Balance showing.</w:t>
      </w:r>
    </w:p>
    <w:p>
      <w:pPr>
        <w:spacing w:after="60"/>
        <w:ind w:left="482"/>
      </w:pPr>
      <w:r>
        <w:rPr>
          <w:rFonts w:ascii="Calibri" w:hAnsi="Calibri"/>
          <w:color w:val="10B981"/>
          <w:sz w:val="21"/>
        </w:rPr>
        <w:t xml:space="preserve"> 9.  </w:t>
      </w:r>
      <w:r>
        <w:rPr>
          <w:rFonts w:ascii="Calibri" w:hAnsi="Calibri"/>
          <w:color w:val="1A1A1A"/>
          <w:sz w:val="21"/>
        </w:rPr>
        <w:t>Repay by STK push from the phone. The balance drops. The limit ladder moves — “Rung 2 → KES 30,000 next.”</w:t>
      </w:r>
    </w:p>
    <w:p>
      <w:pPr>
        <w:spacing w:after="60"/>
        <w:ind w:left="482"/>
      </w:pPr>
      <w:r>
        <w:rPr>
          <w:rFonts w:ascii="Calibri" w:hAnsi="Calibri"/>
          <w:color w:val="10B981"/>
          <w:sz w:val="21"/>
        </w:rPr>
        <w:t xml:space="preserve">10.  </w:t>
      </w:r>
      <w:r>
        <w:rPr>
          <w:rFonts w:ascii="Calibri" w:hAnsi="Calibri"/>
          <w:color w:val="1A1A1A"/>
          <w:sz w:val="21"/>
        </w:rPr>
        <w:t>Show the customer’s “why” screen and their Internal Report. Then show the lender’s side: the pipeline, the attribution, the reason trace.</w:t>
      </w:r>
    </w:p>
    <w:p/>
    <w:p>
      <w:pPr>
        <w:spacing w:before="0" w:after="40"/>
      </w:pPr>
      <w:r>
        <w:rPr>
          <w:rFonts w:ascii="Calibri" w:hAnsi="Calibri"/>
          <w:b/>
          <w:i w:val="0"/>
          <w:color w:val="1A1A1A"/>
          <w:sz w:val="21"/>
        </w:rPr>
        <w:t>Then the sentence that closes it:</w:t>
      </w:r>
    </w:p>
    <w:p>
      <w:pPr>
        <w:spacing w:before="80" w:after="120"/>
        <w:ind w:left="340"/>
        <w:pBdr>
          <w:left w:val="single" w:sz="18" w:space="8" w:color="10B981"/>
        </w:pBdr>
      </w:pPr>
      <w:r>
        <w:rPr>
          <w:rFonts w:ascii="Georgia" w:hAnsi="Georgia"/>
          <w:color w:val="1A1A1A"/>
          <w:sz w:val="22"/>
        </w:rPr>
        <w:t>“Your Micro Eazy Monthly has two loans on it. Everything you just watched took four minutes and did not touch a single line of your system. Give us the shelf, and we fill it.”</w:t>
      </w:r>
    </w:p>
    <w:p>
      <w:r>
        <w:br w:type="page"/>
      </w:r>
    </w:p>
    <w:p>
      <w:pPr>
        <w:spacing w:after="40"/>
      </w:pPr>
      <w:r>
        <w:rPr>
          <w:rFonts w:ascii="Calibri" w:hAnsi="Calibri"/>
          <w:b/>
          <w:color w:val="10B981"/>
          <w:sz w:val="22"/>
        </w:rPr>
        <w:t>10</w:t>
      </w:r>
      <w:r>
        <w:rPr>
          <w:rFonts w:ascii="Calibri" w:hAnsi="Calibri"/>
          <w:b/>
          <w:color w:val="065F46"/>
          <w:sz w:val="34"/>
        </w:rPr>
        <w:t xml:space="preserve">   Build plan</w:t>
      </w:r>
    </w:p>
    <w:p>
      <w:pPr>
        <w:pBdr>
          <w:bottom w:val="single" w:sz="6" w:space="1" w:color="DDDDDD"/>
        </w:pBdr>
        <w:spacing w:after="120"/>
      </w:pPr>
    </w:p>
    <w:p>
      <w:pPr>
        <w:spacing w:before="220" w:after="60"/>
      </w:pPr>
      <w:r>
        <w:rPr>
          <w:rFonts w:ascii="Calibri" w:hAnsi="Calibri"/>
          <w:b/>
          <w:color w:val="065F46"/>
          <w:sz w:val="24"/>
        </w:rPr>
        <w:t>Sprint 0 — demo-critical (this week → the board meeting)</w:t>
      </w:r>
    </w:p>
    <w:tbl>
      <w:tblPr>
        <w:tblStyle w:val="TableGrid"/>
        <w:tblW w:type="auto" w:w="0"/>
        <w:jc w:val="left"/>
        <w:tblLook w:firstColumn="1" w:firstRow="1" w:lastColumn="0" w:lastRow="0" w:noHBand="0" w:noVBand="1" w:val="04A0"/>
      </w:tblPr>
      <w:tblGrid>
        <w:gridCol w:w="4873"/>
        <w:gridCol w:w="4873"/>
      </w:tblGrid>
      <w:tr>
        <w:tc>
          <w:tcPr>
            <w:tcW w:type="dxa" w:w="907"/>
            <w:shd w:val="clear" w:fill="065F46"/>
          </w:tcPr>
          <w:p>
            <w:pPr>
              <w:spacing w:after="40" w:before="40"/>
            </w:pPr>
            <w:r/>
            <w:r>
              <w:rPr>
                <w:rFonts w:ascii="Calibri" w:hAnsi="Calibri"/>
                <w:b/>
                <w:color w:val="FFFFFF"/>
                <w:sz w:val="18"/>
              </w:rPr>
              <w:t>#</w:t>
            </w:r>
          </w:p>
        </w:tc>
        <w:tc>
          <w:tcPr>
            <w:tcW w:type="dxa" w:w="8617"/>
            <w:shd w:val="clear" w:fill="065F46"/>
          </w:tcPr>
          <w:p>
            <w:pPr>
              <w:spacing w:after="40" w:before="40"/>
            </w:pPr>
            <w:r/>
            <w:r>
              <w:rPr>
                <w:rFonts w:ascii="Calibri" w:hAnsi="Calibri"/>
                <w:b/>
                <w:color w:val="FFFFFF"/>
                <w:sz w:val="18"/>
              </w:rPr>
              <w:t>Task</w:t>
            </w:r>
          </w:p>
        </w:tc>
      </w:tr>
      <w:tr>
        <w:tc>
          <w:tcPr>
            <w:tcW w:type="dxa" w:w="907"/>
          </w:tcPr>
          <w:p>
            <w:pPr>
              <w:spacing w:after="40" w:before="40"/>
            </w:pPr>
            <w:r/>
            <w:r>
              <w:rPr>
                <w:rFonts w:ascii="Calibri" w:hAnsi="Calibri"/>
                <w:b/>
                <w:color w:val="1A1A1A"/>
                <w:sz w:val="19"/>
              </w:rPr>
              <w:t>0.1</w:t>
            </w:r>
          </w:p>
        </w:tc>
        <w:tc>
          <w:tcPr>
            <w:tcW w:type="dxa" w:w="8617"/>
          </w:tcPr>
          <w:p>
            <w:pPr>
              <w:spacing w:after="40" w:before="40"/>
            </w:pPr>
            <w:r/>
            <w:r>
              <w:rPr>
                <w:rFonts w:ascii="Calibri" w:hAnsi="Calibri"/>
                <w:color w:val="1A1A1A"/>
                <w:sz w:val="19"/>
              </w:rPr>
              <w:t>Micro Eazy logo — three concepts, SVG and PNG at every needed size</w:t>
            </w:r>
          </w:p>
        </w:tc>
      </w:tr>
      <w:tr>
        <w:tc>
          <w:tcPr>
            <w:tcW w:type="dxa" w:w="907"/>
          </w:tcPr>
          <w:p>
            <w:pPr>
              <w:spacing w:after="40" w:before="40"/>
            </w:pPr>
            <w:r/>
            <w:r>
              <w:rPr>
                <w:rFonts w:ascii="Calibri" w:hAnsi="Calibri"/>
                <w:b/>
                <w:color w:val="1A1A1A"/>
                <w:sz w:val="19"/>
              </w:rPr>
              <w:t>0.2</w:t>
            </w:r>
          </w:p>
        </w:tc>
        <w:tc>
          <w:tcPr>
            <w:tcW w:type="dxa" w:w="8617"/>
          </w:tcPr>
          <w:p>
            <w:pPr>
              <w:spacing w:after="40" w:before="40"/>
            </w:pPr>
            <w:r/>
            <w:r>
              <w:rPr>
                <w:rFonts w:ascii="Calibri" w:hAnsi="Calibri"/>
                <w:color w:val="1A1A1A"/>
                <w:sz w:val="19"/>
              </w:rPr>
              <w:t>Seed Micro Eazy and Micro Eazy Monthly into the Micromart organisation, exact mirror</w:t>
            </w:r>
          </w:p>
        </w:tc>
      </w:tr>
      <w:tr>
        <w:tc>
          <w:tcPr>
            <w:tcW w:type="dxa" w:w="907"/>
          </w:tcPr>
          <w:p>
            <w:pPr>
              <w:spacing w:after="40" w:before="40"/>
            </w:pPr>
            <w:r/>
            <w:r>
              <w:rPr>
                <w:rFonts w:ascii="Calibri" w:hAnsi="Calibri"/>
                <w:b/>
                <w:color w:val="1A1A1A"/>
                <w:sz w:val="19"/>
              </w:rPr>
              <w:t>0.3</w:t>
            </w:r>
          </w:p>
        </w:tc>
        <w:tc>
          <w:tcPr>
            <w:tcW w:type="dxa" w:w="8617"/>
          </w:tcPr>
          <w:p>
            <w:pPr>
              <w:spacing w:after="40" w:before="40"/>
            </w:pPr>
            <w:r/>
            <w:r>
              <w:rPr>
                <w:rFonts w:ascii="Calibri" w:hAnsi="Calibri"/>
                <w:color w:val="1A1A1A"/>
                <w:sz w:val="19"/>
              </w:rPr>
              <w:t>Mirror the “Micro Eazy” workflow; map it to their ServiceSuite approval workflow</w:t>
            </w:r>
          </w:p>
        </w:tc>
      </w:tr>
      <w:tr>
        <w:tc>
          <w:tcPr>
            <w:tcW w:type="dxa" w:w="907"/>
          </w:tcPr>
          <w:p>
            <w:pPr>
              <w:spacing w:after="40" w:before="40"/>
            </w:pPr>
            <w:r/>
            <w:r>
              <w:rPr>
                <w:rFonts w:ascii="Calibri" w:hAnsi="Calibri"/>
                <w:b/>
                <w:color w:val="1A1A1A"/>
                <w:sz w:val="19"/>
              </w:rPr>
              <w:t>0.4</w:t>
            </w:r>
          </w:p>
        </w:tc>
        <w:tc>
          <w:tcPr>
            <w:tcW w:type="dxa" w:w="8617"/>
          </w:tcPr>
          <w:p>
            <w:pPr>
              <w:spacing w:after="40" w:before="40"/>
            </w:pPr>
            <w:r/>
            <w:r>
              <w:rPr>
                <w:rFonts w:ascii="Calibri" w:hAnsi="Calibri"/>
                <w:color w:val="1A1A1A"/>
                <w:sz w:val="19"/>
              </w:rPr>
              <w:t>Exchange v1 — schema, allocation module, SOLE policy awarding to Micromart</w:t>
            </w:r>
          </w:p>
        </w:tc>
      </w:tr>
      <w:tr>
        <w:tc>
          <w:tcPr>
            <w:tcW w:type="dxa" w:w="907"/>
          </w:tcPr>
          <w:p>
            <w:pPr>
              <w:spacing w:after="40" w:before="40"/>
            </w:pPr>
            <w:r/>
            <w:r>
              <w:rPr>
                <w:rFonts w:ascii="Calibri" w:hAnsi="Calibri"/>
                <w:b/>
                <w:color w:val="1A1A1A"/>
                <w:sz w:val="19"/>
              </w:rPr>
              <w:t>0.5</w:t>
            </w:r>
          </w:p>
        </w:tc>
        <w:tc>
          <w:tcPr>
            <w:tcW w:type="dxa" w:w="8617"/>
          </w:tcPr>
          <w:p>
            <w:pPr>
              <w:spacing w:after="40" w:before="40"/>
            </w:pPr>
            <w:r/>
            <w:r>
              <w:rPr>
                <w:rFonts w:ascii="Calibri" w:hAnsi="Calibri"/>
                <w:color w:val="1A1A1A"/>
                <w:sz w:val="19"/>
              </w:rPr>
              <w:t>PWA — manifest, icons, service worker, install prompt, iOS coaching card</w:t>
            </w:r>
          </w:p>
        </w:tc>
      </w:tr>
      <w:tr>
        <w:tc>
          <w:tcPr>
            <w:tcW w:type="dxa" w:w="907"/>
          </w:tcPr>
          <w:p>
            <w:pPr>
              <w:spacing w:after="40" w:before="40"/>
            </w:pPr>
            <w:r/>
            <w:r>
              <w:rPr>
                <w:rFonts w:ascii="Calibri" w:hAnsi="Calibri"/>
                <w:b/>
                <w:color w:val="1A1A1A"/>
                <w:sz w:val="19"/>
              </w:rPr>
              <w:t>0.6</w:t>
            </w:r>
          </w:p>
        </w:tc>
        <w:tc>
          <w:tcPr>
            <w:tcW w:type="dxa" w:w="8617"/>
          </w:tcPr>
          <w:p>
            <w:pPr>
              <w:spacing w:after="40" w:before="40"/>
            </w:pPr>
            <w:r/>
            <w:r>
              <w:rPr>
                <w:rFonts w:ascii="Calibri" w:hAnsi="Calibri"/>
                <w:color w:val="1A1A1A"/>
                <w:sz w:val="19"/>
              </w:rPr>
              <w:t>microeazy.birgenai.com host routing and co-branded chrome</w:t>
            </w:r>
          </w:p>
        </w:tc>
      </w:tr>
      <w:tr>
        <w:tc>
          <w:tcPr>
            <w:tcW w:type="dxa" w:w="907"/>
          </w:tcPr>
          <w:p>
            <w:pPr>
              <w:spacing w:after="40" w:before="40"/>
            </w:pPr>
            <w:r/>
            <w:r>
              <w:rPr>
                <w:rFonts w:ascii="Calibri" w:hAnsi="Calibri"/>
                <w:b/>
                <w:color w:val="1A1A1A"/>
                <w:sz w:val="19"/>
              </w:rPr>
              <w:t>0.7</w:t>
            </w:r>
          </w:p>
        </w:tc>
        <w:tc>
          <w:tcPr>
            <w:tcW w:type="dxa" w:w="8617"/>
          </w:tcPr>
          <w:p>
            <w:pPr>
              <w:spacing w:after="40" w:before="40"/>
            </w:pPr>
            <w:r/>
            <w:r>
              <w:rPr>
                <w:rFonts w:ascii="Calibri" w:hAnsi="Calibri"/>
                <w:color w:val="1A1A1A"/>
                <w:sz w:val="19"/>
              </w:rPr>
              <w:t>Hub tile — icon and seed row, LENDING category, featured, first position</w:t>
            </w:r>
          </w:p>
        </w:tc>
      </w:tr>
      <w:tr>
        <w:tc>
          <w:tcPr>
            <w:tcW w:type="dxa" w:w="907"/>
          </w:tcPr>
          <w:p>
            <w:pPr>
              <w:spacing w:after="40" w:before="40"/>
            </w:pPr>
            <w:r/>
            <w:r>
              <w:rPr>
                <w:rFonts w:ascii="Calibri" w:hAnsi="Calibri"/>
                <w:b/>
                <w:color w:val="1A1A1A"/>
                <w:sz w:val="19"/>
              </w:rPr>
              <w:t>0.8</w:t>
            </w:r>
          </w:p>
        </w:tc>
        <w:tc>
          <w:tcPr>
            <w:tcW w:type="dxa" w:w="8617"/>
          </w:tcPr>
          <w:p>
            <w:pPr>
              <w:spacing w:after="40" w:before="40"/>
            </w:pPr>
            <w:r/>
            <w:r>
              <w:rPr>
                <w:rFonts w:ascii="Calibri" w:hAnsi="Calibri"/>
                <w:color w:val="1A1A1A"/>
                <w:sz w:val="19"/>
              </w:rPr>
              <w:t>Customer “why declined / how to fix” screen, from the reason codes that already exist</w:t>
            </w:r>
          </w:p>
        </w:tc>
      </w:tr>
      <w:tr>
        <w:tc>
          <w:tcPr>
            <w:tcW w:type="dxa" w:w="907"/>
          </w:tcPr>
          <w:p>
            <w:pPr>
              <w:spacing w:after="40" w:before="40"/>
            </w:pPr>
            <w:r/>
            <w:r>
              <w:rPr>
                <w:rFonts w:ascii="Calibri" w:hAnsi="Calibri"/>
                <w:b/>
                <w:color w:val="1A1A1A"/>
                <w:sz w:val="19"/>
              </w:rPr>
              <w:t>0.9</w:t>
            </w:r>
          </w:p>
        </w:tc>
        <w:tc>
          <w:tcPr>
            <w:tcW w:type="dxa" w:w="8617"/>
          </w:tcPr>
          <w:p>
            <w:pPr>
              <w:spacing w:after="40" w:before="40"/>
            </w:pPr>
            <w:r/>
            <w:r>
              <w:rPr>
                <w:rFonts w:ascii="Calibri" w:hAnsi="Calibri"/>
                <w:color w:val="1A1A1A"/>
                <w:sz w:val="19"/>
              </w:rPr>
              <w:t>Limit-ladder screen, from the graduation events that already exist</w:t>
            </w:r>
          </w:p>
        </w:tc>
      </w:tr>
      <w:tr>
        <w:tc>
          <w:tcPr>
            <w:tcW w:type="dxa" w:w="907"/>
          </w:tcPr>
          <w:p>
            <w:pPr>
              <w:spacing w:after="40" w:before="40"/>
            </w:pPr>
            <w:r/>
            <w:r>
              <w:rPr>
                <w:rFonts w:ascii="Calibri" w:hAnsi="Calibri"/>
                <w:b/>
                <w:color w:val="1A1A1A"/>
                <w:sz w:val="19"/>
              </w:rPr>
              <w:t>0.10</w:t>
            </w:r>
          </w:p>
        </w:tc>
        <w:tc>
          <w:tcPr>
            <w:tcW w:type="dxa" w:w="8617"/>
          </w:tcPr>
          <w:p>
            <w:pPr>
              <w:spacing w:after="40" w:before="40"/>
            </w:pPr>
            <w:r/>
            <w:r>
              <w:rPr>
                <w:rFonts w:ascii="Calibri" w:hAnsi="Calibri"/>
                <w:color w:val="1A1A1A"/>
                <w:sz w:val="19"/>
              </w:rPr>
              <w:t>End-to-end rehearsal on the real Micromart bridge — twice, with a reversible test loan</w:t>
            </w:r>
          </w:p>
        </w:tc>
      </w:tr>
      <w:tr>
        <w:tc>
          <w:tcPr>
            <w:tcW w:type="dxa" w:w="907"/>
          </w:tcPr>
          <w:p>
            <w:pPr>
              <w:spacing w:after="40" w:before="40"/>
            </w:pPr>
            <w:r/>
            <w:r>
              <w:rPr>
                <w:rFonts w:ascii="Calibri" w:hAnsi="Calibri"/>
                <w:b/>
                <w:color w:val="1A1A1A"/>
                <w:sz w:val="19"/>
              </w:rPr>
              <w:t>0.11</w:t>
            </w:r>
          </w:p>
        </w:tc>
        <w:tc>
          <w:tcPr>
            <w:tcW w:type="dxa" w:w="8617"/>
          </w:tcPr>
          <w:p>
            <w:pPr>
              <w:spacing w:after="40" w:before="40"/>
            </w:pPr>
            <w:r/>
            <w:r>
              <w:rPr>
                <w:rFonts w:ascii="Calibri" w:hAnsi="Calibri"/>
                <w:color w:val="1A1A1A"/>
                <w:sz w:val="19"/>
              </w:rPr>
              <w:t>Fix the product-name typo “MIROMART FINTECH”</w:t>
            </w:r>
          </w:p>
        </w:tc>
      </w:tr>
    </w:tbl>
    <w:p>
      <w:pPr>
        <w:spacing w:after="40"/>
      </w:pPr>
    </w:p>
    <w:p>
      <w:pPr>
        <w:spacing w:before="220" w:after="60"/>
      </w:pPr>
      <w:r>
        <w:rPr>
          <w:rFonts w:ascii="Calibri" w:hAnsi="Calibri"/>
          <w:b/>
          <w:color w:val="065F46"/>
          <w:sz w:val="24"/>
        </w:rPr>
        <w:t>Sprint 1 — the Trust Contract made real (two weeks after the demo)</w:t>
      </w:r>
    </w:p>
    <w:p>
      <w:pPr>
        <w:spacing w:before="0" w:after="80"/>
      </w:pPr>
      <w:r>
        <w:rPr>
          <w:rFonts w:ascii="Calibri" w:hAnsi="Calibri"/>
          <w:b w:val="0"/>
          <w:i w:val="0"/>
          <w:color w:val="1A1A1A"/>
          <w:sz w:val="21"/>
        </w:rPr>
        <w:t>Push notifications · notification inbox · offline shell and background sync · rewards and tiers · early-settlement rebate slider · appeal flow with a visible SLA clock · Internal Report free once per cycle · full Kiswahili pass on every new screen.</w:t>
      </w:r>
    </w:p>
    <w:p>
      <w:pPr>
        <w:spacing w:before="220" w:after="60"/>
      </w:pPr>
      <w:r>
        <w:rPr>
          <w:rFonts w:ascii="Calibri" w:hAnsi="Calibri"/>
          <w:b/>
          <w:color w:val="065F46"/>
          <w:sz w:val="24"/>
        </w:rPr>
        <w:t>Sprint 2 — the Exchange opens (weeks three to six)</w:t>
      </w:r>
    </w:p>
    <w:p>
      <w:pPr>
        <w:spacing w:before="0" w:after="80"/>
      </w:pPr>
      <w:r>
        <w:rPr>
          <w:rFonts w:ascii="Calibri" w:hAnsi="Calibri"/>
          <w:b w:val="0"/>
          <w:i w:val="0"/>
          <w:color w:val="1A1A1A"/>
          <w:sz w:val="21"/>
        </w:rPr>
        <w:t>Lender marketplace console · appetite ledger and quota enforcement · WEIGHTED and CAPACITY_FIRST modes · right-of-first-refusal with SLA lapse · attribution reporting and lender invoicing · lender self-onboarding to the shelf.</w:t>
      </w:r>
    </w:p>
    <w:p>
      <w:pPr>
        <w:spacing w:before="220" w:after="60"/>
      </w:pPr>
      <w:r>
        <w:rPr>
          <w:rFonts w:ascii="Calibri" w:hAnsi="Calibri"/>
          <w:b/>
          <w:color w:val="065F46"/>
          <w:sz w:val="24"/>
        </w:rPr>
        <w:t>Sprint 3 — one workspace (weeks six to nine)</w:t>
      </w:r>
    </w:p>
    <w:p>
      <w:pPr>
        <w:spacing w:before="0" w:after="80"/>
      </w:pPr>
      <w:r>
        <w:rPr>
          <w:rFonts w:ascii="Calibri" w:hAnsi="Calibri"/>
          <w:b w:val="0"/>
          <w:i w:val="0"/>
          <w:color w:val="1A1A1A"/>
          <w:sz w:val="21"/>
        </w:rPr>
        <w:t>The Connected Suite as the lender’s whole back office — HR, Accounting, Call-Centre, Analytics Studio — under one sign-on, with the app drawer intact. Riri across all five.</w:t>
      </w:r>
    </w:p>
    <w:p>
      <w:pPr>
        <w:spacing w:before="220" w:after="60"/>
      </w:pPr>
      <w:r>
        <w:rPr>
          <w:rFonts w:ascii="Calibri" w:hAnsi="Calibri"/>
          <w:b/>
          <w:color w:val="065F46"/>
          <w:sz w:val="24"/>
        </w:rPr>
        <w:t>Sprint 4 — scale (month three onward)</w:t>
      </w:r>
    </w:p>
    <w:p>
      <w:pPr>
        <w:spacing w:before="0" w:after="80"/>
      </w:pPr>
      <w:r>
        <w:rPr>
          <w:rFonts w:ascii="Calibri" w:hAnsi="Calibri"/>
          <w:b w:val="0"/>
          <w:i w:val="0"/>
          <w:color w:val="1A1A1A"/>
          <w:sz w:val="21"/>
        </w:rPr>
        <w:t>BEST_FIT and WATERFALL modes · per-lender model calibration · lender #2 and #3 · national coverage via the risk map · direct IPRS · WhatsApp channel.</w:t>
      </w:r>
    </w:p>
    <w:p>
      <w:r>
        <w:br w:type="page"/>
      </w:r>
    </w:p>
    <w:p>
      <w:pPr>
        <w:spacing w:after="40"/>
      </w:pPr>
      <w:r>
        <w:rPr>
          <w:rFonts w:ascii="Calibri" w:hAnsi="Calibri"/>
          <w:b/>
          <w:color w:val="10B981"/>
          <w:sz w:val="22"/>
        </w:rPr>
        <w:t>11</w:t>
      </w:r>
      <w:r>
        <w:rPr>
          <w:rFonts w:ascii="Calibri" w:hAnsi="Calibri"/>
          <w:b/>
          <w:color w:val="065F46"/>
          <w:sz w:val="34"/>
        </w:rPr>
        <w:t xml:space="preserve">   Risks, and what we do about them</w:t>
      </w:r>
    </w:p>
    <w:p>
      <w:pPr>
        <w:pBdr>
          <w:bottom w:val="single" w:sz="6" w:space="1" w:color="DDDDDD"/>
        </w:pBdr>
        <w:spacing w:after="120"/>
      </w:pPr>
    </w:p>
    <w:tbl>
      <w:tblPr>
        <w:tblStyle w:val="TableGrid"/>
        <w:tblW w:type="auto" w:w="0"/>
        <w:jc w:val="left"/>
        <w:tblLook w:firstColumn="1" w:firstRow="1" w:lastColumn="0" w:lastRow="0" w:noHBand="0" w:noVBand="1" w:val="04A0"/>
      </w:tblPr>
      <w:tblGrid>
        <w:gridCol w:w="3249"/>
        <w:gridCol w:w="3249"/>
        <w:gridCol w:w="3249"/>
      </w:tblGrid>
      <w:tr>
        <w:tc>
          <w:tcPr>
            <w:tcW w:type="dxa" w:w="1928"/>
            <w:shd w:val="clear" w:fill="065F46"/>
          </w:tcPr>
          <w:p>
            <w:pPr>
              <w:spacing w:after="40" w:before="40"/>
            </w:pPr>
            <w:r/>
            <w:r>
              <w:rPr>
                <w:rFonts w:ascii="Calibri" w:hAnsi="Calibri"/>
                <w:b/>
                <w:color w:val="FFFFFF"/>
                <w:sz w:val="18"/>
              </w:rPr>
              <w:t>Risk</w:t>
            </w:r>
          </w:p>
        </w:tc>
        <w:tc>
          <w:tcPr>
            <w:tcW w:type="dxa" w:w="3515"/>
            <w:shd w:val="clear" w:fill="065F46"/>
          </w:tcPr>
          <w:p>
            <w:pPr>
              <w:spacing w:after="40" w:before="40"/>
            </w:pPr>
            <w:r/>
            <w:r>
              <w:rPr>
                <w:rFonts w:ascii="Calibri" w:hAnsi="Calibri"/>
                <w:b/>
                <w:color w:val="FFFFFF"/>
                <w:sz w:val="18"/>
              </w:rPr>
              <w:t>The reality</w:t>
            </w:r>
          </w:p>
        </w:tc>
        <w:tc>
          <w:tcPr>
            <w:tcW w:type="dxa" w:w="4082"/>
            <w:shd w:val="clear" w:fill="065F46"/>
          </w:tcPr>
          <w:p>
            <w:pPr>
              <w:spacing w:after="40" w:before="40"/>
            </w:pPr>
            <w:r/>
            <w:r>
              <w:rPr>
                <w:rFonts w:ascii="Calibri" w:hAnsi="Calibri"/>
                <w:b/>
                <w:color w:val="FFFFFF"/>
                <w:sz w:val="18"/>
              </w:rPr>
              <w:t>What we do</w:t>
            </w:r>
          </w:p>
        </w:tc>
      </w:tr>
      <w:tr>
        <w:tc>
          <w:tcPr>
            <w:tcW w:type="dxa" w:w="1928"/>
          </w:tcPr>
          <w:p>
            <w:pPr>
              <w:spacing w:after="40" w:before="40"/>
            </w:pPr>
            <w:r/>
            <w:r>
              <w:rPr>
                <w:rFonts w:ascii="Calibri" w:hAnsi="Calibri"/>
                <w:b/>
                <w:color w:val="1A1A1A"/>
                <w:sz w:val="18"/>
              </w:rPr>
              <w:t>Live posting is armed</w:t>
            </w:r>
          </w:p>
        </w:tc>
        <w:tc>
          <w:tcPr>
            <w:tcW w:type="dxa" w:w="3515"/>
          </w:tcPr>
          <w:p>
            <w:pPr>
              <w:spacing w:after="40" w:before="40"/>
            </w:pPr>
            <w:r/>
            <w:r>
              <w:rPr>
                <w:rFonts w:ascii="Calibri" w:hAnsi="Calibri"/>
                <w:color w:val="1A1A1A"/>
                <w:sz w:val="18"/>
              </w:rPr>
              <w:t>Posting runs against Micromart’s production system today.</w:t>
            </w:r>
          </w:p>
        </w:tc>
        <w:tc>
          <w:tcPr>
            <w:tcW w:type="dxa" w:w="4082"/>
          </w:tcPr>
          <w:p>
            <w:pPr>
              <w:spacing w:after="40" w:before="40"/>
            </w:pPr>
            <w:r/>
            <w:r>
              <w:rPr>
                <w:rFonts w:ascii="Calibri" w:hAnsi="Calibri"/>
                <w:color w:val="1A1A1A"/>
                <w:sz w:val="18"/>
              </w:rPr>
              <w:t>Every rehearsal uses a reversible test borrower and a documented rollback. Never rehearse blind.</w:t>
            </w:r>
          </w:p>
        </w:tc>
      </w:tr>
      <w:tr>
        <w:tc>
          <w:tcPr>
            <w:tcW w:type="dxa" w:w="1928"/>
          </w:tcPr>
          <w:p>
            <w:pPr>
              <w:spacing w:after="40" w:before="40"/>
            </w:pPr>
            <w:r/>
            <w:r>
              <w:rPr>
                <w:rFonts w:ascii="Calibri" w:hAnsi="Calibri"/>
                <w:b/>
                <w:color w:val="1A1A1A"/>
                <w:sz w:val="18"/>
              </w:rPr>
              <w:t>Real SMS credentials sit in the environment file</w:t>
            </w:r>
          </w:p>
        </w:tc>
        <w:tc>
          <w:tcPr>
            <w:tcW w:type="dxa" w:w="3515"/>
          </w:tcPr>
          <w:p>
            <w:pPr>
              <w:spacing w:after="40" w:before="40"/>
            </w:pPr>
            <w:r/>
            <w:r>
              <w:rPr>
                <w:rFonts w:ascii="Calibri" w:hAnsi="Calibri"/>
                <w:color w:val="1A1A1A"/>
                <w:sz w:val="18"/>
              </w:rPr>
              <w:t>A test run can send real messages and spend real money.</w:t>
            </w:r>
          </w:p>
        </w:tc>
        <w:tc>
          <w:tcPr>
            <w:tcW w:type="dxa" w:w="4082"/>
          </w:tcPr>
          <w:p>
            <w:pPr>
              <w:spacing w:after="40" w:before="40"/>
            </w:pPr>
            <w:r/>
            <w:r>
              <w:rPr>
                <w:rFonts w:ascii="Calibri" w:hAnsi="Calibri"/>
                <w:color w:val="1A1A1A"/>
                <w:sz w:val="18"/>
              </w:rPr>
              <w:t>Blank them in every verification and rehearsal script. Standing rule.</w:t>
            </w:r>
          </w:p>
        </w:tc>
      </w:tr>
      <w:tr>
        <w:tc>
          <w:tcPr>
            <w:tcW w:type="dxa" w:w="1928"/>
          </w:tcPr>
          <w:p>
            <w:pPr>
              <w:spacing w:after="40" w:before="40"/>
            </w:pPr>
            <w:r/>
            <w:r>
              <w:rPr>
                <w:rFonts w:ascii="Calibri" w:hAnsi="Calibri"/>
                <w:b/>
                <w:color w:val="1A1A1A"/>
                <w:sz w:val="18"/>
              </w:rPr>
              <w:t>CRB production keys pending</w:t>
            </w:r>
          </w:p>
        </w:tc>
        <w:tc>
          <w:tcPr>
            <w:tcW w:type="dxa" w:w="3515"/>
          </w:tcPr>
          <w:p>
            <w:pPr>
              <w:spacing w:after="40" w:before="40"/>
            </w:pPr>
            <w:r/>
            <w:r>
              <w:rPr>
                <w:rFonts w:ascii="Calibri" w:hAnsi="Calibri"/>
                <w:color w:val="1A1A1A"/>
                <w:sz w:val="18"/>
              </w:rPr>
              <w:t>Only test credentials today.</w:t>
            </w:r>
          </w:p>
        </w:tc>
        <w:tc>
          <w:tcPr>
            <w:tcW w:type="dxa" w:w="4082"/>
          </w:tcPr>
          <w:p>
            <w:pPr>
              <w:spacing w:after="40" w:before="40"/>
            </w:pPr>
            <w:r/>
            <w:r>
              <w:rPr>
                <w:rFonts w:ascii="Calibri" w:hAnsi="Calibri"/>
                <w:color w:val="1A1A1A"/>
                <w:sz w:val="18"/>
              </w:rPr>
              <w:t>Demo on test credentials — the integration is already proven green. Chase the production keys this week.</w:t>
            </w:r>
          </w:p>
        </w:tc>
      </w:tr>
      <w:tr>
        <w:tc>
          <w:tcPr>
            <w:tcW w:type="dxa" w:w="1928"/>
          </w:tcPr>
          <w:p>
            <w:pPr>
              <w:spacing w:after="40" w:before="40"/>
            </w:pPr>
            <w:r/>
            <w:r>
              <w:rPr>
                <w:rFonts w:ascii="Calibri" w:hAnsi="Calibri"/>
                <w:b/>
                <w:color w:val="1A1A1A"/>
                <w:sz w:val="18"/>
              </w:rPr>
              <w:t>The bridge is environment-driven, not vaulted</w:t>
            </w:r>
          </w:p>
        </w:tc>
        <w:tc>
          <w:tcPr>
            <w:tcW w:type="dxa" w:w="3515"/>
          </w:tcPr>
          <w:p>
            <w:pPr>
              <w:spacing w:after="40" w:before="40"/>
            </w:pPr>
            <w:r/>
            <w:r>
              <w:rPr>
                <w:rFonts w:ascii="Calibri" w:hAnsi="Calibri"/>
                <w:color w:val="1A1A1A"/>
                <w:sz w:val="18"/>
              </w:rPr>
              <w:t>There is no per-organisation integration record for the ServiceSuite bridge.</w:t>
            </w:r>
          </w:p>
        </w:tc>
        <w:tc>
          <w:tcPr>
            <w:tcW w:type="dxa" w:w="4082"/>
          </w:tcPr>
          <w:p>
            <w:pPr>
              <w:spacing w:after="40" w:before="40"/>
            </w:pPr>
            <w:r/>
            <w:r>
              <w:rPr>
                <w:rFonts w:ascii="Calibri" w:hAnsi="Calibri"/>
                <w:color w:val="1A1A1A"/>
                <w:sz w:val="18"/>
              </w:rPr>
              <w:t>Move the bridge configuration into the encrypted vault so it is per-lender and console-managed. Sprint 1.</w:t>
            </w:r>
          </w:p>
        </w:tc>
      </w:tr>
      <w:tr>
        <w:tc>
          <w:tcPr>
            <w:tcW w:type="dxa" w:w="1928"/>
          </w:tcPr>
          <w:p>
            <w:pPr>
              <w:spacing w:after="40" w:before="40"/>
            </w:pPr>
            <w:r/>
            <w:r>
              <w:rPr>
                <w:rFonts w:ascii="Calibri" w:hAnsi="Calibri"/>
                <w:b/>
                <w:color w:val="1A1A1A"/>
                <w:sz w:val="18"/>
              </w:rPr>
              <w:t>Base product spec missing</w:t>
            </w:r>
          </w:p>
        </w:tc>
        <w:tc>
          <w:tcPr>
            <w:tcW w:type="dxa" w:w="3515"/>
          </w:tcPr>
          <w:p>
            <w:pPr>
              <w:spacing w:after="40" w:before="40"/>
            </w:pPr>
            <w:r/>
            <w:r>
              <w:rPr>
                <w:rFonts w:ascii="Calibri" w:hAnsi="Calibri"/>
                <w:color w:val="1A1A1A"/>
                <w:sz w:val="18"/>
              </w:rPr>
              <w:t>Only Micro Eazy Monthly’s screen was supplied.</w:t>
            </w:r>
          </w:p>
        </w:tc>
        <w:tc>
          <w:tcPr>
            <w:tcW w:type="dxa" w:w="4082"/>
          </w:tcPr>
          <w:p>
            <w:pPr>
              <w:spacing w:after="40" w:before="40"/>
            </w:pPr>
            <w:r/>
            <w:r>
              <w:rPr>
                <w:rFonts w:ascii="Calibri" w:hAnsi="Calibri"/>
                <w:color w:val="1A1A1A"/>
                <w:sz w:val="18"/>
              </w:rPr>
              <w:t>Ask Micromart for the second screen. Monthly carries the demo alone if it does not arrive.</w:t>
            </w:r>
          </w:p>
        </w:tc>
      </w:tr>
      <w:tr>
        <w:tc>
          <w:tcPr>
            <w:tcW w:type="dxa" w:w="1928"/>
          </w:tcPr>
          <w:p>
            <w:pPr>
              <w:spacing w:after="40" w:before="40"/>
            </w:pPr>
            <w:r/>
            <w:r>
              <w:rPr>
                <w:rFonts w:ascii="Calibri" w:hAnsi="Calibri"/>
                <w:b/>
                <w:color w:val="1A1A1A"/>
                <w:sz w:val="18"/>
              </w:rPr>
              <w:t>Sole-lender concentration</w:t>
            </w:r>
          </w:p>
        </w:tc>
        <w:tc>
          <w:tcPr>
            <w:tcW w:type="dxa" w:w="3515"/>
          </w:tcPr>
          <w:p>
            <w:pPr>
              <w:spacing w:after="40" w:before="40"/>
            </w:pPr>
            <w:r/>
            <w:r>
              <w:rPr>
                <w:rFonts w:ascii="Calibri" w:hAnsi="Calibri"/>
                <w:color w:val="1A1A1A"/>
                <w:sz w:val="18"/>
              </w:rPr>
              <w:t>One lender’s appetite caps the whole ecosystem.</w:t>
            </w:r>
          </w:p>
        </w:tc>
        <w:tc>
          <w:tcPr>
            <w:tcW w:type="dxa" w:w="4082"/>
          </w:tcPr>
          <w:p>
            <w:pPr>
              <w:spacing w:after="40" w:before="40"/>
            </w:pPr>
            <w:r/>
            <w:r>
              <w:rPr>
                <w:rFonts w:ascii="Calibri" w:hAnsi="Calibri"/>
                <w:color w:val="1A1A1A"/>
                <w:sz w:val="18"/>
              </w:rPr>
              <w:t>The other four allocation modes ship from day one, switched off. Lender #2 is a configuration change, not a project.</w:t>
            </w:r>
          </w:p>
        </w:tc>
      </w:tr>
      <w:tr>
        <w:tc>
          <w:tcPr>
            <w:tcW w:type="dxa" w:w="1928"/>
          </w:tcPr>
          <w:p>
            <w:pPr>
              <w:spacing w:after="40" w:before="40"/>
            </w:pPr>
            <w:r/>
            <w:r>
              <w:rPr>
                <w:rFonts w:ascii="Calibri" w:hAnsi="Calibri"/>
                <w:b/>
                <w:color w:val="1A1A1A"/>
                <w:sz w:val="18"/>
              </w:rPr>
              <w:t>Regulatory posture</w:t>
            </w:r>
          </w:p>
        </w:tc>
        <w:tc>
          <w:tcPr>
            <w:tcW w:type="dxa" w:w="3515"/>
          </w:tcPr>
          <w:p>
            <w:pPr>
              <w:spacing w:after="40" w:before="40"/>
            </w:pPr>
            <w:r/>
            <w:r>
              <w:rPr>
                <w:rFonts w:ascii="Calibri" w:hAnsi="Calibri"/>
                <w:color w:val="1A1A1A"/>
                <w:sz w:val="18"/>
              </w:rPr>
              <w:t>BirgenAI is not a licensed lender.</w:t>
            </w:r>
          </w:p>
        </w:tc>
        <w:tc>
          <w:tcPr>
            <w:tcW w:type="dxa" w:w="4082"/>
          </w:tcPr>
          <w:p>
            <w:pPr>
              <w:spacing w:after="40" w:before="40"/>
            </w:pPr>
            <w:r/>
            <w:r>
              <w:rPr>
                <w:rFonts w:ascii="Calibri" w:hAnsi="Calibri"/>
                <w:color w:val="1A1A1A"/>
                <w:sz w:val="18"/>
              </w:rPr>
              <w:t>Lender-of-record named on every money screen. Data-protection registration and impact assessment before external scale.</w:t>
            </w:r>
          </w:p>
        </w:tc>
      </w:tr>
    </w:tbl>
    <w:p>
      <w:pPr>
        <w:spacing w:after="40"/>
      </w:pPr>
    </w:p>
    <w:p>
      <w:r>
        <w:br w:type="page"/>
      </w:r>
    </w:p>
    <w:p>
      <w:pPr>
        <w:spacing w:after="40"/>
      </w:pPr>
      <w:r>
        <w:rPr>
          <w:rFonts w:ascii="Calibri" w:hAnsi="Calibri"/>
          <w:b/>
          <w:color w:val="10B981"/>
          <w:sz w:val="22"/>
        </w:rPr>
        <w:t>12</w:t>
      </w:r>
      <w:r>
        <w:rPr>
          <w:rFonts w:ascii="Calibri" w:hAnsi="Calibri"/>
          <w:b/>
          <w:color w:val="065F46"/>
          <w:sz w:val="34"/>
        </w:rPr>
        <w:t xml:space="preserve">   Open items — founder</w:t>
      </w:r>
    </w:p>
    <w:p>
      <w:pPr>
        <w:pBdr>
          <w:bottom w:val="single" w:sz="6" w:space="1" w:color="DDDDDD"/>
        </w:pBdr>
        <w:spacing w:after="120"/>
      </w:pPr>
    </w:p>
    <w:tbl>
      <w:tblPr>
        <w:tblStyle w:val="TableGrid"/>
        <w:tblW w:type="auto" w:w="0"/>
        <w:jc w:val="left"/>
        <w:tblLook w:firstColumn="1" w:firstRow="1" w:lastColumn="0" w:lastRow="0" w:noHBand="0" w:noVBand="1" w:val="04A0"/>
      </w:tblPr>
      <w:tblGrid>
        <w:gridCol w:w="4873"/>
        <w:gridCol w:w="4873"/>
      </w:tblGrid>
      <w:tr>
        <w:tc>
          <w:tcPr>
            <w:tcW w:type="dxa" w:w="3061"/>
            <w:shd w:val="clear" w:fill="065F46"/>
          </w:tcPr>
          <w:p>
            <w:pPr>
              <w:spacing w:after="40" w:before="40"/>
            </w:pPr>
            <w:r/>
            <w:r>
              <w:rPr>
                <w:rFonts w:ascii="Calibri" w:hAnsi="Calibri"/>
                <w:b/>
                <w:color w:val="FFFFFF"/>
                <w:sz w:val="18"/>
              </w:rPr>
              <w:t>Item</w:t>
            </w:r>
          </w:p>
        </w:tc>
        <w:tc>
          <w:tcPr>
            <w:tcW w:type="dxa" w:w="6463"/>
            <w:shd w:val="clear" w:fill="065F46"/>
          </w:tcPr>
          <w:p>
            <w:pPr>
              <w:spacing w:after="40" w:before="40"/>
            </w:pPr>
            <w:r/>
            <w:r>
              <w:rPr>
                <w:rFonts w:ascii="Calibri" w:hAnsi="Calibri"/>
                <w:b/>
                <w:color w:val="FFFFFF"/>
                <w:sz w:val="18"/>
              </w:rPr>
              <w:t>What is needed</w:t>
            </w:r>
          </w:p>
        </w:tc>
      </w:tr>
      <w:tr>
        <w:tc>
          <w:tcPr>
            <w:tcW w:type="dxa" w:w="3061"/>
          </w:tcPr>
          <w:p>
            <w:pPr>
              <w:spacing w:after="40" w:before="40"/>
            </w:pPr>
            <w:r/>
            <w:r>
              <w:rPr>
                <w:rFonts w:ascii="Calibri" w:hAnsi="Calibri"/>
                <w:b/>
                <w:color w:val="1A1A1A"/>
                <w:sz w:val="19"/>
              </w:rPr>
              <w:t>Micro Eazy base product spec</w:t>
            </w:r>
          </w:p>
        </w:tc>
        <w:tc>
          <w:tcPr>
            <w:tcW w:type="dxa" w:w="6463"/>
          </w:tcPr>
          <w:p>
            <w:pPr>
              <w:spacing w:after="40" w:before="40"/>
            </w:pPr>
            <w:r/>
            <w:r>
              <w:rPr>
                <w:rFonts w:ascii="Calibri" w:hAnsi="Calibri"/>
                <w:color w:val="1A1A1A"/>
                <w:sz w:val="19"/>
              </w:rPr>
              <w:t>The second product screen from Micromart.</w:t>
            </w:r>
          </w:p>
        </w:tc>
      </w:tr>
      <w:tr>
        <w:tc>
          <w:tcPr>
            <w:tcW w:type="dxa" w:w="3061"/>
          </w:tcPr>
          <w:p>
            <w:pPr>
              <w:spacing w:after="40" w:before="40"/>
            </w:pPr>
            <w:r/>
            <w:r>
              <w:rPr>
                <w:rFonts w:ascii="Calibri" w:hAnsi="Calibri"/>
                <w:b/>
                <w:color w:val="1A1A1A"/>
                <w:sz w:val="19"/>
              </w:rPr>
              <w:t>The “Micro Eazy” workflow stages</w:t>
            </w:r>
          </w:p>
        </w:tc>
        <w:tc>
          <w:tcPr>
            <w:tcW w:type="dxa" w:w="6463"/>
          </w:tcPr>
          <w:p>
            <w:pPr>
              <w:spacing w:after="40" w:before="40"/>
            </w:pPr>
            <w:r/>
            <w:r>
              <w:rPr>
                <w:rFonts w:ascii="Calibri" w:hAnsi="Calibri"/>
                <w:color w:val="1A1A1A"/>
                <w:sz w:val="19"/>
              </w:rPr>
              <w:t>Names, order, and who approves at each.</w:t>
            </w:r>
          </w:p>
        </w:tc>
      </w:tr>
      <w:tr>
        <w:tc>
          <w:tcPr>
            <w:tcW w:type="dxa" w:w="3061"/>
          </w:tcPr>
          <w:p>
            <w:pPr>
              <w:spacing w:after="40" w:before="40"/>
            </w:pPr>
            <w:r/>
            <w:r>
              <w:rPr>
                <w:rFonts w:ascii="Calibri" w:hAnsi="Calibri"/>
                <w:b/>
                <w:color w:val="1A1A1A"/>
                <w:sz w:val="19"/>
              </w:rPr>
              <w:t>microeazy.birgenai.com</w:t>
            </w:r>
          </w:p>
        </w:tc>
        <w:tc>
          <w:tcPr>
            <w:tcW w:type="dxa" w:w="6463"/>
          </w:tcPr>
          <w:p>
            <w:pPr>
              <w:spacing w:after="40" w:before="40"/>
            </w:pPr>
            <w:r/>
            <w:r>
              <w:rPr>
                <w:rFonts w:ascii="Calibri" w:hAnsi="Calibri"/>
                <w:color w:val="1A1A1A"/>
                <w:sz w:val="19"/>
              </w:rPr>
              <w:t>DNS record and Vercel domain.</w:t>
            </w:r>
          </w:p>
        </w:tc>
      </w:tr>
      <w:tr>
        <w:tc>
          <w:tcPr>
            <w:tcW w:type="dxa" w:w="3061"/>
          </w:tcPr>
          <w:p>
            <w:pPr>
              <w:spacing w:after="40" w:before="40"/>
            </w:pPr>
            <w:r/>
            <w:r>
              <w:rPr>
                <w:rFonts w:ascii="Calibri" w:hAnsi="Calibri"/>
                <w:b/>
                <w:color w:val="1A1A1A"/>
                <w:sz w:val="19"/>
              </w:rPr>
              <w:t>Web Push keypair</w:t>
            </w:r>
          </w:p>
        </w:tc>
        <w:tc>
          <w:tcPr>
            <w:tcW w:type="dxa" w:w="6463"/>
          </w:tcPr>
          <w:p>
            <w:pPr>
              <w:spacing w:after="40" w:before="40"/>
            </w:pPr>
            <w:r/>
            <w:r>
              <w:rPr>
                <w:rFonts w:ascii="Calibri" w:hAnsi="Calibri"/>
                <w:color w:val="1A1A1A"/>
                <w:sz w:val="19"/>
              </w:rPr>
              <w:t>Generated once, stored in the vault.</w:t>
            </w:r>
          </w:p>
        </w:tc>
      </w:tr>
      <w:tr>
        <w:tc>
          <w:tcPr>
            <w:tcW w:type="dxa" w:w="3061"/>
          </w:tcPr>
          <w:p>
            <w:pPr>
              <w:spacing w:after="40" w:before="40"/>
            </w:pPr>
            <w:r/>
            <w:r>
              <w:rPr>
                <w:rFonts w:ascii="Calibri" w:hAnsi="Calibri"/>
                <w:b/>
                <w:color w:val="1A1A1A"/>
                <w:sz w:val="19"/>
              </w:rPr>
              <w:t>CRB production keys</w:t>
            </w:r>
          </w:p>
        </w:tc>
        <w:tc>
          <w:tcPr>
            <w:tcW w:type="dxa" w:w="6463"/>
          </w:tcPr>
          <w:p>
            <w:pPr>
              <w:spacing w:after="40" w:before="40"/>
            </w:pPr>
            <w:r/>
            <w:r>
              <w:rPr>
                <w:rFonts w:ascii="Calibri" w:hAnsi="Calibri"/>
                <w:color w:val="1A1A1A"/>
                <w:sz w:val="19"/>
              </w:rPr>
              <w:t>Chase this week.</w:t>
            </w:r>
          </w:p>
        </w:tc>
      </w:tr>
      <w:tr>
        <w:tc>
          <w:tcPr>
            <w:tcW w:type="dxa" w:w="3061"/>
          </w:tcPr>
          <w:p>
            <w:pPr>
              <w:spacing w:after="40" w:before="40"/>
            </w:pPr>
            <w:r/>
            <w:r>
              <w:rPr>
                <w:rFonts w:ascii="Calibri" w:hAnsi="Calibri"/>
                <w:b/>
                <w:color w:val="1A1A1A"/>
                <w:sz w:val="19"/>
              </w:rPr>
              <w:t>Micromart’s launch appetite</w:t>
            </w:r>
          </w:p>
        </w:tc>
        <w:tc>
          <w:tcPr>
            <w:tcW w:type="dxa" w:w="6463"/>
          </w:tcPr>
          <w:p>
            <w:pPr>
              <w:spacing w:after="40" w:before="40"/>
            </w:pPr>
            <w:r/>
            <w:r>
              <w:rPr>
                <w:rFonts w:ascii="Calibri" w:hAnsi="Calibri"/>
                <w:color w:val="1A1A1A"/>
                <w:sz w:val="19"/>
              </w:rPr>
              <w:t>Loans per day and maximum exposure. A commercial number — it belongs in the board conversation, not in a config file we choose.</w:t>
            </w:r>
          </w:p>
        </w:tc>
      </w:tr>
      <w:tr>
        <w:tc>
          <w:tcPr>
            <w:tcW w:type="dxa" w:w="3061"/>
          </w:tcPr>
          <w:p>
            <w:pPr>
              <w:spacing w:after="40" w:before="40"/>
            </w:pPr>
            <w:r/>
            <w:r>
              <w:rPr>
                <w:rFonts w:ascii="Calibri" w:hAnsi="Calibri"/>
                <w:b/>
                <w:color w:val="1A1A1A"/>
                <w:sz w:val="19"/>
              </w:rPr>
              <w:t>Commercial model</w:t>
            </w:r>
          </w:p>
        </w:tc>
        <w:tc>
          <w:tcPr>
            <w:tcW w:type="dxa" w:w="6463"/>
          </w:tcPr>
          <w:p>
            <w:pPr>
              <w:spacing w:after="40" w:before="40"/>
            </w:pPr>
            <w:r/>
            <w:r>
              <w:rPr>
                <w:rFonts w:ascii="Calibri" w:hAnsi="Calibri"/>
                <w:color w:val="1A1A1A"/>
                <w:sz w:val="19"/>
              </w:rPr>
              <w:t>Per-loan origination fee, revenue share, or subscription plus usage. Needed before the attribution reporting in Sprint 2 has anything to invoice against.</w:t>
            </w:r>
          </w:p>
        </w:tc>
      </w:tr>
    </w:tbl>
    <w:p>
      <w:pPr>
        <w:spacing w:after="40"/>
      </w:pPr>
    </w:p>
    <w:p/>
    <w:p>
      <w:pPr>
        <w:pBdr>
          <w:bottom w:val="single" w:sz="6" w:space="1" w:color="DDDDDD"/>
        </w:pBdr>
        <w:spacing w:after="120"/>
      </w:pPr>
    </w:p>
    <w:p>
      <w:pPr>
        <w:spacing w:before="0" w:after="80"/>
      </w:pPr>
      <w:r>
        <w:rPr>
          <w:rFonts w:ascii="Calibri" w:hAnsi="Calibri"/>
          <w:b w:val="0"/>
          <w:i/>
          <w:color w:val="5A5A5A"/>
          <w:sz w:val="18"/>
        </w:rPr>
        <w:t>Grounded in a live read of the platform database on 5 August 2026 — 11 organisations; Micromart at 162 borrowers, 199 loans, 5 products, 2 workflows, M-Pesa and CRB configured — together with the decision engine, the ServiceSuite bridge, the console navigation registry, the Connected Suite definition, the 62-model schema, the Hub app-store seed, and Micromart’s own Micro Eazy Monthly product screen.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