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5B6573"/>
          <w:sz w:val="24"/>
        </w:rPr>
        <w:t>eStock</w:t>
      </w:r>
    </w:p>
    <w:p>
      <w:pPr>
        <w:spacing w:after="160"/>
      </w:pPr>
      <w:r>
        <w:rPr>
          <w:rFonts w:ascii="Calibri" w:hAnsi="Calibri"/>
          <w:b/>
          <w:color w:val="1F4D78"/>
          <w:sz w:val="50"/>
        </w:rPr>
        <w:t>Modèle d'offre et de support</w:t>
      </w:r>
    </w:p>
    <w:p>
      <w:pPr>
        <w:spacing w:after="400"/>
      </w:pPr>
      <w:r>
        <w:rPr>
          <w:rFonts w:ascii="Calibri" w:hAnsi="Calibri"/>
          <w:color w:val="5B6573"/>
          <w:sz w:val="26"/>
        </w:rPr>
        <w:t>Base commerciale à compléter et faire valider avant signature.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 xml:space="preserve">Important : </w:t>
            </w:r>
            <w:r>
              <w:rPr>
                <w:rFonts w:ascii="Calibri" w:hAnsi="Calibri"/>
                <w:color w:val="1F4D78"/>
                <w:sz w:val="21"/>
              </w:rPr>
              <w:t>ce modèle n'est pas un contrat juridique final. Compléter les champs entre crochets et le faire relire avant toute signature.</w:t>
            </w:r>
          </w:p>
        </w:tc>
      </w:tr>
    </w:tbl>
    <w:p>
      <w:pPr>
        <w:spacing w:after="40"/>
      </w:pPr>
    </w:p>
    <w:p>
      <w:pPr>
        <w:pStyle w:val="Heading1"/>
      </w:pPr>
      <w:r>
        <w:t>Parties et périmètre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Prestataire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[raison sociale, adresse, contacts]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[raison sociale, adresse, contacts]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Installation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[site, nombre de magasins, caisses et utilisateurs]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Version eStock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[version]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Date de démarrage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[date]</w:t>
            </w:r>
          </w:p>
        </w:tc>
      </w:tr>
    </w:tbl>
    <w:p>
      <w:pPr>
        <w:pStyle w:val="Heading1"/>
      </w:pPr>
      <w:r>
        <w:t>Prestations incluses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Installation et paramétrage initial.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Import éventuel décrit dans une annexe validée par le Client.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Formation des utilisateurs désignés.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Assistance pendant [durée] après mise en service.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000000"/>
          <w:sz w:val="22"/>
        </w:rPr>
        <w:t>Maintenance, corrections et modalités de mise à jour définies ci-dessous.</w:t>
      </w:r>
    </w:p>
    <w:p>
      <w:pPr>
        <w:pStyle w:val="Heading1"/>
      </w:pPr>
      <w:r>
        <w:t>Responsabilités du Client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Fournir des données exactes et des paramètres fiscaux validés.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Désigner un administrateur responsable des comptes et mots de passe.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Réaliser les sauvegardes selon la procédure remise.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Tester les résultats de recette avant acceptation.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Vérifier ses obligations fiscales et comptables avec son conseil.</w:t>
      </w:r>
    </w:p>
    <w:p>
      <w:pPr>
        <w:pStyle w:val="Heading1"/>
      </w:pPr>
      <w:r>
        <w:t>Support et incidents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Niveau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Exemple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D78"/>
          </w:tcPr>
          <w:p>
            <w:r>
              <w:rPr>
                <w:b/>
                <w:color w:val="FFFFFF"/>
              </w:rPr>
              <w:t>Délai de prise en charge cible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Critique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Caisse inutilisable sans solution de contournement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[x heures ouvrées]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Majeur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Fonction essentielle dégradée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[x jour ouvré]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Standard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Question ou anomalie non bloquante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[x jours ouvrés]</w:t>
            </w:r>
          </w:p>
        </w:tc>
      </w:tr>
    </w:tbl>
    <w:p>
      <w:pPr>
        <w:pStyle w:val="Heading1"/>
      </w:pPr>
      <w:r>
        <w:t>Données et sauvegardes</w:t>
      </w:r>
    </w:p>
    <w:p>
      <w:r>
        <w:rPr>
          <w:rFonts w:ascii="Calibri" w:hAnsi="Calibri"/>
          <w:color w:val="000000"/>
          <w:sz w:val="22"/>
        </w:rPr>
        <w:t>Préciser qui héberge les données, qui peut y accéder, le lieu des sauvegardes, leur durée de conservation, les modalités de restitution et la procédure en cas d'incident.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8"/>
      </w:rPr>
      <w:t xml:space="preserve">eStock - Document de travail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573"/>
        <w:sz w:val="18"/>
      </w:rPr>
      <w:t>eStock | Dossier commercial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