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b/>
          <w:color w:val="138A8A"/>
          <w:sz w:val="22"/>
        </w:rPr>
        <w:t>SECTION 3</w:t>
      </w:r>
    </w:p>
    <w:p>
      <w:pPr>
        <w:pStyle w:val="Title"/>
      </w:pPr>
      <w:r>
        <w:t>Presentation of System Functionality</w:t>
      </w:r>
    </w:p>
    <w:p>
      <w:pPr>
        <w:spacing w:after="240"/>
      </w:pPr>
      <w:r>
        <w:rPr>
          <w:color w:val="5B6670"/>
          <w:sz w:val="22"/>
        </w:rPr>
        <w:t>NorzAgapay  |  Objectives and Statements of the Problem 1–3</w:t>
      </w:r>
    </w:p>
    <w:tbl>
      <w:tblPr>
        <w:tblW w:type="auto" w:w="0"/>
        <w:jc w:val="center"/>
        <w:tblLayout w:type="fixed"/>
        <w:tblLook w:firstColumn="1" w:firstRow="1" w:lastColumn="0" w:lastRow="0" w:noHBand="0" w:noVBand="1" w:val="04A0"/>
      </w:tblPr>
      <w:tblGrid>
        <w:gridCol w:w="9432"/>
      </w:tblGrid>
      <w:tr>
        <w:tc>
          <w:tcPr>
            <w:tcW w:type="dxa" w:w="9547"/>
            <w:shd w:fill="EAF2F6"/>
            <w:tcBorders>
              <w:top w:val="single" w:sz="6" w:color="B9CAD4"/>
              <w:left w:val="single" w:sz="6" w:color="B9CAD4"/>
              <w:bottom w:val="single" w:sz="6" w:color="B9CAD4"/>
              <w:right w:val="single" w:sz="6" w:color="B9CAD4"/>
              <w:insideH w:val="single" w:sz="6" w:color="B9CAD4"/>
              <w:insideV w:val="single" w:sz="6" w:color="B9CAD4"/>
            </w:tcBorders>
            <w:tcMar>
              <w:top w:w="130" w:type="dxa"/>
              <w:start w:w="170" w:type="dxa"/>
              <w:bottom w:w="130" w:type="dxa"/>
              <w:end w:w="170" w:type="dxa"/>
            </w:tcMar>
          </w:tcPr>
          <w:p>
            <w:pPr>
              <w:spacing w:after="60"/>
            </w:pPr>
            <w:r>
              <w:rPr>
                <w:b/>
                <w:color w:val="17324F"/>
              </w:rPr>
              <w:t>How to use this draft</w:t>
            </w:r>
          </w:p>
          <w:p>
            <w:pPr>
              <w:spacing w:after="0" w:line="252" w:lineRule="auto"/>
            </w:pPr>
            <w:r>
              <w:t>Each response explains the system contribution first, followed by a marked slot for the actual screenshot or evaluation evidence, following the supplied reference layout. Replace each slot with a real capture from the current application. Use test accounts and sample incident data, hide names, phone numbers, tokens, and other personal information, and keep each figure caption with its image.</w:t>
            </w:r>
          </w:p>
        </w:tc>
      </w:tr>
    </w:tbl>
    <w:p>
      <w:pPr>
        <w:spacing w:after="0"/>
      </w:pPr>
    </w:p>
    <w:p>
      <w:pPr>
        <w:widowControl/>
      </w:pPr>
      <w:r>
        <w:t>This write-up follows the objectives and statements of the problem supplied by the researcher. It describes features found in the NorzAgapay project and frames their intended contribution. Screenshots can demonstrate available screens and workflow steps; they do not, by themselves, prove faster response, reliability, notification delivery, or software quality ratings.</w:t>
      </w:r>
    </w:p>
    <w:p>
      <w:pPr>
        <w:pStyle w:val="Heading1"/>
      </w:pPr>
      <w:r>
        <w:t>Objective 1 and SOP 1: Develop the system to address coordination needs</w:t>
      </w:r>
    </w:p>
    <w:p>
      <w:pPr>
        <w:spacing w:after="100"/>
      </w:pPr>
      <w:r>
        <w:rPr>
          <w:b/>
          <w:color w:val="17324F"/>
        </w:rPr>
        <w:t xml:space="preserve">SOP 1 asks: </w:t>
      </w:r>
      <w:r>
        <w:t>How can the system be developed to address the identified needs in emergency response and crisis-management coordination?</w:t>
      </w:r>
    </w:p>
    <w:p>
      <w:pPr>
        <w:spacing w:after="100"/>
      </w:pPr>
      <w:r>
        <w:rPr>
          <w:b/>
          <w:color w:val="17324F"/>
        </w:rPr>
        <w:t xml:space="preserve">Objective 1: </w:t>
      </w:r>
      <w:r>
        <w:t>Develop NorzAgapay to support reporting, assessment and dispatch, incident-location monitoring, evacuation-center monitoring, escalation, and public safety advisories.</w:t>
      </w:r>
    </w:p>
    <w:p>
      <w:pPr>
        <w:widowControl/>
      </w:pPr>
      <w:r>
        <w:t>NorzAgapay links the resident reporting flow with barangay and MDRRMO review, responder assignment, map-based monitoring, evacuation-center information, escalation, and public advisories. The subsections below describe the relevant workflow and identify the strongest screenshot evidence for each need.</w:t>
      </w:r>
    </w:p>
    <w:p>
      <w:pPr>
        <w:pStyle w:val="Heading2"/>
      </w:pPr>
      <w:r>
        <w:t>1.1: Geotagged resident reports</w:t>
      </w:r>
    </w:p>
    <w:p>
      <w:pPr>
        <w:widowControl/>
      </w:pPr>
      <w:r>
        <w:t>The resident application provides a structured incident-report form for incident details and obtains the device location through its GPS service. The report flow can include supporting evidence and saves location coordinates with the report when location permission and a valid GPS reading are available. The screenshot should show the incident details and the selected location or coordinates; explain that coordinate accuracy depends on the device, signal, and permission settings.</w:t>
      </w:r>
    </w:p>
    <w:tbl>
      <w:tblPr>
        <w:tblW w:type="auto" w:w="0"/>
        <w:jc w:val="center"/>
        <w:tblLayout w:type="fixed"/>
        <w:tblLook w:firstColumn="1" w:firstRow="1" w:lastColumn="0" w:lastRow="0" w:noHBand="0" w:noVBand="1" w:val="04A0"/>
      </w:tblPr>
      <w:tblGrid>
        <w:gridCol w:w="9432"/>
      </w:tblGrid>
      <w:tr>
        <w:trPr>
          <w:trHeight w:val="1987" w:hRule="atLeast"/>
          <w:cantSplit/>
        </w:trPr>
        <w:tc>
          <w:tcPr>
            <w:tcW w:type="dxa" w:w="9432"/>
            <w:vAlign w:val="center"/>
            <w:shd w:fill="F4F7F9"/>
            <w:tcBorders>
              <w:top w:val="single" w:sz="10" w:color="91A6B4"/>
              <w:left w:val="single" w:sz="10" w:color="91A6B4"/>
              <w:bottom w:val="single" w:sz="10" w:color="91A6B4"/>
              <w:right w:val="single" w:sz="10" w:color="91A6B4"/>
              <w:insideH w:val="single" w:sz="10" w:color="91A6B4"/>
              <w:insideV w:val="single" w:sz="10" w:color="91A6B4"/>
            </w:tcBorders>
            <w:tcMar>
              <w:top w:w="125" w:type="dxa"/>
              <w:start w:w="170" w:type="dxa"/>
              <w:bottom w:w="125" w:type="dxa"/>
              <w:end w:w="170" w:type="dxa"/>
            </w:tcMar>
          </w:tcPr>
          <w:p>
            <w:pPr>
              <w:spacing w:after="60"/>
              <w:jc w:val="center"/>
            </w:pPr>
            <w:r>
              <w:rPr>
                <w:b/>
                <w:color w:val="245B78"/>
                <w:sz w:val="20"/>
              </w:rPr>
              <w:t>FIGURE 1.1  |  Geotagged resident reports</w:t>
            </w:r>
          </w:p>
          <w:p>
            <w:pPr>
              <w:spacing w:after="0" w:line="240" w:lineRule="auto"/>
              <w:jc w:val="center"/>
            </w:pPr>
            <w:r>
              <w:rPr>
                <w:b/>
                <w:color w:val="138A8A"/>
                <w:sz w:val="18"/>
              </w:rPr>
              <w:t>INSERT ACTUAL SCREENSHOT / EVIDENCE HERE</w:t>
              <w:br/>
            </w:r>
            <w:r>
              <w:rPr>
                <w:color w:val="5B6670"/>
                <w:sz w:val="16"/>
              </w:rPr>
              <w:t>Resident app → Report Incident: show the incident type/category, description, map pin or coordinates, and evidence control using a synthetic report.</w:t>
            </w:r>
          </w:p>
        </w:tc>
      </w:tr>
    </w:tbl>
    <w:p>
      <w:pPr>
        <w:pStyle w:val="SmallNote"/>
        <w:spacing w:after="140"/>
        <w:jc w:val="center"/>
      </w:pPr>
      <w:r>
        <w:rPr>
          <w:i/>
        </w:rPr>
        <w:t>Figure 1.1. Geotagged resident reports.</w:t>
      </w:r>
    </w:p>
    <w:p>
      <w:pPr>
        <w:pStyle w:val="Heading2"/>
      </w:pPr>
      <w:r>
        <w:t>1.2: Incident assessment and responder dispatch</w:t>
      </w:r>
    </w:p>
    <w:p>
      <w:pPr>
        <w:widowControl/>
      </w:pPr>
      <w:r>
        <w:t>Barangay personnel can review a submitted report, classify the incident and severity, and use the report detail actions to dispatch an available barangay response unit or escalate the case. Staff activate the units that are available for the day; the dispatcher can select only units marked dispatchable. The assignment workflow is intended to make the incident assessment and dispatch decision visible in one case record.</w:t>
      </w:r>
    </w:p>
    <w:tbl>
      <w:tblPr>
        <w:tblW w:type="auto" w:w="0"/>
        <w:jc w:val="center"/>
        <w:tblLayout w:type="fixed"/>
        <w:tblLook w:firstColumn="1" w:firstRow="1" w:lastColumn="0" w:lastRow="0" w:noHBand="0" w:noVBand="1" w:val="04A0"/>
      </w:tblPr>
      <w:tblGrid>
        <w:gridCol w:w="9432"/>
      </w:tblGrid>
      <w:tr>
        <w:trPr>
          <w:trHeight w:val="1987" w:hRule="atLeast"/>
          <w:cantSplit/>
        </w:trPr>
        <w:tc>
          <w:tcPr>
            <w:tcW w:type="dxa" w:w="9432"/>
            <w:vAlign w:val="center"/>
            <w:shd w:fill="F4F7F9"/>
            <w:tcBorders>
              <w:top w:val="single" w:sz="10" w:color="91A6B4"/>
              <w:left w:val="single" w:sz="10" w:color="91A6B4"/>
              <w:bottom w:val="single" w:sz="10" w:color="91A6B4"/>
              <w:right w:val="single" w:sz="10" w:color="91A6B4"/>
              <w:insideH w:val="single" w:sz="10" w:color="91A6B4"/>
              <w:insideV w:val="single" w:sz="10" w:color="91A6B4"/>
            </w:tcBorders>
            <w:tcMar>
              <w:top w:w="125" w:type="dxa"/>
              <w:start w:w="170" w:type="dxa"/>
              <w:bottom w:w="125" w:type="dxa"/>
              <w:end w:w="170" w:type="dxa"/>
            </w:tcMar>
          </w:tcPr>
          <w:p>
            <w:pPr>
              <w:spacing w:after="60"/>
              <w:jc w:val="center"/>
            </w:pPr>
            <w:r>
              <w:rPr>
                <w:b/>
                <w:color w:val="245B78"/>
                <w:sz w:val="20"/>
              </w:rPr>
              <w:t>FIGURE 1.2  |  Incident assessment and responder dispatch</w:t>
            </w:r>
          </w:p>
          <w:p>
            <w:pPr>
              <w:spacing w:after="0" w:line="240" w:lineRule="auto"/>
              <w:jc w:val="center"/>
            </w:pPr>
            <w:r>
              <w:rPr>
                <w:b/>
                <w:color w:val="138A8A"/>
                <w:sz w:val="18"/>
              </w:rPr>
              <w:t>INSERT ACTUAL SCREENSHOT / EVIDENCE HERE</w:t>
              <w:br/>
            </w:r>
            <w:r>
              <w:rPr>
                <w:color w:val="5B6670"/>
                <w:sz w:val="16"/>
              </w:rPr>
              <w:t>Mobile app → Barangay report queue → open a demo report: show assessment/classification, severity, and the dispatch action or assignment summary.</w:t>
            </w:r>
          </w:p>
        </w:tc>
      </w:tr>
    </w:tbl>
    <w:p>
      <w:pPr>
        <w:pStyle w:val="SmallNote"/>
        <w:spacing w:after="140"/>
        <w:jc w:val="center"/>
      </w:pPr>
      <w:r>
        <w:rPr>
          <w:i/>
        </w:rPr>
        <w:t>Figure 1.2. Incident assessment and responder dispatch.</w:t>
      </w:r>
    </w:p>
    <w:p>
      <w:pPr>
        <w:pStyle w:val="Heading2"/>
      </w:pPr>
      <w:r>
        <w:t>1.2 continued: Daily unit readiness and crew selection</w:t>
      </w:r>
    </w:p>
    <w:p>
      <w:pPr>
        <w:widowControl/>
      </w:pPr>
      <w:r>
        <w:t>The web dashboard’s Respond Units area lets staff set units active for the day and provides an emergency “activate all” action for eligible units. A unit roster includes its Team Leader account and crew roles. At assignment, capture the available-unit state and crew selection, including the required driver responder and first aider responder. The display communicates the unit’s configured readiness; it is not proof that a person is physically present unless attendance is recorded separately.</w:t>
      </w:r>
    </w:p>
    <w:tbl>
      <w:tblPr>
        <w:tblW w:type="auto" w:w="0"/>
        <w:jc w:val="center"/>
        <w:tblLayout w:type="fixed"/>
        <w:tblLook w:firstColumn="1" w:firstRow="1" w:lastColumn="0" w:lastRow="0" w:noHBand="0" w:noVBand="1" w:val="04A0"/>
      </w:tblPr>
      <w:tblGrid>
        <w:gridCol w:w="9432"/>
      </w:tblGrid>
      <w:tr>
        <w:trPr>
          <w:trHeight w:val="1987" w:hRule="atLeast"/>
          <w:cantSplit/>
        </w:trPr>
        <w:tc>
          <w:tcPr>
            <w:tcW w:type="dxa" w:w="9432"/>
            <w:vAlign w:val="center"/>
            <w:shd w:fill="F4F7F9"/>
            <w:tcBorders>
              <w:top w:val="single" w:sz="10" w:color="91A6B4"/>
              <w:left w:val="single" w:sz="10" w:color="91A6B4"/>
              <w:bottom w:val="single" w:sz="10" w:color="91A6B4"/>
              <w:right w:val="single" w:sz="10" w:color="91A6B4"/>
              <w:insideH w:val="single" w:sz="10" w:color="91A6B4"/>
              <w:insideV w:val="single" w:sz="10" w:color="91A6B4"/>
            </w:tcBorders>
            <w:tcMar>
              <w:top w:w="125" w:type="dxa"/>
              <w:start w:w="170" w:type="dxa"/>
              <w:bottom w:w="125" w:type="dxa"/>
              <w:end w:w="170" w:type="dxa"/>
            </w:tcMar>
          </w:tcPr>
          <w:p>
            <w:pPr>
              <w:spacing w:after="60"/>
              <w:jc w:val="center"/>
            </w:pPr>
            <w:r>
              <w:rPr>
                <w:b/>
                <w:color w:val="245B78"/>
                <w:sz w:val="20"/>
              </w:rPr>
              <w:t>FIGURE 1.3  |  Daily unit readiness and crew selection</w:t>
            </w:r>
          </w:p>
          <w:p>
            <w:pPr>
              <w:spacing w:after="0" w:line="240" w:lineRule="auto"/>
              <w:jc w:val="center"/>
            </w:pPr>
            <w:r>
              <w:rPr>
                <w:b/>
                <w:color w:val="138A8A"/>
                <w:sz w:val="18"/>
              </w:rPr>
              <w:t>INSERT ACTUAL SCREENSHOT / EVIDENCE HERE</w:t>
              <w:br/>
            </w:r>
            <w:r>
              <w:rPr>
                <w:color w:val="5B6670"/>
                <w:sz w:val="16"/>
              </w:rPr>
              <w:t>Web dashboard → Staff → Respond Units, plus the dispatch crew-selection view if available: show active-today state and selected team roles. Mask contact details.</w:t>
            </w:r>
          </w:p>
        </w:tc>
      </w:tr>
    </w:tbl>
    <w:p>
      <w:pPr>
        <w:pStyle w:val="SmallNote"/>
        <w:spacing w:after="140"/>
        <w:jc w:val="center"/>
      </w:pPr>
      <w:r>
        <w:rPr>
          <w:i/>
        </w:rPr>
        <w:t>Figure 1.3. Daily unit readiness and crew selection.</w:t>
      </w:r>
    </w:p>
    <w:p>
      <w:pPr>
        <w:pStyle w:val="Heading2"/>
      </w:pPr>
      <w:r>
        <w:t>1.3: Real-time monitoring of reported incident locations</w:t>
      </w:r>
    </w:p>
    <w:p>
      <w:pPr>
        <w:widowControl/>
      </w:pPr>
      <w:r>
        <w:t>The Command Center presents geotagged incidents on a map and associates each report with its current response stage. Authorized personnel can use the shared map and report details to maintain situational awareness as incident data and status updates arrive. If a live responder marker is visible in the build being documented, include it; otherwise show the incident markers, legend, and status information without implying that every unit is continuously tracked.</w:t>
      </w:r>
    </w:p>
    <w:tbl>
      <w:tblPr>
        <w:tblW w:type="auto" w:w="0"/>
        <w:jc w:val="center"/>
        <w:tblLayout w:type="fixed"/>
        <w:tblLook w:firstColumn="1" w:firstRow="1" w:lastColumn="0" w:lastRow="0" w:noHBand="0" w:noVBand="1" w:val="04A0"/>
      </w:tblPr>
      <w:tblGrid>
        <w:gridCol w:w="9432"/>
      </w:tblGrid>
      <w:tr>
        <w:trPr>
          <w:trHeight w:val="2016" w:hRule="atLeast"/>
          <w:cantSplit/>
        </w:trPr>
        <w:tc>
          <w:tcPr>
            <w:tcW w:type="dxa" w:w="9432"/>
            <w:vAlign w:val="center"/>
            <w:shd w:fill="F4F7F9"/>
            <w:tcBorders>
              <w:top w:val="single" w:sz="10" w:color="91A6B4"/>
              <w:left w:val="single" w:sz="10" w:color="91A6B4"/>
              <w:bottom w:val="single" w:sz="10" w:color="91A6B4"/>
              <w:right w:val="single" w:sz="10" w:color="91A6B4"/>
              <w:insideH w:val="single" w:sz="10" w:color="91A6B4"/>
              <w:insideV w:val="single" w:sz="10" w:color="91A6B4"/>
            </w:tcBorders>
            <w:tcMar>
              <w:top w:w="125" w:type="dxa"/>
              <w:start w:w="170" w:type="dxa"/>
              <w:bottom w:w="125" w:type="dxa"/>
              <w:end w:w="170" w:type="dxa"/>
            </w:tcMar>
          </w:tcPr>
          <w:p>
            <w:pPr>
              <w:spacing w:after="60"/>
              <w:jc w:val="center"/>
            </w:pPr>
            <w:r>
              <w:rPr>
                <w:b/>
                <w:color w:val="245B78"/>
                <w:sz w:val="20"/>
              </w:rPr>
              <w:t>FIGURE 1.4  |  Real-time monitoring of reported incident locations</w:t>
            </w:r>
          </w:p>
          <w:p>
            <w:pPr>
              <w:spacing w:after="0" w:line="240" w:lineRule="auto"/>
              <w:jc w:val="center"/>
            </w:pPr>
            <w:r>
              <w:rPr>
                <w:b/>
                <w:color w:val="138A8A"/>
                <w:sz w:val="18"/>
              </w:rPr>
              <w:t>INSERT ACTUAL SCREENSHOT / EVIDENCE HERE</w:t>
              <w:br/>
            </w:r>
            <w:r>
              <w:rPr>
                <w:color w:val="5B6670"/>
                <w:sz w:val="16"/>
              </w:rPr>
              <w:t>Web dashboard → Incident Monitoring / Command Center: show incident map markers, status legend, and a selected incident detail. Include a responder marker only if it is actually present.</w:t>
            </w:r>
          </w:p>
        </w:tc>
      </w:tr>
    </w:tbl>
    <w:p>
      <w:pPr>
        <w:pStyle w:val="SmallNote"/>
        <w:spacing w:after="140"/>
        <w:jc w:val="center"/>
      </w:pPr>
      <w:r>
        <w:rPr>
          <w:i/>
        </w:rPr>
        <w:t>Figure 1.4. Real-time monitoring of reported incident locations.</w:t>
      </w:r>
    </w:p>
    <w:p>
      <w:pPr>
        <w:pStyle w:val="Heading2"/>
      </w:pPr>
      <w:r>
        <w:t>1.4: Evacuation-center location monitoring</w:t>
      </w:r>
    </w:p>
    <w:p>
      <w:pPr>
        <w:widowControl/>
      </w:pPr>
      <w:r>
        <w:t>Authorized personnel can maintain evacuation-center records with map coordinates, while the resident application provides a map view of available center locations. These views support locating centers from either the operations side or the resident side. Capture the center markers and the details actually exposed in the current build, such as center name or status; do not add capacity or occupancy claims unless those fields are visible and maintained.</w:t>
      </w:r>
    </w:p>
    <w:tbl>
      <w:tblPr>
        <w:tblW w:type="auto" w:w="0"/>
        <w:jc w:val="center"/>
        <w:tblLayout w:type="fixed"/>
        <w:tblLook w:firstColumn="1" w:firstRow="1" w:lastColumn="0" w:lastRow="0" w:noHBand="0" w:noVBand="1" w:val="04A0"/>
      </w:tblPr>
      <w:tblGrid>
        <w:gridCol w:w="9432"/>
      </w:tblGrid>
      <w:tr>
        <w:trPr>
          <w:trHeight w:val="1987" w:hRule="atLeast"/>
          <w:cantSplit/>
        </w:trPr>
        <w:tc>
          <w:tcPr>
            <w:tcW w:type="dxa" w:w="9432"/>
            <w:vAlign w:val="center"/>
            <w:shd w:fill="F4F7F9"/>
            <w:tcBorders>
              <w:top w:val="single" w:sz="10" w:color="91A6B4"/>
              <w:left w:val="single" w:sz="10" w:color="91A6B4"/>
              <w:bottom w:val="single" w:sz="10" w:color="91A6B4"/>
              <w:right w:val="single" w:sz="10" w:color="91A6B4"/>
              <w:insideH w:val="single" w:sz="10" w:color="91A6B4"/>
              <w:insideV w:val="single" w:sz="10" w:color="91A6B4"/>
            </w:tcBorders>
            <w:tcMar>
              <w:top w:w="125" w:type="dxa"/>
              <w:start w:w="170" w:type="dxa"/>
              <w:bottom w:w="125" w:type="dxa"/>
              <w:end w:w="170" w:type="dxa"/>
            </w:tcMar>
          </w:tcPr>
          <w:p>
            <w:pPr>
              <w:spacing w:after="60"/>
              <w:jc w:val="center"/>
            </w:pPr>
            <w:r>
              <w:rPr>
                <w:b/>
                <w:color w:val="245B78"/>
                <w:sz w:val="20"/>
              </w:rPr>
              <w:t>FIGURE 1.5  |  Evacuation-center location monitoring</w:t>
            </w:r>
          </w:p>
          <w:p>
            <w:pPr>
              <w:spacing w:after="0" w:line="240" w:lineRule="auto"/>
              <w:jc w:val="center"/>
            </w:pPr>
            <w:r>
              <w:rPr>
                <w:b/>
                <w:color w:val="138A8A"/>
                <w:sz w:val="18"/>
              </w:rPr>
              <w:t>INSERT ACTUAL SCREENSHOT / EVIDENCE HERE</w:t>
              <w:br/>
            </w:r>
            <w:r>
              <w:rPr>
                <w:color w:val="5B6670"/>
                <w:sz w:val="16"/>
              </w:rPr>
              <w:t>Capture the mobile staff evacuation-center map and/or the resident evacuation map with center markers and one selected center. Use sample or approved public information.</w:t>
            </w:r>
          </w:p>
        </w:tc>
      </w:tr>
    </w:tbl>
    <w:p>
      <w:pPr>
        <w:pStyle w:val="SmallNote"/>
        <w:spacing w:after="140"/>
        <w:jc w:val="center"/>
      </w:pPr>
      <w:r>
        <w:rPr>
          <w:i/>
        </w:rPr>
        <w:t>Figure 1.5. Evacuation-center location monitoring.</w:t>
      </w:r>
    </w:p>
    <w:p>
      <w:pPr>
        <w:pStyle w:val="Heading2"/>
      </w:pPr>
      <w:r>
        <w:t>1.5: Escalation when barangay capacity is exceeded</w:t>
      </w:r>
    </w:p>
    <w:p>
      <w:pPr>
        <w:widowControl/>
      </w:pPr>
      <w:r>
        <w:t>The barangay report-detail workflow offers an escalation action to the MDRRMO and records a reason for the escalation; the MDRRMO can then review the escalated item in its queue and continue the response workflow. The dispatcher’s assessment explains why local capacity is insufficient. In the current workflow, show the human decision and recorded reason; do not describe capacity as being detected automatically unless a separately verified rule or indicator is present.</w:t>
      </w:r>
    </w:p>
    <w:tbl>
      <w:tblPr>
        <w:tblW w:type="auto" w:w="0"/>
        <w:jc w:val="center"/>
        <w:tblLayout w:type="fixed"/>
        <w:tblLook w:firstColumn="1" w:firstRow="1" w:lastColumn="0" w:lastRow="0" w:noHBand="0" w:noVBand="1" w:val="04A0"/>
      </w:tblPr>
      <w:tblGrid>
        <w:gridCol w:w="9432"/>
      </w:tblGrid>
      <w:tr>
        <w:trPr>
          <w:trHeight w:val="2045" w:hRule="atLeast"/>
          <w:cantSplit/>
        </w:trPr>
        <w:tc>
          <w:tcPr>
            <w:tcW w:type="dxa" w:w="9432"/>
            <w:vAlign w:val="center"/>
            <w:shd w:fill="F4F7F9"/>
            <w:tcBorders>
              <w:top w:val="single" w:sz="10" w:color="91A6B4"/>
              <w:left w:val="single" w:sz="10" w:color="91A6B4"/>
              <w:bottom w:val="single" w:sz="10" w:color="91A6B4"/>
              <w:right w:val="single" w:sz="10" w:color="91A6B4"/>
              <w:insideH w:val="single" w:sz="10" w:color="91A6B4"/>
              <w:insideV w:val="single" w:sz="10" w:color="91A6B4"/>
            </w:tcBorders>
            <w:tcMar>
              <w:top w:w="125" w:type="dxa"/>
              <w:start w:w="170" w:type="dxa"/>
              <w:bottom w:w="125" w:type="dxa"/>
              <w:end w:w="170" w:type="dxa"/>
            </w:tcMar>
          </w:tcPr>
          <w:p>
            <w:pPr>
              <w:spacing w:after="60"/>
              <w:jc w:val="center"/>
            </w:pPr>
            <w:r>
              <w:rPr>
                <w:b/>
                <w:color w:val="245B78"/>
                <w:sz w:val="20"/>
              </w:rPr>
              <w:t>FIGURE 1.6  |  Escalation when barangay capacity is exceeded</w:t>
            </w:r>
          </w:p>
          <w:p>
            <w:pPr>
              <w:spacing w:after="0" w:line="240" w:lineRule="auto"/>
              <w:jc w:val="center"/>
            </w:pPr>
            <w:r>
              <w:rPr>
                <w:b/>
                <w:color w:val="138A8A"/>
                <w:sz w:val="18"/>
              </w:rPr>
              <w:t>INSERT ACTUAL SCREENSHOT / EVIDENCE HERE</w:t>
              <w:br/>
            </w:r>
            <w:r>
              <w:rPr>
                <w:color w:val="5B6670"/>
                <w:sz w:val="16"/>
              </w:rPr>
              <w:t>Use two panels: (A) barangay escalation action/form with a filled demonstration reason; (B) the same case visible in the MDRRMO escalation queue with its status.</w:t>
            </w:r>
          </w:p>
        </w:tc>
      </w:tr>
    </w:tbl>
    <w:p>
      <w:pPr>
        <w:pStyle w:val="SmallNote"/>
        <w:spacing w:after="140"/>
        <w:jc w:val="center"/>
      </w:pPr>
      <w:r>
        <w:rPr>
          <w:i/>
        </w:rPr>
        <w:t>Figure 1.6. Escalation when barangay capacity is exceeded.</w:t>
      </w:r>
    </w:p>
    <w:p>
      <w:pPr>
        <w:pStyle w:val="Heading2"/>
      </w:pPr>
      <w:r>
        <w:t>1.6: Public safety advisories</w:t>
      </w:r>
    </w:p>
    <w:p>
      <w:pPr>
        <w:widowControl/>
      </w:pPr>
      <w:r>
        <w:t>Authorized personnel can create and publish an MDRRMO broadcast, and residents can view public content through the resident application. This supports a shared channel for safety advisories. The project evidence supports authorized publishing and resident-facing content; describe an advisory as “verified” only when the study can show the applicable approval or verification step. A published post alone does not establish that a push notification reached every resident device.</w:t>
      </w:r>
    </w:p>
    <w:tbl>
      <w:tblPr>
        <w:tblW w:type="auto" w:w="0"/>
        <w:jc w:val="center"/>
        <w:tblLayout w:type="fixed"/>
        <w:tblLook w:firstColumn="1" w:firstRow="1" w:lastColumn="0" w:lastRow="0" w:noHBand="0" w:noVBand="1" w:val="04A0"/>
      </w:tblPr>
      <w:tblGrid>
        <w:gridCol w:w="9432"/>
      </w:tblGrid>
      <w:tr>
        <w:trPr>
          <w:trHeight w:val="2045" w:hRule="atLeast"/>
          <w:cantSplit/>
        </w:trPr>
        <w:tc>
          <w:tcPr>
            <w:tcW w:type="dxa" w:w="9432"/>
            <w:vAlign w:val="center"/>
            <w:shd w:fill="F4F7F9"/>
            <w:tcBorders>
              <w:top w:val="single" w:sz="10" w:color="91A6B4"/>
              <w:left w:val="single" w:sz="10" w:color="91A6B4"/>
              <w:bottom w:val="single" w:sz="10" w:color="91A6B4"/>
              <w:right w:val="single" w:sz="10" w:color="91A6B4"/>
              <w:insideH w:val="single" w:sz="10" w:color="91A6B4"/>
              <w:insideV w:val="single" w:sz="10" w:color="91A6B4"/>
            </w:tcBorders>
            <w:tcMar>
              <w:top w:w="125" w:type="dxa"/>
              <w:start w:w="170" w:type="dxa"/>
              <w:bottom w:w="125" w:type="dxa"/>
              <w:end w:w="170" w:type="dxa"/>
            </w:tcMar>
          </w:tcPr>
          <w:p>
            <w:pPr>
              <w:spacing w:after="60"/>
              <w:jc w:val="center"/>
            </w:pPr>
            <w:r>
              <w:rPr>
                <w:b/>
                <w:color w:val="245B78"/>
                <w:sz w:val="20"/>
              </w:rPr>
              <w:t>FIGURE 1.7  |  Public safety advisories</w:t>
            </w:r>
          </w:p>
          <w:p>
            <w:pPr>
              <w:spacing w:after="0" w:line="240" w:lineRule="auto"/>
              <w:jc w:val="center"/>
            </w:pPr>
            <w:r>
              <w:rPr>
                <w:b/>
                <w:color w:val="138A8A"/>
                <w:sz w:val="18"/>
              </w:rPr>
              <w:t>INSERT ACTUAL SCREENSHOT / EVIDENCE HERE</w:t>
              <w:br/>
            </w:r>
            <w:r>
              <w:rPr>
                <w:color w:val="5B6670"/>
                <w:sz w:val="16"/>
              </w:rPr>
              <w:t>Use two panels: (A) published advisory in the dashboard; (B) the same advisory in the resident feed or a real device notification. Hide account and device identifiers.</w:t>
            </w:r>
          </w:p>
        </w:tc>
      </w:tr>
    </w:tbl>
    <w:p>
      <w:pPr>
        <w:pStyle w:val="SmallNote"/>
        <w:spacing w:after="140"/>
        <w:jc w:val="center"/>
      </w:pPr>
      <w:r>
        <w:rPr>
          <w:i/>
        </w:rPr>
        <w:t>Figure 1.7. Public safety advisories.</w:t>
      </w:r>
    </w:p>
    <w:p>
      <w:pPr>
        <w:pStyle w:val="Heading1"/>
      </w:pPr>
      <w:r>
        <w:t>Objective 2 and SOP 2: Address problems in the current process</w:t>
      </w:r>
    </w:p>
    <w:p>
      <w:pPr>
        <w:spacing w:after="100"/>
      </w:pPr>
      <w:r>
        <w:rPr>
          <w:b/>
          <w:color w:val="17324F"/>
        </w:rPr>
        <w:t xml:space="preserve">SOP 2 asks: </w:t>
      </w:r>
      <w:r>
        <w:t>How can the system address problems identified in the current emergency-response process?</w:t>
      </w:r>
    </w:p>
    <w:p>
      <w:pPr>
        <w:spacing w:after="100"/>
      </w:pPr>
      <w:r>
        <w:rPr>
          <w:b/>
          <w:color w:val="17324F"/>
        </w:rPr>
        <w:t xml:space="preserve">Objective 2: </w:t>
      </w:r>
      <w:r>
        <w:t>Use NorzAgapay to improve reporting, incident assessment and dispatch, geolocation-based mapping, the escalation pipeline, and timely public notifications/advisories.</w:t>
      </w:r>
    </w:p>
    <w:p>
      <w:pPr>
        <w:widowControl/>
      </w:pPr>
      <w:r>
        <w:t>The system brings these activities into connected application workflows. The descriptions below explain how each workflow responds to the stated process gap. Figures 1.1–1.7 are reused where the same screen is evidence for more than one objective, avoiding duplicate screenshots.</w:t>
      </w:r>
    </w:p>
    <w:p>
      <w:pPr>
        <w:pStyle w:val="Heading2"/>
      </w:pPr>
      <w:r>
        <w:t>2.1: Improve disaster and incident reporting</w:t>
      </w:r>
    </w:p>
    <w:p>
      <w:pPr>
        <w:widowControl/>
      </w:pPr>
      <w:r>
        <w:t>A structured mobile form gives residents a consistent place to describe an incident and attach its location and supporting information. The submitted report can then enter an authorized personnel queue for review. This organizes report details for handoff and follow-up; any claim that reports became more complete or faster should be supported by a before-and-after measure or respondent data.</w:t>
      </w:r>
    </w:p>
    <w:tbl>
      <w:tblPr>
        <w:tblW w:type="auto" w:w="0"/>
        <w:jc w:val="center"/>
        <w:tblLayout w:type="fixed"/>
        <w:tblLook w:firstColumn="1" w:firstRow="1" w:lastColumn="0" w:lastRow="0" w:noHBand="0" w:noVBand="1" w:val="04A0"/>
      </w:tblPr>
      <w:tblGrid>
        <w:gridCol w:w="9432"/>
      </w:tblGrid>
      <w:tr>
        <w:trPr>
          <w:trHeight w:val="1699" w:hRule="atLeast"/>
          <w:cantSplit/>
        </w:trPr>
        <w:tc>
          <w:tcPr>
            <w:tcW w:type="dxa" w:w="9432"/>
            <w:vAlign w:val="center"/>
            <w:shd w:fill="F4F7F9"/>
            <w:tcBorders>
              <w:top w:val="single" w:sz="10" w:color="91A6B4"/>
              <w:left w:val="single" w:sz="10" w:color="91A6B4"/>
              <w:bottom w:val="single" w:sz="10" w:color="91A6B4"/>
              <w:right w:val="single" w:sz="10" w:color="91A6B4"/>
              <w:insideH w:val="single" w:sz="10" w:color="91A6B4"/>
              <w:insideV w:val="single" w:sz="10" w:color="91A6B4"/>
            </w:tcBorders>
            <w:tcMar>
              <w:top w:w="125" w:type="dxa"/>
              <w:start w:w="170" w:type="dxa"/>
              <w:bottom w:w="125" w:type="dxa"/>
              <w:end w:w="170" w:type="dxa"/>
            </w:tcMar>
          </w:tcPr>
          <w:p>
            <w:pPr>
              <w:spacing w:after="60"/>
              <w:jc w:val="center"/>
            </w:pPr>
            <w:r>
              <w:rPr>
                <w:b/>
                <w:color w:val="245B78"/>
                <w:sz w:val="20"/>
              </w:rPr>
              <w:t>FIGURE 1.1 / 1.2  |  Improve disaster and incident reporting</w:t>
            </w:r>
          </w:p>
          <w:p>
            <w:pPr>
              <w:spacing w:after="0" w:line="240" w:lineRule="auto"/>
              <w:jc w:val="center"/>
            </w:pPr>
            <w:r>
              <w:rPr>
                <w:b/>
                <w:color w:val="138A8A"/>
                <w:sz w:val="18"/>
              </w:rPr>
              <w:t>INSERT ACTUAL SCREENSHOT / EVIDENCE HERE</w:t>
              <w:br/>
            </w:r>
            <w:r>
              <w:rPr>
                <w:color w:val="5B6670"/>
                <w:sz w:val="16"/>
              </w:rPr>
              <w:t>Reuse Figure 1.1 for the resident submission form and Figure 1.2 for the received report in the barangay queue. Capture the submitted case only once in each view.</w:t>
            </w:r>
          </w:p>
        </w:tc>
      </w:tr>
    </w:tbl>
    <w:p>
      <w:pPr>
        <w:pStyle w:val="SmallNote"/>
        <w:spacing w:after="140"/>
        <w:jc w:val="center"/>
      </w:pPr>
      <w:r>
        <w:rPr>
          <w:i/>
        </w:rPr>
        <w:t>Figure 1.1 / 1.2. Improve disaster and incident reporting.</w:t>
      </w:r>
    </w:p>
    <w:p>
      <w:pPr>
        <w:pStyle w:val="Heading2"/>
      </w:pPr>
      <w:r>
        <w:t>2.2: Support assessment and dispatch</w:t>
      </w:r>
    </w:p>
    <w:p>
      <w:pPr>
        <w:widowControl/>
      </w:pPr>
      <w:r>
        <w:t>The report detail brings the incident record, assessment fields, available unit assignment, and response actions together for the dispatcher. Daily activation makes the dispatch choice depend on unit readiness configured by staff. The case record can then show dispatch and later response-stage updates. The screenshots should show the actual action controls and saved assignment, not a prototype mock-up.</w:t>
      </w:r>
    </w:p>
    <w:tbl>
      <w:tblPr>
        <w:tblW w:type="auto" w:w="0"/>
        <w:jc w:val="center"/>
        <w:tblLayout w:type="fixed"/>
        <w:tblLook w:firstColumn="1" w:firstRow="1" w:lastColumn="0" w:lastRow="0" w:noHBand="0" w:noVBand="1" w:val="04A0"/>
      </w:tblPr>
      <w:tblGrid>
        <w:gridCol w:w="9432"/>
      </w:tblGrid>
      <w:tr>
        <w:trPr>
          <w:trHeight w:val="1699" w:hRule="atLeast"/>
          <w:cantSplit/>
        </w:trPr>
        <w:tc>
          <w:tcPr>
            <w:tcW w:type="dxa" w:w="9432"/>
            <w:vAlign w:val="center"/>
            <w:shd w:fill="F4F7F9"/>
            <w:tcBorders>
              <w:top w:val="single" w:sz="10" w:color="91A6B4"/>
              <w:left w:val="single" w:sz="10" w:color="91A6B4"/>
              <w:bottom w:val="single" w:sz="10" w:color="91A6B4"/>
              <w:right w:val="single" w:sz="10" w:color="91A6B4"/>
              <w:insideH w:val="single" w:sz="10" w:color="91A6B4"/>
              <w:insideV w:val="single" w:sz="10" w:color="91A6B4"/>
            </w:tcBorders>
            <w:tcMar>
              <w:top w:w="125" w:type="dxa"/>
              <w:start w:w="170" w:type="dxa"/>
              <w:bottom w:w="125" w:type="dxa"/>
              <w:end w:w="170" w:type="dxa"/>
            </w:tcMar>
          </w:tcPr>
          <w:p>
            <w:pPr>
              <w:spacing w:after="60"/>
              <w:jc w:val="center"/>
            </w:pPr>
            <w:r>
              <w:rPr>
                <w:b/>
                <w:color w:val="245B78"/>
                <w:sz w:val="20"/>
              </w:rPr>
              <w:t>FIGURE 1.2 / 1.3  |  Support assessment and dispatch</w:t>
            </w:r>
          </w:p>
          <w:p>
            <w:pPr>
              <w:spacing w:after="0" w:line="240" w:lineRule="auto"/>
              <w:jc w:val="center"/>
            </w:pPr>
            <w:r>
              <w:rPr>
                <w:b/>
                <w:color w:val="138A8A"/>
                <w:sz w:val="18"/>
              </w:rPr>
              <w:t>INSERT ACTUAL SCREENSHOT / EVIDENCE HERE</w:t>
              <w:br/>
            </w:r>
            <w:r>
              <w:rPr>
                <w:color w:val="5B6670"/>
                <w:sz w:val="16"/>
              </w:rPr>
              <w:t>Reuse Figure 1.2 for assessment/dispatch and Figure 1.3 for active unit and crew selection evidence.</w:t>
            </w:r>
          </w:p>
        </w:tc>
      </w:tr>
    </w:tbl>
    <w:p>
      <w:pPr>
        <w:pStyle w:val="SmallNote"/>
        <w:spacing w:after="140"/>
        <w:jc w:val="center"/>
      </w:pPr>
      <w:r>
        <w:rPr>
          <w:i/>
        </w:rPr>
        <w:t>Figure 1.2 / 1.3. Support assessment and dispatch.</w:t>
      </w:r>
    </w:p>
    <w:p>
      <w:pPr>
        <w:pStyle w:val="Heading2"/>
      </w:pPr>
      <w:r>
        <w:t>2.3: Use geolocation-based incident mapping</w:t>
      </w:r>
    </w:p>
    <w:p>
      <w:pPr>
        <w:widowControl/>
      </w:pPr>
      <w:r>
        <w:t>Geotagged reports can be displayed as incident markers in the Command Center, while the mobile report detail also provides a map-centered view of an incident location. This gives dispatchers and field personnel a geographic reference for locating a reported event. The map depends on valid coordinates and map/network availability; a map screenshot demonstrates the location display, while a timed field trial is needed to show that responders arrive faster.</w:t>
      </w:r>
    </w:p>
    <w:tbl>
      <w:tblPr>
        <w:tblW w:type="auto" w:w="0"/>
        <w:jc w:val="center"/>
        <w:tblLayout w:type="fixed"/>
        <w:tblLook w:firstColumn="1" w:firstRow="1" w:lastColumn="0" w:lastRow="0" w:noHBand="0" w:noVBand="1" w:val="04A0"/>
      </w:tblPr>
      <w:tblGrid>
        <w:gridCol w:w="9432"/>
      </w:tblGrid>
      <w:tr>
        <w:trPr>
          <w:trHeight w:val="1699" w:hRule="atLeast"/>
          <w:cantSplit/>
        </w:trPr>
        <w:tc>
          <w:tcPr>
            <w:tcW w:type="dxa" w:w="9432"/>
            <w:vAlign w:val="center"/>
            <w:shd w:fill="F4F7F9"/>
            <w:tcBorders>
              <w:top w:val="single" w:sz="10" w:color="91A6B4"/>
              <w:left w:val="single" w:sz="10" w:color="91A6B4"/>
              <w:bottom w:val="single" w:sz="10" w:color="91A6B4"/>
              <w:right w:val="single" w:sz="10" w:color="91A6B4"/>
              <w:insideH w:val="single" w:sz="10" w:color="91A6B4"/>
              <w:insideV w:val="single" w:sz="10" w:color="91A6B4"/>
            </w:tcBorders>
            <w:tcMar>
              <w:top w:w="125" w:type="dxa"/>
              <w:start w:w="170" w:type="dxa"/>
              <w:bottom w:w="125" w:type="dxa"/>
              <w:end w:w="170" w:type="dxa"/>
            </w:tcMar>
          </w:tcPr>
          <w:p>
            <w:pPr>
              <w:spacing w:after="60"/>
              <w:jc w:val="center"/>
            </w:pPr>
            <w:r>
              <w:rPr>
                <w:b/>
                <w:color w:val="245B78"/>
                <w:sz w:val="20"/>
              </w:rPr>
              <w:t>FIGURE 1.4  |  Use geolocation-based incident mapping</w:t>
            </w:r>
          </w:p>
          <w:p>
            <w:pPr>
              <w:spacing w:after="0" w:line="240" w:lineRule="auto"/>
              <w:jc w:val="center"/>
            </w:pPr>
            <w:r>
              <w:rPr>
                <w:b/>
                <w:color w:val="138A8A"/>
                <w:sz w:val="18"/>
              </w:rPr>
              <w:t>INSERT ACTUAL SCREENSHOT / EVIDENCE HERE</w:t>
              <w:br/>
            </w:r>
            <w:r>
              <w:rPr>
                <w:color w:val="5B6670"/>
                <w:sz w:val="16"/>
              </w:rPr>
              <w:t>Reuse Figure 1.4. If useful, add a second panel from the mobile report detail map with the same synthetic case and matching coordinates.</w:t>
            </w:r>
          </w:p>
        </w:tc>
      </w:tr>
    </w:tbl>
    <w:p>
      <w:pPr>
        <w:pStyle w:val="SmallNote"/>
        <w:spacing w:after="140"/>
        <w:jc w:val="center"/>
      </w:pPr>
      <w:r>
        <w:rPr>
          <w:i/>
        </w:rPr>
        <w:t>Figure 1.4. Use geolocation-based incident mapping.</w:t>
      </w:r>
    </w:p>
    <w:p>
      <w:pPr>
        <w:pStyle w:val="Heading2"/>
      </w:pPr>
      <w:r>
        <w:t>2.4: Manage the escalation pipeline</w:t>
      </w:r>
    </w:p>
    <w:p>
      <w:pPr>
        <w:widowControl/>
      </w:pPr>
      <w:r>
        <w:t>A dispatcher can record why a barangay case is being escalated, and MDRRMO personnel can see the escalated case in their queue for further review. Keeping the reason and status with the case makes the handoff traceable across the two response levels. Report queue timestamps and status history, when available, to substantiate claims about tracking; do not infer an escalation outcome from the initial submission alone.</w:t>
      </w:r>
    </w:p>
    <w:tbl>
      <w:tblPr>
        <w:tblW w:type="auto" w:w="0"/>
        <w:jc w:val="center"/>
        <w:tblLayout w:type="fixed"/>
        <w:tblLook w:firstColumn="1" w:firstRow="1" w:lastColumn="0" w:lastRow="0" w:noHBand="0" w:noVBand="1" w:val="04A0"/>
      </w:tblPr>
      <w:tblGrid>
        <w:gridCol w:w="9432"/>
      </w:tblGrid>
      <w:tr>
        <w:trPr>
          <w:trHeight w:val="1699" w:hRule="atLeast"/>
          <w:cantSplit/>
        </w:trPr>
        <w:tc>
          <w:tcPr>
            <w:tcW w:type="dxa" w:w="9432"/>
            <w:vAlign w:val="center"/>
            <w:shd w:fill="F4F7F9"/>
            <w:tcBorders>
              <w:top w:val="single" w:sz="10" w:color="91A6B4"/>
              <w:left w:val="single" w:sz="10" w:color="91A6B4"/>
              <w:bottom w:val="single" w:sz="10" w:color="91A6B4"/>
              <w:right w:val="single" w:sz="10" w:color="91A6B4"/>
              <w:insideH w:val="single" w:sz="10" w:color="91A6B4"/>
              <w:insideV w:val="single" w:sz="10" w:color="91A6B4"/>
            </w:tcBorders>
            <w:tcMar>
              <w:top w:w="125" w:type="dxa"/>
              <w:start w:w="170" w:type="dxa"/>
              <w:bottom w:w="125" w:type="dxa"/>
              <w:end w:w="170" w:type="dxa"/>
            </w:tcMar>
          </w:tcPr>
          <w:p>
            <w:pPr>
              <w:spacing w:after="60"/>
              <w:jc w:val="center"/>
            </w:pPr>
            <w:r>
              <w:rPr>
                <w:b/>
                <w:color w:val="245B78"/>
                <w:sz w:val="20"/>
              </w:rPr>
              <w:t>FIGURE 1.6  |  Manage the escalation pipeline</w:t>
            </w:r>
          </w:p>
          <w:p>
            <w:pPr>
              <w:spacing w:after="0" w:line="240" w:lineRule="auto"/>
              <w:jc w:val="center"/>
            </w:pPr>
            <w:r>
              <w:rPr>
                <w:b/>
                <w:color w:val="138A8A"/>
                <w:sz w:val="18"/>
              </w:rPr>
              <w:t>INSERT ACTUAL SCREENSHOT / EVIDENCE HERE</w:t>
              <w:br/>
            </w:r>
            <w:r>
              <w:rPr>
                <w:color w:val="5B6670"/>
                <w:sz w:val="16"/>
              </w:rPr>
              <w:t>Reuse Figure 1.6, showing the submitted escalation reason and the corresponding MDRRMO queue item/status.</w:t>
            </w:r>
          </w:p>
        </w:tc>
      </w:tr>
    </w:tbl>
    <w:p>
      <w:pPr>
        <w:pStyle w:val="SmallNote"/>
        <w:spacing w:after="140"/>
        <w:jc w:val="center"/>
      </w:pPr>
      <w:r>
        <w:rPr>
          <w:i/>
        </w:rPr>
        <w:t>Figure 1.6. Manage the escalation pipeline.</w:t>
      </w:r>
    </w:p>
    <w:p>
      <w:pPr>
        <w:pStyle w:val="Heading2"/>
      </w:pPr>
      <w:r>
        <w:t>2.5: Deliver notifications and safety advisories</w:t>
      </w:r>
    </w:p>
    <w:p>
      <w:pPr>
        <w:widowControl/>
      </w:pPr>
      <w:r>
        <w:t>The broadcast feature provides an authorized publishing path and resident-facing feed for public information. Notification evidence should show an actual delivery on a test device or an application delivery record, since a published advisory does not by itself prove that a notification was received. To support the word “verified,” include the documented reviewer/approval step and the identity or role of the approver in a privacy-safe capture.</w:t>
      </w:r>
    </w:p>
    <w:tbl>
      <w:tblPr>
        <w:tblW w:type="auto" w:w="0"/>
        <w:jc w:val="center"/>
        <w:tblLayout w:type="fixed"/>
        <w:tblLook w:firstColumn="1" w:firstRow="1" w:lastColumn="0" w:lastRow="0" w:noHBand="0" w:noVBand="1" w:val="04A0"/>
      </w:tblPr>
      <w:tblGrid>
        <w:gridCol w:w="9432"/>
      </w:tblGrid>
      <w:tr>
        <w:trPr>
          <w:trHeight w:val="1699" w:hRule="atLeast"/>
          <w:cantSplit/>
        </w:trPr>
        <w:tc>
          <w:tcPr>
            <w:tcW w:type="dxa" w:w="9432"/>
            <w:vAlign w:val="center"/>
            <w:shd w:fill="F4F7F9"/>
            <w:tcBorders>
              <w:top w:val="single" w:sz="10" w:color="91A6B4"/>
              <w:left w:val="single" w:sz="10" w:color="91A6B4"/>
              <w:bottom w:val="single" w:sz="10" w:color="91A6B4"/>
              <w:right w:val="single" w:sz="10" w:color="91A6B4"/>
              <w:insideH w:val="single" w:sz="10" w:color="91A6B4"/>
              <w:insideV w:val="single" w:sz="10" w:color="91A6B4"/>
            </w:tcBorders>
            <w:tcMar>
              <w:top w:w="125" w:type="dxa"/>
              <w:start w:w="170" w:type="dxa"/>
              <w:bottom w:w="125" w:type="dxa"/>
              <w:end w:w="170" w:type="dxa"/>
            </w:tcMar>
          </w:tcPr>
          <w:p>
            <w:pPr>
              <w:spacing w:after="60"/>
              <w:jc w:val="center"/>
            </w:pPr>
            <w:r>
              <w:rPr>
                <w:b/>
                <w:color w:val="245B78"/>
                <w:sz w:val="20"/>
              </w:rPr>
              <w:t>FIGURE 1.7  |  Deliver notifications and safety advisories</w:t>
            </w:r>
          </w:p>
          <w:p>
            <w:pPr>
              <w:spacing w:after="0" w:line="240" w:lineRule="auto"/>
              <w:jc w:val="center"/>
            </w:pPr>
            <w:r>
              <w:rPr>
                <w:b/>
                <w:color w:val="138A8A"/>
                <w:sz w:val="18"/>
              </w:rPr>
              <w:t>INSERT ACTUAL SCREENSHOT / EVIDENCE HERE</w:t>
              <w:br/>
            </w:r>
            <w:r>
              <w:rPr>
                <w:color w:val="5B6670"/>
                <w:sz w:val="16"/>
              </w:rPr>
              <w:t>Reuse Figure 1.7 for the authoring and resident views. Add a separate delivery receipt or approval record only if the running system provides one.</w:t>
            </w:r>
          </w:p>
        </w:tc>
      </w:tr>
    </w:tbl>
    <w:p>
      <w:pPr>
        <w:pStyle w:val="SmallNote"/>
        <w:spacing w:after="140"/>
        <w:jc w:val="center"/>
      </w:pPr>
      <w:r>
        <w:rPr>
          <w:i/>
        </w:rPr>
        <w:t>Figure 1.7. Deliver notifications and safety advisories.</w:t>
      </w:r>
    </w:p>
    <w:p>
      <w:pPr>
        <w:pStyle w:val="Heading1"/>
      </w:pPr>
      <w:r>
        <w:t>Objective 3 and SOP 3: Evaluate software quality</w:t>
      </w:r>
    </w:p>
    <w:p>
      <w:pPr>
        <w:spacing w:after="100"/>
      </w:pPr>
      <w:r>
        <w:rPr>
          <w:b/>
          <w:color w:val="17324F"/>
        </w:rPr>
        <w:t xml:space="preserve">SOP 3 asks: </w:t>
      </w:r>
      <w:r>
        <w:t>How do the MDRRMO Response Unit, Barangay Local Response Unit, and residents evaluate NorzAgapay’s software quality?</w:t>
      </w:r>
    </w:p>
    <w:p>
      <w:pPr>
        <w:spacing w:after="100"/>
      </w:pPr>
      <w:r>
        <w:rPr>
          <w:b/>
          <w:color w:val="17324F"/>
        </w:rPr>
        <w:t xml:space="preserve">Objective 3: </w:t>
      </w:r>
      <w:r>
        <w:t>Determine respondents’ evaluation using the five criteria selected for this study: Functional Suitability, Performance Efficiency, Reliability, Interaction Capability, and Security.</w:t>
      </w:r>
    </w:p>
    <w:p>
      <w:pPr>
        <w:widowControl/>
      </w:pPr>
      <w:r>
        <w:t>This objective requires actual evaluation evidence from the stated participant groups. The project files and screenshots can show implemented screens and workflows, but they cannot establish respondent ratings or performance results. Use the same approved questionnaire and rating scale consistently, report the number of respondents in each group, and present the actual findings only after data collection and analysis.</w:t>
      </w:r>
    </w:p>
    <w:tbl>
      <w:tblPr>
        <w:tblW w:type="auto" w:w="0"/>
        <w:jc w:val="center"/>
        <w:tblLayout w:type="fixed"/>
        <w:tblLook w:firstColumn="1" w:firstRow="1" w:lastColumn="0" w:lastRow="0" w:noHBand="0" w:noVBand="1" w:val="04A0"/>
      </w:tblPr>
      <w:tblGrid>
        <w:gridCol w:w="9432"/>
      </w:tblGrid>
      <w:tr>
        <w:tc>
          <w:tcPr>
            <w:tcW w:type="dxa" w:w="9547"/>
            <w:shd w:fill="F0F5F7"/>
            <w:tcBorders>
              <w:top w:val="single" w:sz="6" w:color="B9CAD4"/>
              <w:left w:val="single" w:sz="6" w:color="B9CAD4"/>
              <w:bottom w:val="single" w:sz="6" w:color="B9CAD4"/>
              <w:right w:val="single" w:sz="6" w:color="B9CAD4"/>
              <w:insideH w:val="single" w:sz="6" w:color="B9CAD4"/>
              <w:insideV w:val="single" w:sz="6" w:color="B9CAD4"/>
            </w:tcBorders>
            <w:tcMar>
              <w:top w:w="130" w:type="dxa"/>
              <w:start w:w="170" w:type="dxa"/>
              <w:bottom w:w="130" w:type="dxa"/>
              <w:end w:w="170" w:type="dxa"/>
            </w:tcMar>
          </w:tcPr>
          <w:p>
            <w:pPr>
              <w:spacing w:after="60"/>
            </w:pPr>
            <w:r>
              <w:rPr>
                <w:b/>
                <w:color w:val="17324F"/>
              </w:rPr>
              <w:t>Evaluation boundary</w:t>
            </w:r>
          </w:p>
          <w:p>
            <w:pPr>
              <w:spacing w:after="0" w:line="252" w:lineRule="auto"/>
            </w:pPr>
            <w:r>
              <w:t>ISO/IEC 25010:2023 is a product-quality model. This study names five criteria from that model; reporting ratings for those criteria should not be presented as ISO certification or as an evaluation of every characteristic in the full model.</w:t>
            </w:r>
          </w:p>
        </w:tc>
      </w:tr>
    </w:tbl>
    <w:p>
      <w:pPr>
        <w:spacing w:after="0"/>
      </w:pPr>
    </w:p>
    <w:tbl>
      <w:tblPr>
        <w:tblW w:type="auto" w:w="0"/>
        <w:jc w:val="center"/>
        <w:tblLayout w:type="fixed"/>
        <w:tblLook w:firstColumn="1" w:firstRow="1" w:lastColumn="0" w:lastRow="0" w:noHBand="0" w:noVBand="1" w:val="04A0"/>
      </w:tblPr>
      <w:tblGrid>
        <w:gridCol w:w="1987"/>
        <w:gridCol w:w="4104"/>
        <w:gridCol w:w="3341"/>
      </w:tblGrid>
      <w:tr>
        <w:trPr>
          <w:tblHeader w:val="true"/>
          <w:cantSplit/>
        </w:trPr>
        <w:tc>
          <w:tcPr>
            <w:tcW w:type="dxa" w:w="1987"/>
            <w:shd w:fill="17324F"/>
            <w:tcMar>
              <w:top w:w="90" w:type="dxa"/>
              <w:start w:w="100" w:type="dxa"/>
              <w:bottom w:w="90" w:type="dxa"/>
              <w:end w:w="100" w:type="dxa"/>
            </w:tcMar>
            <w:tcBorders>
              <w:top w:val="single" w:sz="6" w:color="17324F"/>
              <w:left w:val="single" w:sz="6" w:color="17324F"/>
              <w:bottom w:val="single" w:sz="6" w:color="17324F"/>
              <w:right w:val="single" w:sz="6" w:color="17324F"/>
              <w:insideH w:val="single" w:sz="6" w:color="17324F"/>
              <w:insideV w:val="single" w:sz="6" w:color="17324F"/>
            </w:tcBorders>
          </w:tcPr>
          <w:p>
            <w:pPr>
              <w:spacing w:after="0"/>
            </w:pPr>
            <w:r>
              <w:rPr>
                <w:b/>
                <w:color w:val="FFFFFF"/>
                <w:sz w:val="17"/>
              </w:rPr>
              <w:t>Criterion</w:t>
            </w:r>
          </w:p>
        </w:tc>
        <w:tc>
          <w:tcPr>
            <w:tcW w:type="dxa" w:w="4104"/>
            <w:shd w:fill="17324F"/>
            <w:tcMar>
              <w:top w:w="90" w:type="dxa"/>
              <w:start w:w="100" w:type="dxa"/>
              <w:bottom w:w="90" w:type="dxa"/>
              <w:end w:w="100" w:type="dxa"/>
            </w:tcMar>
            <w:tcBorders>
              <w:top w:val="single" w:sz="6" w:color="17324F"/>
              <w:left w:val="single" w:sz="6" w:color="17324F"/>
              <w:bottom w:val="single" w:sz="6" w:color="17324F"/>
              <w:right w:val="single" w:sz="6" w:color="17324F"/>
              <w:insideH w:val="single" w:sz="6" w:color="17324F"/>
              <w:insideV w:val="single" w:sz="6" w:color="17324F"/>
            </w:tcBorders>
          </w:tcPr>
          <w:p>
            <w:pPr>
              <w:spacing w:after="0"/>
            </w:pPr>
            <w:r>
              <w:rPr>
                <w:b/>
                <w:color w:val="FFFFFF"/>
                <w:sz w:val="17"/>
              </w:rPr>
              <w:t>What the evaluation should establish</w:t>
            </w:r>
          </w:p>
        </w:tc>
        <w:tc>
          <w:tcPr>
            <w:tcW w:type="dxa" w:w="3341"/>
            <w:shd w:fill="17324F"/>
            <w:tcMar>
              <w:top w:w="90" w:type="dxa"/>
              <w:start w:w="100" w:type="dxa"/>
              <w:bottom w:w="90" w:type="dxa"/>
              <w:end w:w="100" w:type="dxa"/>
            </w:tcMar>
            <w:tcBorders>
              <w:top w:val="single" w:sz="6" w:color="17324F"/>
              <w:left w:val="single" w:sz="6" w:color="17324F"/>
              <w:bottom w:val="single" w:sz="6" w:color="17324F"/>
              <w:right w:val="single" w:sz="6" w:color="17324F"/>
              <w:insideH w:val="single" w:sz="6" w:color="17324F"/>
              <w:insideV w:val="single" w:sz="6" w:color="17324F"/>
            </w:tcBorders>
          </w:tcPr>
          <w:p>
            <w:pPr>
              <w:spacing w:after="0"/>
            </w:pPr>
            <w:r>
              <w:rPr>
                <w:b/>
                <w:color w:val="FFFFFF"/>
                <w:sz w:val="17"/>
              </w:rPr>
              <w:t>Evidence to capture</w:t>
            </w:r>
          </w:p>
        </w:tc>
      </w:tr>
      <w:tr>
        <w:trPr>
          <w:cantSplit/>
        </w:trPr>
        <w:tc>
          <w:tcPr>
            <w:tcW w:type="dxa" w:w="1987"/>
            <w:shd w:fill="F4F7F9"/>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b/>
                <w:color w:val="245B78"/>
                <w:sz w:val="16"/>
              </w:rPr>
              <w:t>3.1 Functional Suitability</w:t>
            </w:r>
          </w:p>
        </w:tc>
        <w:tc>
          <w:tcPr>
            <w:tcW w:type="dxa" w:w="4104"/>
            <w:shd w:fill="F4F7F9"/>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sz w:val="16"/>
              </w:rPr>
              <w:t>Evaluate whether the required functions are present and produce appropriate, correct results for the study tasks. Pair completed reporting, dispatch, mapping, escalation, and advisory workflows with respondents’ questionnaire results.</w:t>
            </w:r>
          </w:p>
        </w:tc>
        <w:tc>
          <w:tcPr>
            <w:tcW w:type="dxa" w:w="3341"/>
            <w:shd w:fill="F4F7F9"/>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sz w:val="16"/>
              </w:rPr>
              <w:t>Reuse Figures 1.1–1.7; include the completed questionnaire and the actual criterion score table.</w:t>
            </w:r>
          </w:p>
        </w:tc>
      </w:tr>
      <w:tr>
        <w:trPr>
          <w:cantSplit/>
        </w:trPr>
        <w:tc>
          <w:tcPr>
            <w:tcW w:type="dxa" w:w="1987"/>
            <w:shd w:fill="FFFFFF"/>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b/>
                <w:color w:val="245B78"/>
                <w:sz w:val="16"/>
              </w:rPr>
              <w:t>3.2 Performance Efficiency</w:t>
            </w:r>
          </w:p>
        </w:tc>
        <w:tc>
          <w:tcPr>
            <w:tcW w:type="dxa" w:w="4104"/>
            <w:shd w:fill="FFFFFF"/>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sz w:val="16"/>
              </w:rPr>
              <w:t>Measure behavior under stated device, network, data-volume, and test conditions. Record the measurement method, number of runs, and actual response-time/resource/capacity observations; a fast-looking screen is not a performance result.</w:t>
            </w:r>
          </w:p>
        </w:tc>
        <w:tc>
          <w:tcPr>
            <w:tcW w:type="dxa" w:w="3341"/>
            <w:shd w:fill="FFFFFF"/>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sz w:val="16"/>
              </w:rPr>
              <w:t>Include a real test-run report or measurement log with environment and results; do not insert estimated values.</w:t>
            </w:r>
          </w:p>
        </w:tc>
      </w:tr>
      <w:tr>
        <w:trPr>
          <w:cantSplit/>
        </w:trPr>
        <w:tc>
          <w:tcPr>
            <w:tcW w:type="dxa" w:w="1987"/>
            <w:shd w:fill="F4F7F9"/>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b/>
                <w:color w:val="245B78"/>
                <w:sz w:val="16"/>
              </w:rPr>
              <w:t>3.3 Reliability</w:t>
            </w:r>
          </w:p>
        </w:tc>
        <w:tc>
          <w:tcPr>
            <w:tcW w:type="dxa" w:w="4104"/>
            <w:shd w:fill="F4F7F9"/>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sz w:val="16"/>
              </w:rPr>
              <w:t>Report observed availability, failures, successful recovery, and repeatability from defined test scenarios. Include the tested feature, duration or number of runs, outcome, and any limitation.</w:t>
            </w:r>
          </w:p>
        </w:tc>
        <w:tc>
          <w:tcPr>
            <w:tcW w:type="dxa" w:w="3341"/>
            <w:shd w:fill="F4F7F9"/>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sz w:val="16"/>
              </w:rPr>
              <w:t>Include actual execution logs or a completed test summary, including any failed runs and recovery checks.</w:t>
            </w:r>
          </w:p>
        </w:tc>
      </w:tr>
      <w:tr>
        <w:trPr>
          <w:cantSplit/>
        </w:trPr>
        <w:tc>
          <w:tcPr>
            <w:tcW w:type="dxa" w:w="1987"/>
            <w:shd w:fill="FFFFFF"/>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b/>
                <w:color w:val="245B78"/>
                <w:sz w:val="16"/>
              </w:rPr>
              <w:t>3.4 Interaction Capability</w:t>
            </w:r>
          </w:p>
        </w:tc>
        <w:tc>
          <w:tcPr>
            <w:tcW w:type="dxa" w:w="4104"/>
            <w:shd w:fill="FFFFFF"/>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sz w:val="16"/>
              </w:rPr>
              <w:t>Use representative tasks and respondent feedback to assess whether residents and personnel can understand, learn, and operate their role-specific screens and interpret system feedback.</w:t>
            </w:r>
          </w:p>
        </w:tc>
        <w:tc>
          <w:tcPr>
            <w:tcW w:type="dxa" w:w="3341"/>
            <w:shd w:fill="FFFFFF"/>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sz w:val="16"/>
              </w:rPr>
              <w:t>Capture a participant completing a representative task (with consent and identifiers masked) and provide the actual questionnaire results.</w:t>
            </w:r>
          </w:p>
        </w:tc>
      </w:tr>
      <w:tr>
        <w:trPr>
          <w:cantSplit/>
        </w:trPr>
        <w:tc>
          <w:tcPr>
            <w:tcW w:type="dxa" w:w="1987"/>
            <w:shd w:fill="F4F7F9"/>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b/>
                <w:color w:val="245B78"/>
                <w:sz w:val="16"/>
              </w:rPr>
              <w:t>3.5 Security</w:t>
            </w:r>
          </w:p>
        </w:tc>
        <w:tc>
          <w:tcPr>
            <w:tcW w:type="dxa" w:w="4104"/>
            <w:shd w:fill="F4F7F9"/>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sz w:val="16"/>
              </w:rPr>
              <w:t>Assess whether only the intended roles can access protected actions and records, and report the security checks performed. A sign-in screenshot alone does not demonstrate authorization enforcement.</w:t>
            </w:r>
          </w:p>
        </w:tc>
        <w:tc>
          <w:tcPr>
            <w:tcW w:type="dxa" w:w="3341"/>
            <w:shd w:fill="F4F7F9"/>
            <w:tcMar>
              <w:top w:w="85" w:type="dxa"/>
              <w:start w:w="95" w:type="dxa"/>
              <w:bottom w:w="85" w:type="dxa"/>
              <w:end w:w="95" w:type="dxa"/>
            </w:tcMar>
            <w:tcBorders>
              <w:top w:val="single" w:sz="5" w:color="C4D0D8"/>
              <w:left w:val="single" w:sz="5" w:color="C4D0D8"/>
              <w:bottom w:val="single" w:sz="5" w:color="C4D0D8"/>
              <w:right w:val="single" w:sz="5" w:color="C4D0D8"/>
              <w:insideH w:val="single" w:sz="5" w:color="C4D0D8"/>
              <w:insideV w:val="single" w:sz="5" w:color="C4D0D8"/>
            </w:tcBorders>
          </w:tcPr>
          <w:p>
            <w:pPr>
              <w:spacing w:after="0" w:line="240" w:lineRule="auto"/>
            </w:pPr>
            <w:r>
              <w:rPr>
                <w:sz w:val="16"/>
              </w:rPr>
              <w:t>Show a role-appropriate allowed action and a real denied-access result, accompanied by the completed security test record. Never show passwords, tokens, or private records.</w:t>
            </w:r>
          </w:p>
        </w:tc>
      </w:tr>
    </w:tbl>
    <w:p/>
    <w:p>
      <w:pPr>
        <w:pStyle w:val="Heading2"/>
      </w:pPr>
      <w:r>
        <w:t>Objective 3: Results table to complete after evaluation</w:t>
      </w:r>
    </w:p>
    <w:p>
      <w:pPr>
        <w:widowControl/>
      </w:pPr>
      <w:r>
        <w:t>Enter the approved scale, group counts, and calculated result for each criterion. Keep separate results for MDRRMO personnel, Barangay Local Response Unit personnel, and residents when the study design calls for group comparisons. Add the interpretation rules used in the approved methodology. The cells below are intentionally blank.</w:t>
      </w:r>
    </w:p>
    <w:tbl>
      <w:tblPr>
        <w:tblW w:type="auto" w:w="0"/>
        <w:jc w:val="center"/>
        <w:tblLayout w:type="fixed"/>
        <w:tblLook w:firstColumn="1" w:firstRow="1" w:lastColumn="0" w:lastRow="0" w:noHBand="0" w:noVBand="1" w:val="04A0"/>
      </w:tblPr>
      <w:tblGrid>
        <w:gridCol w:w="2016"/>
        <w:gridCol w:w="1555"/>
        <w:gridCol w:w="1526"/>
        <w:gridCol w:w="1627"/>
        <w:gridCol w:w="2678"/>
      </w:tblGrid>
      <w:tr>
        <w:trPr>
          <w:tblHeader w:val="true"/>
        </w:trPr>
        <w:tc>
          <w:tcPr>
            <w:tcW w:type="dxa" w:w="2016"/>
            <w:shd w:fill="17324F"/>
            <w:tcBorders>
              <w:top w:val="single" w:sz="6" w:color="17324F"/>
              <w:left w:val="single" w:sz="6" w:color="17324F"/>
              <w:bottom w:val="single" w:sz="6" w:color="17324F"/>
              <w:right w:val="single" w:sz="6" w:color="17324F"/>
              <w:insideH w:val="single" w:sz="6" w:color="17324F"/>
              <w:insideV w:val="single" w:sz="6" w:color="17324F"/>
            </w:tcBorders>
            <w:tcMar>
              <w:top w:w="75" w:type="dxa"/>
              <w:start w:w="75" w:type="dxa"/>
              <w:bottom w:w="75" w:type="dxa"/>
              <w:end w:w="75" w:type="dxa"/>
            </w:tcMar>
          </w:tcPr>
          <w:p>
            <w:pPr>
              <w:spacing w:after="0"/>
            </w:pPr>
            <w:r>
              <w:rPr>
                <w:b/>
                <w:color w:val="FFFFFF"/>
                <w:sz w:val="15"/>
              </w:rPr>
              <w:t>Criterion</w:t>
            </w:r>
          </w:p>
        </w:tc>
        <w:tc>
          <w:tcPr>
            <w:tcW w:type="dxa" w:w="1555"/>
            <w:shd w:fill="17324F"/>
            <w:tcBorders>
              <w:top w:val="single" w:sz="6" w:color="17324F"/>
              <w:left w:val="single" w:sz="6" w:color="17324F"/>
              <w:bottom w:val="single" w:sz="6" w:color="17324F"/>
              <w:right w:val="single" w:sz="6" w:color="17324F"/>
              <w:insideH w:val="single" w:sz="6" w:color="17324F"/>
              <w:insideV w:val="single" w:sz="6" w:color="17324F"/>
            </w:tcBorders>
            <w:tcMar>
              <w:top w:w="75" w:type="dxa"/>
              <w:start w:w="75" w:type="dxa"/>
              <w:bottom w:w="75" w:type="dxa"/>
              <w:end w:w="75" w:type="dxa"/>
            </w:tcMar>
          </w:tcPr>
          <w:p>
            <w:pPr>
              <w:spacing w:after="0"/>
            </w:pPr>
            <w:r>
              <w:rPr>
                <w:b/>
                <w:color w:val="FFFFFF"/>
                <w:sz w:val="15"/>
              </w:rPr>
              <w:t>MDRRMO result</w:t>
            </w:r>
          </w:p>
        </w:tc>
        <w:tc>
          <w:tcPr>
            <w:tcW w:type="dxa" w:w="1526"/>
            <w:shd w:fill="17324F"/>
            <w:tcBorders>
              <w:top w:val="single" w:sz="6" w:color="17324F"/>
              <w:left w:val="single" w:sz="6" w:color="17324F"/>
              <w:bottom w:val="single" w:sz="6" w:color="17324F"/>
              <w:right w:val="single" w:sz="6" w:color="17324F"/>
              <w:insideH w:val="single" w:sz="6" w:color="17324F"/>
              <w:insideV w:val="single" w:sz="6" w:color="17324F"/>
            </w:tcBorders>
            <w:tcMar>
              <w:top w:w="75" w:type="dxa"/>
              <w:start w:w="75" w:type="dxa"/>
              <w:bottom w:w="75" w:type="dxa"/>
              <w:end w:w="75" w:type="dxa"/>
            </w:tcMar>
          </w:tcPr>
          <w:p>
            <w:pPr>
              <w:spacing w:after="0"/>
            </w:pPr>
            <w:r>
              <w:rPr>
                <w:b/>
                <w:color w:val="FFFFFF"/>
                <w:sz w:val="15"/>
              </w:rPr>
              <w:t>Barangay result</w:t>
            </w:r>
          </w:p>
        </w:tc>
        <w:tc>
          <w:tcPr>
            <w:tcW w:type="dxa" w:w="1627"/>
            <w:shd w:fill="17324F"/>
            <w:tcBorders>
              <w:top w:val="single" w:sz="6" w:color="17324F"/>
              <w:left w:val="single" w:sz="6" w:color="17324F"/>
              <w:bottom w:val="single" w:sz="6" w:color="17324F"/>
              <w:right w:val="single" w:sz="6" w:color="17324F"/>
              <w:insideH w:val="single" w:sz="6" w:color="17324F"/>
              <w:insideV w:val="single" w:sz="6" w:color="17324F"/>
            </w:tcBorders>
            <w:tcMar>
              <w:top w:w="75" w:type="dxa"/>
              <w:start w:w="75" w:type="dxa"/>
              <w:bottom w:w="75" w:type="dxa"/>
              <w:end w:w="75" w:type="dxa"/>
            </w:tcMar>
          </w:tcPr>
          <w:p>
            <w:pPr>
              <w:spacing w:after="0"/>
            </w:pPr>
            <w:r>
              <w:rPr>
                <w:b/>
                <w:color w:val="FFFFFF"/>
                <w:sz w:val="15"/>
              </w:rPr>
              <w:t>Resident result</w:t>
            </w:r>
          </w:p>
        </w:tc>
        <w:tc>
          <w:tcPr>
            <w:tcW w:type="dxa" w:w="2678"/>
            <w:shd w:fill="17324F"/>
            <w:tcBorders>
              <w:top w:val="single" w:sz="6" w:color="17324F"/>
              <w:left w:val="single" w:sz="6" w:color="17324F"/>
              <w:bottom w:val="single" w:sz="6" w:color="17324F"/>
              <w:right w:val="single" w:sz="6" w:color="17324F"/>
              <w:insideH w:val="single" w:sz="6" w:color="17324F"/>
              <w:insideV w:val="single" w:sz="6" w:color="17324F"/>
            </w:tcBorders>
            <w:tcMar>
              <w:top w:w="75" w:type="dxa"/>
              <w:start w:w="75" w:type="dxa"/>
              <w:bottom w:w="75" w:type="dxa"/>
              <w:end w:w="75" w:type="dxa"/>
            </w:tcMar>
          </w:tcPr>
          <w:p>
            <w:pPr>
              <w:spacing w:after="0"/>
            </w:pPr>
            <w:r>
              <w:rPr>
                <w:b/>
                <w:color w:val="FFFFFF"/>
                <w:sz w:val="15"/>
              </w:rPr>
              <w:t>Interpretation / notes</w:t>
            </w:r>
          </w:p>
        </w:tc>
      </w:tr>
      <w:tr>
        <w:trPr>
          <w:cantSplit/>
        </w:trPr>
        <w:tc>
          <w:tcPr>
            <w:tcW w:type="dxa" w:w="2016"/>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b/>
                <w:color w:val="245B78"/>
                <w:sz w:val="15"/>
              </w:rPr>
              <w:t>Functional Suitability</w:t>
            </w:r>
          </w:p>
        </w:tc>
        <w:tc>
          <w:tcPr>
            <w:tcW w:type="dxa" w:w="1555"/>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1526"/>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1627"/>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2678"/>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r>
      <w:tr>
        <w:trPr>
          <w:cantSplit/>
        </w:trPr>
        <w:tc>
          <w:tcPr>
            <w:tcW w:type="dxa" w:w="2016"/>
            <w:shd w:fill="FFFFFF"/>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b/>
                <w:color w:val="245B78"/>
                <w:sz w:val="15"/>
              </w:rPr>
              <w:t>Performance Efficiency</w:t>
            </w:r>
          </w:p>
        </w:tc>
        <w:tc>
          <w:tcPr>
            <w:tcW w:type="dxa" w:w="1555"/>
            <w:shd w:fill="FFFFFF"/>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1526"/>
            <w:shd w:fill="FFFFFF"/>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1627"/>
            <w:shd w:fill="FFFFFF"/>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2678"/>
            <w:shd w:fill="FFFFFF"/>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r>
      <w:tr>
        <w:trPr>
          <w:cantSplit/>
        </w:trPr>
        <w:tc>
          <w:tcPr>
            <w:tcW w:type="dxa" w:w="2016"/>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b/>
                <w:color w:val="245B78"/>
                <w:sz w:val="15"/>
              </w:rPr>
              <w:t>Reliability</w:t>
            </w:r>
          </w:p>
        </w:tc>
        <w:tc>
          <w:tcPr>
            <w:tcW w:type="dxa" w:w="1555"/>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1526"/>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1627"/>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2678"/>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r>
      <w:tr>
        <w:trPr>
          <w:cantSplit/>
        </w:trPr>
        <w:tc>
          <w:tcPr>
            <w:tcW w:type="dxa" w:w="2016"/>
            <w:shd w:fill="FFFFFF"/>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b/>
                <w:color w:val="245B78"/>
                <w:sz w:val="15"/>
              </w:rPr>
              <w:t>Interaction Capability</w:t>
            </w:r>
          </w:p>
        </w:tc>
        <w:tc>
          <w:tcPr>
            <w:tcW w:type="dxa" w:w="1555"/>
            <w:shd w:fill="FFFFFF"/>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1526"/>
            <w:shd w:fill="FFFFFF"/>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1627"/>
            <w:shd w:fill="FFFFFF"/>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2678"/>
            <w:shd w:fill="FFFFFF"/>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r>
      <w:tr>
        <w:trPr>
          <w:cantSplit/>
        </w:trPr>
        <w:tc>
          <w:tcPr>
            <w:tcW w:type="dxa" w:w="2016"/>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b/>
                <w:color w:val="245B78"/>
                <w:sz w:val="15"/>
              </w:rPr>
              <w:t>Security</w:t>
            </w:r>
          </w:p>
        </w:tc>
        <w:tc>
          <w:tcPr>
            <w:tcW w:type="dxa" w:w="1555"/>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1526"/>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1627"/>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c>
          <w:tcPr>
            <w:tcW w:type="dxa" w:w="2678"/>
            <w:shd w:fill="F4F7F9"/>
            <w:tcBorders>
              <w:top w:val="single" w:sz="5" w:color="C4D0D8"/>
              <w:left w:val="single" w:sz="5" w:color="C4D0D8"/>
              <w:bottom w:val="single" w:sz="5" w:color="C4D0D8"/>
              <w:right w:val="single" w:sz="5" w:color="C4D0D8"/>
              <w:insideH w:val="single" w:sz="5" w:color="C4D0D8"/>
              <w:insideV w:val="single" w:sz="5" w:color="C4D0D8"/>
            </w:tcBorders>
            <w:tcMar>
              <w:top w:w="95" w:type="dxa"/>
              <w:start w:w="75" w:type="dxa"/>
              <w:bottom w:w="95" w:type="dxa"/>
              <w:end w:w="75" w:type="dxa"/>
            </w:tcMar>
          </w:tcPr>
          <w:p>
            <w:pPr>
              <w:spacing w:after="0"/>
            </w:pPr>
            <w:r>
              <w:rPr>
                <w:sz w:val="14"/>
              </w:rPr>
              <w:t>________________</w:t>
            </w:r>
          </w:p>
        </w:tc>
      </w:tr>
    </w:tbl>
    <w:p>
      <w:pPr>
        <w:pStyle w:val="Heading2"/>
      </w:pPr>
      <w:r>
        <w:t>Objective 3: Evidence placeholders</w:t>
      </w:r>
    </w:p>
    <w:p>
      <w:pPr>
        <w:widowControl/>
      </w:pPr>
      <w:r>
        <w:t>Insert completed, authentic evaluation materials here after data collection. For test evidence, include a short caption stating the test date, build/version, test environment, method, and outcome. Keep raw personal information out of the report.</w:t>
      </w:r>
    </w:p>
    <w:tbl>
      <w:tblPr>
        <w:tblW w:type="auto" w:w="0"/>
        <w:jc w:val="center"/>
        <w:tblLayout w:type="fixed"/>
        <w:tblLook w:firstColumn="1" w:firstRow="1" w:lastColumn="0" w:lastRow="0" w:noHBand="0" w:noVBand="1" w:val="04A0"/>
      </w:tblPr>
      <w:tblGrid>
        <w:gridCol w:w="9432"/>
      </w:tblGrid>
      <w:tr>
        <w:trPr>
          <w:trHeight w:val="1555" w:hRule="atLeast"/>
          <w:cantSplit/>
        </w:trPr>
        <w:tc>
          <w:tcPr>
            <w:tcW w:type="dxa" w:w="9432"/>
            <w:vAlign w:val="center"/>
            <w:shd w:fill="F4F7F9"/>
            <w:tcBorders>
              <w:top w:val="single" w:sz="10" w:color="91A6B4"/>
              <w:left w:val="single" w:sz="10" w:color="91A6B4"/>
              <w:bottom w:val="single" w:sz="10" w:color="91A6B4"/>
              <w:right w:val="single" w:sz="10" w:color="91A6B4"/>
              <w:insideH w:val="single" w:sz="10" w:color="91A6B4"/>
              <w:insideV w:val="single" w:sz="10" w:color="91A6B4"/>
            </w:tcBorders>
            <w:tcMar>
              <w:top w:w="125" w:type="dxa"/>
              <w:start w:w="170" w:type="dxa"/>
              <w:bottom w:w="125" w:type="dxa"/>
              <w:end w:w="170" w:type="dxa"/>
            </w:tcMar>
          </w:tcPr>
          <w:p>
            <w:pPr>
              <w:spacing w:after="60"/>
              <w:jc w:val="center"/>
            </w:pPr>
            <w:r>
              <w:rPr>
                <w:b/>
                <w:color w:val="245B78"/>
                <w:sz w:val="20"/>
              </w:rPr>
              <w:t>EVIDENCE 3.A  |  Performance test record</w:t>
            </w:r>
          </w:p>
          <w:p>
            <w:pPr>
              <w:spacing w:after="0" w:line="240" w:lineRule="auto"/>
              <w:jc w:val="center"/>
            </w:pPr>
            <w:r>
              <w:rPr>
                <w:b/>
                <w:color w:val="138A8A"/>
                <w:sz w:val="18"/>
              </w:rPr>
              <w:t>INSERT ACTUAL SCREENSHOT / EVIDENCE HERE</w:t>
              <w:br/>
            </w:r>
            <w:r>
              <w:rPr>
                <w:color w:val="5B6670"/>
                <w:sz w:val="16"/>
              </w:rPr>
              <w:t>Actual timing/resource/capacity test output with conditions, number of runs, and measured results.</w:t>
            </w:r>
          </w:p>
        </w:tc>
      </w:tr>
    </w:tbl>
    <w:p>
      <w:pPr>
        <w:pStyle w:val="SmallNote"/>
        <w:spacing w:after="140"/>
        <w:jc w:val="center"/>
      </w:pPr>
      <w:r>
        <w:rPr>
          <w:i/>
        </w:rPr>
        <w:t>Evidence 3.A. Performance test record.</w:t>
      </w:r>
    </w:p>
    <w:tbl>
      <w:tblPr>
        <w:tblW w:type="auto" w:w="0"/>
        <w:jc w:val="center"/>
        <w:tblLayout w:type="fixed"/>
        <w:tblLook w:firstColumn="1" w:firstRow="1" w:lastColumn="0" w:lastRow="0" w:noHBand="0" w:noVBand="1" w:val="04A0"/>
      </w:tblPr>
      <w:tblGrid>
        <w:gridCol w:w="9432"/>
      </w:tblGrid>
      <w:tr>
        <w:trPr>
          <w:trHeight w:val="1555" w:hRule="atLeast"/>
          <w:cantSplit/>
        </w:trPr>
        <w:tc>
          <w:tcPr>
            <w:tcW w:type="dxa" w:w="9432"/>
            <w:vAlign w:val="center"/>
            <w:shd w:fill="F4F7F9"/>
            <w:tcBorders>
              <w:top w:val="single" w:sz="10" w:color="91A6B4"/>
              <w:left w:val="single" w:sz="10" w:color="91A6B4"/>
              <w:bottom w:val="single" w:sz="10" w:color="91A6B4"/>
              <w:right w:val="single" w:sz="10" w:color="91A6B4"/>
              <w:insideH w:val="single" w:sz="10" w:color="91A6B4"/>
              <w:insideV w:val="single" w:sz="10" w:color="91A6B4"/>
            </w:tcBorders>
            <w:tcMar>
              <w:top w:w="125" w:type="dxa"/>
              <w:start w:w="170" w:type="dxa"/>
              <w:bottom w:w="125" w:type="dxa"/>
              <w:end w:w="170" w:type="dxa"/>
            </w:tcMar>
          </w:tcPr>
          <w:p>
            <w:pPr>
              <w:spacing w:after="60"/>
              <w:jc w:val="center"/>
            </w:pPr>
            <w:r>
              <w:rPr>
                <w:b/>
                <w:color w:val="245B78"/>
                <w:sz w:val="20"/>
              </w:rPr>
              <w:t>EVIDENCE 3.B  |  Reliability test record</w:t>
            </w:r>
          </w:p>
          <w:p>
            <w:pPr>
              <w:spacing w:after="0" w:line="240" w:lineRule="auto"/>
              <w:jc w:val="center"/>
            </w:pPr>
            <w:r>
              <w:rPr>
                <w:b/>
                <w:color w:val="138A8A"/>
                <w:sz w:val="18"/>
              </w:rPr>
              <w:t>INSERT ACTUAL SCREENSHOT / EVIDENCE HERE</w:t>
              <w:br/>
            </w:r>
            <w:r>
              <w:rPr>
                <w:color w:val="5B6670"/>
                <w:sz w:val="16"/>
              </w:rPr>
              <w:t>Actual repeatability, failure, availability, and recovery results for defined scenarios.</w:t>
            </w:r>
          </w:p>
        </w:tc>
      </w:tr>
    </w:tbl>
    <w:p>
      <w:pPr>
        <w:pStyle w:val="SmallNote"/>
        <w:spacing w:after="140"/>
        <w:jc w:val="center"/>
      </w:pPr>
      <w:r>
        <w:rPr>
          <w:i/>
        </w:rPr>
        <w:t>Evidence 3.B. Reliability test record.</w:t>
      </w:r>
    </w:p>
    <w:p>
      <w:r/>
    </w:p>
    <w:p>
      <w:pPr>
        <w:pStyle w:val="Heading1"/>
      </w:pPr>
      <w:r>
        <w:t>Screenshot capture checklist</w:t>
      </w:r>
    </w:p>
    <w:p>
      <w:pPr>
        <w:widowControl/>
      </w:pPr>
      <w:r>
        <w:t>Capture the real running application after inserting representative demonstration data. Prefer a full screen or a clear crop that includes the page title, relevant content, and meaningful status. If one figure calls for two panels, label them (A) and (B) and identify the same case in both panels.</w:t>
      </w:r>
    </w:p>
    <w:tbl>
      <w:tblPr>
        <w:tblW w:type="auto" w:w="0"/>
        <w:jc w:val="center"/>
        <w:tblLayout w:type="fixed"/>
        <w:tblLook w:firstColumn="1" w:firstRow="1" w:lastColumn="0" w:lastRow="0" w:noHBand="0" w:noVBand="1" w:val="04A0"/>
      </w:tblPr>
      <w:tblGrid>
        <w:gridCol w:w="792"/>
        <w:gridCol w:w="3053"/>
        <w:gridCol w:w="5688"/>
      </w:tblGrid>
      <w:tr>
        <w:trPr>
          <w:tblHeader w:val="true"/>
        </w:trPr>
        <w:tc>
          <w:tcPr>
            <w:tcW w:type="dxa" w:w="792"/>
            <w:shd w:fill="17324F"/>
            <w:tcBorders>
              <w:top w:val="single" w:sz="6" w:color="17324F"/>
              <w:left w:val="single" w:sz="6" w:color="17324F"/>
              <w:bottom w:val="single" w:sz="6" w:color="17324F"/>
              <w:right w:val="single" w:sz="6" w:color="17324F"/>
              <w:insideH w:val="single" w:sz="6" w:color="17324F"/>
              <w:insideV w:val="single" w:sz="6" w:color="17324F"/>
            </w:tcBorders>
            <w:tcMar>
              <w:top w:w="80" w:type="dxa"/>
              <w:start w:w="90" w:type="dxa"/>
              <w:bottom w:w="80" w:type="dxa"/>
              <w:end w:w="90" w:type="dxa"/>
            </w:tcMar>
          </w:tcPr>
          <w:p>
            <w:pPr>
              <w:spacing w:after="0"/>
            </w:pPr>
            <w:r>
              <w:rPr>
                <w:b/>
                <w:color w:val="FFFFFF"/>
                <w:sz w:val="17"/>
              </w:rPr>
              <w:t>ID</w:t>
            </w:r>
          </w:p>
        </w:tc>
        <w:tc>
          <w:tcPr>
            <w:tcW w:type="dxa" w:w="3053"/>
            <w:shd w:fill="17324F"/>
            <w:tcBorders>
              <w:top w:val="single" w:sz="6" w:color="17324F"/>
              <w:left w:val="single" w:sz="6" w:color="17324F"/>
              <w:bottom w:val="single" w:sz="6" w:color="17324F"/>
              <w:right w:val="single" w:sz="6" w:color="17324F"/>
              <w:insideH w:val="single" w:sz="6" w:color="17324F"/>
              <w:insideV w:val="single" w:sz="6" w:color="17324F"/>
            </w:tcBorders>
            <w:tcMar>
              <w:top w:w="80" w:type="dxa"/>
              <w:start w:w="90" w:type="dxa"/>
              <w:bottom w:w="80" w:type="dxa"/>
              <w:end w:w="90" w:type="dxa"/>
            </w:tcMar>
          </w:tcPr>
          <w:p>
            <w:pPr>
              <w:spacing w:after="0"/>
            </w:pPr>
            <w:r>
              <w:rPr>
                <w:b/>
                <w:color w:val="FFFFFF"/>
                <w:sz w:val="17"/>
              </w:rPr>
              <w:t>Screen / evidence</w:t>
            </w:r>
          </w:p>
        </w:tc>
        <w:tc>
          <w:tcPr>
            <w:tcW w:type="dxa" w:w="5688"/>
            <w:shd w:fill="17324F"/>
            <w:tcBorders>
              <w:top w:val="single" w:sz="6" w:color="17324F"/>
              <w:left w:val="single" w:sz="6" w:color="17324F"/>
              <w:bottom w:val="single" w:sz="6" w:color="17324F"/>
              <w:right w:val="single" w:sz="6" w:color="17324F"/>
              <w:insideH w:val="single" w:sz="6" w:color="17324F"/>
              <w:insideV w:val="single" w:sz="6" w:color="17324F"/>
            </w:tcBorders>
            <w:tcMar>
              <w:top w:w="80" w:type="dxa"/>
              <w:start w:w="90" w:type="dxa"/>
              <w:bottom w:w="80" w:type="dxa"/>
              <w:end w:w="90" w:type="dxa"/>
            </w:tcMar>
          </w:tcPr>
          <w:p>
            <w:pPr>
              <w:spacing w:after="0"/>
            </w:pPr>
            <w:r>
              <w:rPr>
                <w:b/>
                <w:color w:val="FFFFFF"/>
                <w:sz w:val="17"/>
              </w:rPr>
              <w:t>What must be visible</w:t>
            </w:r>
          </w:p>
        </w:tc>
      </w:tr>
      <w:tr>
        <w:trPr>
          <w:cantSplit/>
        </w:trPr>
        <w:tc>
          <w:tcPr>
            <w:tcW w:type="dxa" w:w="792"/>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jc w:val="center"/>
            </w:pPr>
            <w:r>
              <w:rPr>
                <w:sz w:val="15"/>
              </w:rPr>
              <w:t>[ ] 1.1</w:t>
            </w:r>
          </w:p>
        </w:tc>
        <w:tc>
          <w:tcPr>
            <w:tcW w:type="dxa" w:w="3053"/>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b/>
                <w:sz w:val="15"/>
              </w:rPr>
              <w:t>Resident app — Report Incident form</w:t>
            </w:r>
          </w:p>
        </w:tc>
        <w:tc>
          <w:tcPr>
            <w:tcW w:type="dxa" w:w="5688"/>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sz w:val="15"/>
              </w:rPr>
              <w:t>Incident type/category, description, current pin/coordinates, and evidence control. Show a successful permission/location state.</w:t>
            </w:r>
          </w:p>
        </w:tc>
      </w:tr>
      <w:tr>
        <w:trPr>
          <w:cantSplit/>
        </w:trPr>
        <w:tc>
          <w:tcPr>
            <w:tcW w:type="dxa" w:w="792"/>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jc w:val="center"/>
            </w:pPr>
            <w:r>
              <w:rPr>
                <w:sz w:val="15"/>
              </w:rPr>
              <w:t>[ ] 1.2</w:t>
            </w:r>
          </w:p>
        </w:tc>
        <w:tc>
          <w:tcPr>
            <w:tcW w:type="dxa" w:w="3053"/>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b/>
                <w:sz w:val="15"/>
              </w:rPr>
              <w:t>Mobile app — Barangay report detail</w:t>
            </w:r>
          </w:p>
        </w:tc>
        <w:tc>
          <w:tcPr>
            <w:tcW w:type="dxa" w:w="5688"/>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sz w:val="15"/>
              </w:rPr>
              <w:t>Submitted case, assessment/classification and severity, and the available dispatch/escalation actions or saved assignment.</w:t>
            </w:r>
          </w:p>
        </w:tc>
      </w:tr>
      <w:tr>
        <w:trPr>
          <w:cantSplit/>
        </w:trPr>
        <w:tc>
          <w:tcPr>
            <w:tcW w:type="dxa" w:w="792"/>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jc w:val="center"/>
            </w:pPr>
            <w:r>
              <w:rPr>
                <w:sz w:val="15"/>
              </w:rPr>
              <w:t>[ ] 1.3</w:t>
            </w:r>
          </w:p>
        </w:tc>
        <w:tc>
          <w:tcPr>
            <w:tcW w:type="dxa" w:w="3053"/>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b/>
                <w:sz w:val="15"/>
              </w:rPr>
              <w:t>Web dashboard — Staff / Respond Units and crew selection</w:t>
            </w:r>
          </w:p>
        </w:tc>
        <w:tc>
          <w:tcPr>
            <w:tcW w:type="dxa" w:w="5688"/>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sz w:val="15"/>
              </w:rPr>
              <w:t>Active-today or emergency activation state, Team Leader and unit roster, and required driver/first aider selections where visible.</w:t>
            </w:r>
          </w:p>
        </w:tc>
      </w:tr>
      <w:tr>
        <w:trPr>
          <w:cantSplit/>
        </w:trPr>
        <w:tc>
          <w:tcPr>
            <w:tcW w:type="dxa" w:w="792"/>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jc w:val="center"/>
            </w:pPr>
            <w:r>
              <w:rPr>
                <w:sz w:val="15"/>
              </w:rPr>
              <w:t>[ ] 1.4</w:t>
            </w:r>
          </w:p>
        </w:tc>
        <w:tc>
          <w:tcPr>
            <w:tcW w:type="dxa" w:w="3053"/>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b/>
                <w:sz w:val="15"/>
              </w:rPr>
              <w:t>Web dashboard — Incident Monitoring / Command Center</w:t>
            </w:r>
          </w:p>
        </w:tc>
        <w:tc>
          <w:tcPr>
            <w:tcW w:type="dxa" w:w="5688"/>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sz w:val="15"/>
              </w:rPr>
              <w:t>Map markers, incident status/legend, selected incident detail; show live responder location only when present in the actual build.</w:t>
            </w:r>
          </w:p>
        </w:tc>
      </w:tr>
      <w:tr>
        <w:trPr>
          <w:cantSplit/>
        </w:trPr>
        <w:tc>
          <w:tcPr>
            <w:tcW w:type="dxa" w:w="792"/>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jc w:val="center"/>
            </w:pPr>
            <w:r>
              <w:rPr>
                <w:sz w:val="15"/>
              </w:rPr>
              <w:t>[ ] 1.5</w:t>
            </w:r>
          </w:p>
        </w:tc>
        <w:tc>
          <w:tcPr>
            <w:tcW w:type="dxa" w:w="3053"/>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b/>
                <w:sz w:val="15"/>
              </w:rPr>
              <w:t>Evacuation-center location views</w:t>
            </w:r>
          </w:p>
        </w:tc>
        <w:tc>
          <w:tcPr>
            <w:tcW w:type="dxa" w:w="5688"/>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sz w:val="15"/>
              </w:rPr>
              <w:t>Staff center map and/or resident map with center markers and a selected center’s real displayed details.</w:t>
            </w:r>
          </w:p>
        </w:tc>
      </w:tr>
      <w:tr>
        <w:trPr>
          <w:cantSplit/>
        </w:trPr>
        <w:tc>
          <w:tcPr>
            <w:tcW w:type="dxa" w:w="792"/>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jc w:val="center"/>
            </w:pPr>
            <w:r>
              <w:rPr>
                <w:sz w:val="15"/>
              </w:rPr>
              <w:t>[ ] 1.6</w:t>
            </w:r>
          </w:p>
        </w:tc>
        <w:tc>
          <w:tcPr>
            <w:tcW w:type="dxa" w:w="3053"/>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b/>
                <w:sz w:val="15"/>
              </w:rPr>
              <w:t>Barangay escalation and MDRRMO queue</w:t>
            </w:r>
          </w:p>
        </w:tc>
        <w:tc>
          <w:tcPr>
            <w:tcW w:type="dxa" w:w="5688"/>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sz w:val="15"/>
              </w:rPr>
              <w:t>Escalation reason/action and corresponding MDRRMO queue item/status for the same demonstration case.</w:t>
            </w:r>
          </w:p>
        </w:tc>
      </w:tr>
      <w:tr>
        <w:trPr>
          <w:cantSplit/>
        </w:trPr>
        <w:tc>
          <w:tcPr>
            <w:tcW w:type="dxa" w:w="792"/>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jc w:val="center"/>
            </w:pPr>
            <w:r>
              <w:rPr>
                <w:sz w:val="15"/>
              </w:rPr>
              <w:t>[ ] 1.7</w:t>
            </w:r>
          </w:p>
        </w:tc>
        <w:tc>
          <w:tcPr>
            <w:tcW w:type="dxa" w:w="3053"/>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b/>
                <w:sz w:val="15"/>
              </w:rPr>
              <w:t>Published advisory and resident view</w:t>
            </w:r>
          </w:p>
        </w:tc>
        <w:tc>
          <w:tcPr>
            <w:tcW w:type="dxa" w:w="5688"/>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sz w:val="15"/>
              </w:rPr>
              <w:t>Dashboard published advisory paired with its resident feed view; add delivery evidence only if captured from a real test device/record.</w:t>
            </w:r>
          </w:p>
        </w:tc>
      </w:tr>
      <w:tr>
        <w:trPr>
          <w:cantSplit/>
        </w:trPr>
        <w:tc>
          <w:tcPr>
            <w:tcW w:type="dxa" w:w="792"/>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jc w:val="center"/>
            </w:pPr>
            <w:r>
              <w:rPr>
                <w:sz w:val="15"/>
              </w:rPr>
              <w:t>[ ] 3.A</w:t>
            </w:r>
          </w:p>
        </w:tc>
        <w:tc>
          <w:tcPr>
            <w:tcW w:type="dxa" w:w="3053"/>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b/>
                <w:sz w:val="15"/>
              </w:rPr>
              <w:t>Performance test evidence</w:t>
            </w:r>
          </w:p>
        </w:tc>
        <w:tc>
          <w:tcPr>
            <w:tcW w:type="dxa" w:w="5688"/>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sz w:val="15"/>
              </w:rPr>
              <w:t>Actual measured result with build, test environment, method, sample count, and units. Do not create or infer values.</w:t>
            </w:r>
          </w:p>
        </w:tc>
      </w:tr>
      <w:tr>
        <w:trPr>
          <w:cantSplit/>
        </w:trPr>
        <w:tc>
          <w:tcPr>
            <w:tcW w:type="dxa" w:w="792"/>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jc w:val="center"/>
            </w:pPr>
            <w:r>
              <w:rPr>
                <w:sz w:val="15"/>
              </w:rPr>
              <w:t>[ ] 3.B</w:t>
            </w:r>
          </w:p>
        </w:tc>
        <w:tc>
          <w:tcPr>
            <w:tcW w:type="dxa" w:w="3053"/>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b/>
                <w:sz w:val="15"/>
              </w:rPr>
              <w:t>Reliability test evidence</w:t>
            </w:r>
          </w:p>
        </w:tc>
        <w:tc>
          <w:tcPr>
            <w:tcW w:type="dxa" w:w="5688"/>
            <w:shd w:fill="F4F7F9"/>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sz w:val="15"/>
              </w:rPr>
              <w:t>Actual test scenarios and outcomes, including failures/recovery if observed.</w:t>
            </w:r>
          </w:p>
        </w:tc>
      </w:tr>
      <w:tr>
        <w:trPr>
          <w:cantSplit/>
        </w:trPr>
        <w:tc>
          <w:tcPr>
            <w:tcW w:type="dxa" w:w="792"/>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jc w:val="center"/>
            </w:pPr>
            <w:r>
              <w:rPr>
                <w:sz w:val="15"/>
              </w:rPr>
              <w:t>[ ] 3.C</w:t>
            </w:r>
          </w:p>
        </w:tc>
        <w:tc>
          <w:tcPr>
            <w:tcW w:type="dxa" w:w="3053"/>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b/>
                <w:sz w:val="15"/>
              </w:rPr>
              <w:t>Interaction/security evidence</w:t>
            </w:r>
          </w:p>
        </w:tc>
        <w:tc>
          <w:tcPr>
            <w:tcW w:type="dxa" w:w="5688"/>
            <w:shd w:fill="FFFFFF"/>
            <w:tcBorders>
              <w:top w:val="single" w:sz="5" w:color="C4D0D8"/>
              <w:left w:val="single" w:sz="5" w:color="C4D0D8"/>
              <w:bottom w:val="single" w:sz="5" w:color="C4D0D8"/>
              <w:right w:val="single" w:sz="5" w:color="C4D0D8"/>
              <w:insideH w:val="single" w:sz="5" w:color="C4D0D8"/>
              <w:insideV w:val="single" w:sz="5" w:color="C4D0D8"/>
            </w:tcBorders>
            <w:tcMar>
              <w:top w:w="80" w:type="dxa"/>
              <w:start w:w="90" w:type="dxa"/>
              <w:bottom w:w="80" w:type="dxa"/>
              <w:end w:w="90" w:type="dxa"/>
            </w:tcMar>
          </w:tcPr>
          <w:p>
            <w:pPr>
              <w:spacing w:after="0" w:line="240" w:lineRule="auto"/>
            </w:pPr>
            <w:r>
              <w:rPr>
                <w:sz w:val="15"/>
              </w:rPr>
              <w:t>Completed role-based access checks and/or consented user task observation, plus the genuine evaluation instrument/results.</w:t>
            </w:r>
          </w:p>
        </w:tc>
      </w:tr>
    </w:tbl>
    <w:p>
      <w:pPr>
        <w:pStyle w:val="Heading1"/>
      </w:pPr>
      <w:r>
        <w:t>Reporting notes</w:t>
      </w:r>
    </w:p>
    <w:p>
      <w:pPr>
        <w:spacing w:after="80"/>
      </w:pPr>
      <w:r>
        <w:t>1. Use one synthetic incident through the paired resident, barangay, and MDRRMO screenshots when possible, so the report reference and status can be followed across the workflow.</w:t>
      </w:r>
    </w:p>
    <w:p>
      <w:pPr>
        <w:spacing w:after="80"/>
      </w:pPr>
      <w:r>
        <w:t>2. Mask resident identity, phone number, exact home address, personal device identifiers, access tokens, and account credentials. Obtain consent before including a real participant in a screenshot or usability observation.</w:t>
      </w:r>
    </w:p>
    <w:p>
      <w:pPr>
        <w:spacing w:after="80"/>
      </w:pPr>
      <w:r>
        <w:t>3. Do not claim that response time improved, a notification was delivered, a center was available, an incident exceeded capacity automatically, or a security control passed unless the relevant live behavior or test result was recorded.</w:t>
      </w:r>
    </w:p>
    <w:p>
      <w:pPr>
        <w:spacing w:after="80"/>
      </w:pPr>
      <w:r>
        <w:t>4. For Objective 3, state the evaluation period, app build, respondent counts by group, questionnaire source, rating scale, scoring/interpretation method, and any limitations alongside the results.</w:t>
      </w:r>
    </w:p>
    <w:p>
      <w:pPr>
        <w:pStyle w:val="SmallNote"/>
        <w:spacing w:before="160"/>
      </w:pPr>
      <w:r>
        <w:t xml:space="preserve">Reference: </w:t>
      </w:r>
      <w:hyperlink r:id="rId11">
        <w:r>
          <w:rPr>
            <w:color w:val="245B78"/>
            <w:u w:val="single"/>
          </w:rPr>
          <w:t>ISO/IEC 25010:2023 — Product quality model</w:t>
        </w:r>
      </w:hyperlink>
      <w:r>
        <w:t>. Consult the standard and the study’s approved instrument when defining the questionnaire and scoring method.</w:t>
      </w:r>
    </w:p>
    <w:sectPr w:rsidR="00FC693F" w:rsidRPr="0006063C" w:rsidSect="00034616">
      <w:headerReference w:type="default" r:id="rId9"/>
      <w:footerReference w:type="default" r:id="rId10"/>
      <w:pgSz w:w="11909" w:h="16834"/>
      <w:pgMar w:top="1037" w:right="1181" w:bottom="1037"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6"/>
      </w:rPr>
      <w:t>Working draft for screenshot insertion  |  Use demonstration data</w:t>
    </w:r>
  </w:p>
  <w:p>
    <w:pPr>
      <w:jc w:val="right"/>
    </w:pPr>
    <w:r>
      <w:rPr>
        <w:color w:val="5B6670"/>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b/>
        <w:color w:val="245B78"/>
      </w:rPr>
      <w:t>NORZAGAPAY  |  SYSTEM PRESENTATION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3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45B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38A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Aptos" w:hAnsi="Aptos"/>
      <w:color w:val="5B66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o.org/cms/%20render/live/en/sites/isoorg/contents/data/standard/07/81/7817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NorzAgapay Objectives, SOPs, and Screenshot Guide</dc:title>
  <dc:subject>System functionality presentation and evidence checklist for Objectives/SOPs 1–3</dc:subject>
  <dc:creator>NorzAgapay Project</dc:creator>
  <cp:keywords>NorzAgapay, system presentation, screenshot guide, ISO/IEC 25010:2023</cp:keywords>
  <dc:description>generated by python-docx</dc:description>
  <cp:lastModifiedBy/>
  <cp:revision>1</cp:revision>
  <dcterms:created xsi:type="dcterms:W3CDTF">2013-12-23T23:15:00Z</dcterms:created>
  <dcterms:modified xsi:type="dcterms:W3CDTF">2013-12-23T23:15:00Z</dcterms:modified>
  <cp:category/>
</cp:coreProperties>
</file>