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left"/>
      </w:pPr>
      <w:r>
        <w:rPr>
          <w:rFonts w:ascii="Arial" w:cs="Arial" w:eastAsia="Arial" w:hAnsi="Arial"/>
          <w:b/>
          <w:bCs/>
          <w:color w:val="F28C28"/>
          <w:spacing w:val="40"/>
          <w:sz w:val="28"/>
          <w:szCs w:val="28"/>
        </w:rPr>
        <w:t xml:space="preserve">INFORME DE ACTIVIDADES 2025</w:t>
      </w:r>
    </w:p>
    <w:p>
      <w:pPr>
        <w:spacing w:after="80" w:before="0"/>
        <w:jc w:val="left"/>
      </w:pPr>
      <w:r>
        <w:rPr>
          <w:rFonts w:ascii="Arial" w:cs="Arial" w:eastAsia="Arial" w:hAnsi="Arial"/>
          <w:b/>
          <w:bCs/>
          <w:color w:val="E6005A"/>
          <w:sz w:val="84"/>
          <w:szCs w:val="84"/>
        </w:rPr>
        <w:t xml:space="preserve">Inteligencia Artificial</w:t>
      </w:r>
    </w:p>
    <w:p>
      <w:pPr>
        <w:spacing w:after="320" w:before="0"/>
        <w:jc w:val="left"/>
      </w:pPr>
      <w:r>
        <w:rPr>
          <w:rFonts w:ascii="Arial" w:cs="Arial" w:eastAsia="Arial" w:hAnsi="Arial"/>
          <w:b/>
          <w:bCs/>
          <w:color w:val="E6005A"/>
          <w:sz w:val="84"/>
          <w:szCs w:val="84"/>
        </w:rPr>
        <w:t xml:space="preserve">para docentes</w:t>
      </w:r>
    </w:p>
    <w:p>
      <w:pPr>
        <w:spacing w:after="240" w:before="0"/>
        <w:jc w:val="left"/>
      </w:pPr>
      <w:r>
        <w:rPr>
          <w:rFonts w:ascii="Arial" w:cs="Arial" w:eastAsia="Arial" w:hAnsi="Arial"/>
          <w:i/>
          <w:iCs/>
          <w:color w:val="2E4A6B"/>
          <w:sz w:val="36"/>
          <w:szCs w:val="36"/>
        </w:rPr>
        <w:t xml:space="preserve">Acciones 2025 y proyección 2026</w:t>
      </w:r>
    </w:p>
    <w:p>
      <w:pPr>
        <w:pBdr>
          <w:top w:val="single" w:color="F28C28" w:sz="24" w:space="10"/>
        </w:pBdr>
        <w:spacing w:after="80" w:before="1200"/>
        <w:jc w:val="left"/>
      </w:pPr>
      <w:r>
        <w:rPr>
          <w:rFonts w:ascii="Arial" w:cs="Arial" w:eastAsia="Arial" w:hAnsi="Arial"/>
          <w:b/>
          <w:bCs/>
          <w:color w:val="E6005A"/>
          <w:sz w:val="28"/>
          <w:szCs w:val="28"/>
        </w:rPr>
        <w:t xml:space="preserve">Dirección de Alfabetización Digital</w:t>
      </w:r>
    </w:p>
    <w:p>
      <w:pPr>
        <w:spacing w:after="40" w:before="0"/>
      </w:pPr>
      <w:r>
        <w:rPr>
          <w:rFonts w:ascii="Arial" w:cs="Arial" w:eastAsia="Arial" w:hAnsi="Arial"/>
          <w:color w:val="333333"/>
          <w:sz w:val="22"/>
          <w:szCs w:val="22"/>
        </w:rPr>
        <w:t xml:space="preserve">Dirección de Programas Estratégicos</w:t>
      </w:r>
    </w:p>
    <w:p>
      <w:pPr>
        <w:spacing w:after="40" w:before="0"/>
      </w:pPr>
      <w:r>
        <w:rPr>
          <w:rFonts w:ascii="Arial" w:cs="Arial" w:eastAsia="Arial" w:hAnsi="Arial"/>
          <w:color w:val="333333"/>
          <w:sz w:val="22"/>
          <w:szCs w:val="22"/>
        </w:rPr>
        <w:t xml:space="preserve">Secretaría de Educación Jalisco</w:t>
      </w:r>
    </w:p>
    <w:p>
      <w:pPr>
        <w:spacing w:after="40" w:before="0"/>
      </w:pPr>
      <w:r>
        <w:rPr>
          <w:rFonts w:ascii="Arial" w:cs="Arial" w:eastAsia="Arial" w:hAnsi="Arial"/>
          <w:color w:val="333333"/>
          <w:sz w:val="22"/>
          <w:szCs w:val="22"/>
        </w:rPr>
        <w:t xml:space="preserve">Gobierno del Estado de Jalisco</w:t>
      </w:r>
    </w:p>
    <w:p>
      <w:pPr>
        <w:spacing w:after="0" w:before="400"/>
      </w:pPr>
      <w:r>
        <w:rPr>
          <w:rFonts w:ascii="Arial" w:cs="Arial" w:eastAsia="Arial" w:hAnsi="Arial"/>
          <w:b/>
          <w:bCs/>
          <w:color w:val="F28C28"/>
          <w:sz w:val="24"/>
          <w:szCs w:val="24"/>
        </w:rPr>
        <w:t xml:space="preserve">Enero 2026</w:t>
      </w:r>
    </w:p>
    <w:p>
      <w:r>
        <w:br w:type="page"/>
      </w:r>
    </w:p>
    <w:p>
      <w:pPr>
        <w:pBdr>
          <w:left w:val="single" w:color="E6005A" w:sz="24" w:space="12"/>
        </w:pBdr>
        <w:spacing w:after="120" w:before="360"/>
      </w:pPr>
      <w:r>
        <w:rPr>
          <w:rFonts w:ascii="Arial" w:cs="Arial" w:eastAsia="Arial" w:hAnsi="Arial"/>
          <w:b/>
          <w:bCs/>
          <w:color w:val="F28C28"/>
          <w:sz w:val="28"/>
          <w:szCs w:val="28"/>
        </w:rPr>
        <w:t xml:space="preserve">01</w:t>
      </w:r>
      <w:r>
        <w:rPr>
          <w:rFonts w:ascii="Arial" w:cs="Arial" w:eastAsia="Arial" w:hAnsi="Arial"/>
          <w:b/>
          <w:bCs/>
          <w:color w:val="E6005A"/>
          <w:sz w:val="32"/>
          <w:szCs w:val="32"/>
        </w:rPr>
        <w:t xml:space="preserve">  Preámbulo institucional</w:t>
      </w:r>
    </w:p>
    <w:p>
      <w:pPr>
        <w:spacing w:after="120" w:before="240"/>
      </w:pPr>
      <w:r>
        <w:rPr>
          <w:rFonts w:ascii="Arial" w:cs="Arial" w:eastAsia="Arial" w:hAnsi="Arial"/>
          <w:b/>
          <w:bCs/>
          <w:color w:val="2E4A6B"/>
          <w:sz w:val="26"/>
          <w:szCs w:val="26"/>
        </w:rPr>
        <w:t xml:space="preserve">La IA dentro del Trayecto de Innovación Educativa de Jalisco</w:t>
      </w:r>
    </w:p>
    <w:p>
      <w:pPr>
        <w:spacing w:after="80" w:before="80" w:line="300"/>
        <w:jc w:val="both"/>
      </w:pPr>
      <w:r>
        <w:rPr>
          <w:rFonts w:ascii="Arial" w:cs="Arial" w:eastAsia="Arial" w:hAnsi="Arial"/>
          <w:color w:val="333333"/>
          <w:sz w:val="22"/>
          <w:szCs w:val="22"/>
        </w:rPr>
        <w:t xml:space="preserve">La presente estrategia se inscribe en el Trayecto de Innovación Educativa del Proyecto Educativo Estatal de Jalisco, que reconoce a la comunidad educativa como un conjunto de seres innovadores capaces de trazar rutas nuevas frente a los desafíos de su tiempo.</w:t>
      </w:r>
    </w:p>
    <w:p>
      <w:pPr>
        <w:spacing w:after="80" w:before="80" w:line="300"/>
        <w:jc w:val="both"/>
      </w:pPr>
      <w:r>
        <w:rPr>
          <w:rFonts w:ascii="Arial" w:cs="Arial" w:eastAsia="Arial" w:hAnsi="Arial"/>
          <w:color w:val="333333"/>
          <w:sz w:val="22"/>
          <w:szCs w:val="22"/>
        </w:rPr>
        <w:t xml:space="preserve">La Inteligencia Artificial es, hoy, uno de esos desafíos significativos. Por ello, la Dirección de Alfabetización Digital asume la alfabetización en IA como un proceso de autonomía responsable: un trayecto que parte de identificar el desafío, construye de manera colectiva y creativa, y conecta para co-crear con docentes, directivos, supervisores y personal administrativo en toda la geografía del estado.</w:t>
      </w:r>
    </w:p>
    <w:p>
      <w:pPr>
        <w:spacing w:after="160" w:before="160"/>
        <w:jc w:val="center"/>
      </w:pPr>
      <w:r>
        <w:rPr>
          <w:rFonts w:ascii="Arial" w:cs="Arial" w:eastAsia="Arial" w:hAnsi="Arial"/>
          <w:b/>
          <w:bCs/>
          <w:i/>
          <w:iCs/>
          <w:color w:val="2E4A6B"/>
          <w:sz w:val="26"/>
          <w:szCs w:val="26"/>
        </w:rPr>
        <w:t xml:space="preserve">“En la diversidad que somos, todos aprendemos de todos.”</w:t>
      </w:r>
    </w:p>
    <w:p>
      <w:pPr>
        <w:pBdr>
          <w:left w:val="single" w:color="E6005A" w:sz="24" w:space="12"/>
        </w:pBdr>
        <w:spacing w:after="120" w:before="360"/>
      </w:pPr>
      <w:r>
        <w:rPr>
          <w:rFonts w:ascii="Arial" w:cs="Arial" w:eastAsia="Arial" w:hAnsi="Arial"/>
          <w:b/>
          <w:bCs/>
          <w:color w:val="F28C28"/>
          <w:sz w:val="28"/>
          <w:szCs w:val="28"/>
        </w:rPr>
        <w:t xml:space="preserve">02</w:t>
      </w:r>
      <w:r>
        <w:rPr>
          <w:rFonts w:ascii="Arial" w:cs="Arial" w:eastAsia="Arial" w:hAnsi="Arial"/>
          <w:b/>
          <w:bCs/>
          <w:color w:val="E6005A"/>
          <w:sz w:val="32"/>
          <w:szCs w:val="32"/>
        </w:rPr>
        <w:t xml:space="preserve">  Punto de partida</w:t>
      </w:r>
    </w:p>
    <w:p>
      <w:pPr>
        <w:spacing w:after="120" w:before="240"/>
      </w:pPr>
      <w:r>
        <w:rPr>
          <w:rFonts w:ascii="Arial" w:cs="Arial" w:eastAsia="Arial" w:hAnsi="Arial"/>
          <w:b/>
          <w:bCs/>
          <w:color w:val="2E4A6B"/>
          <w:sz w:val="26"/>
          <w:szCs w:val="26"/>
        </w:rPr>
        <w:t xml:space="preserve">Identificar el desafío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6B" w:sz="1"/>
              <w:left w:val="single" w:color="2E4A6B" w:sz="1"/>
              <w:bottom w:val="single" w:color="2E4A6B" w:sz="1"/>
              <w:right w:val="single" w:color="2E4A6B" w:sz="1"/>
            </w:tcBorders>
            <w:shd w:fill="E8E6F5" w:val="clear"/>
            <w:tcMar>
              <w:top w:type="dxa" w:w="240"/>
              <w:left w:type="dxa" w:w="280"/>
              <w:bottom w:type="dxa" w:w="240"/>
              <w:right w:type="dxa" w:w="280"/>
            </w:tcMar>
          </w:tcPr>
          <w:p>
            <w:pPr>
              <w:spacing w:after="0" w:before="0"/>
              <w:jc w:val="center"/>
            </w:pPr>
            <w:r>
              <w:rPr>
                <w:rFonts w:ascii="Arial" w:cs="Arial" w:eastAsia="Arial" w:hAnsi="Arial"/>
                <w:b/>
                <w:bCs/>
                <w:i/>
                <w:iCs/>
                <w:color w:val="E6005A"/>
                <w:sz w:val="28"/>
                <w:szCs w:val="28"/>
              </w:rPr>
              <w:t xml:space="preserve">2025 marcó un cambio de escala: de acciones puntuales de capacitación a una estrategia estatal estructurada con múltiples canales, audiencias y formatos.</w:t>
            </w:r>
          </w:p>
        </w:tc>
      </w:tr>
    </w:tbl>
    <w:p>
      <w:pPr>
        <w:spacing w:after="120" w:before="120"/>
      </w:pPr>
      <w:r>
        <w:t xml:space="preserve"/>
      </w:r>
    </w:p>
    <w:p>
      <w:pPr>
        <w:spacing w:after="80" w:before="80" w:line="300"/>
        <w:jc w:val="both"/>
      </w:pPr>
      <w:r>
        <w:rPr>
          <w:rFonts w:ascii="Arial" w:cs="Arial" w:eastAsia="Arial" w:hAnsi="Arial"/>
          <w:color w:val="333333"/>
          <w:sz w:val="22"/>
          <w:szCs w:val="22"/>
        </w:rPr>
        <w:t xml:space="preserve">La irrupción de la Inteligencia Artificial en la vida cotidiana, en el aula y en los procesos administrativos planteó una pregunta fundamental: ¿cómo acompañar a la comunidad educativa de Jalisco para que haga suyo este nuevo lenguaje de manera crítica, creativa y con sentido pedagógico?</w:t>
      </w:r>
    </w:p>
    <w:p>
      <w:pPr>
        <w:spacing w:after="80" w:before="80" w:line="300"/>
        <w:jc w:val="both"/>
      </w:pPr>
      <w:r>
        <w:rPr>
          <w:rFonts w:ascii="Arial" w:cs="Arial" w:eastAsia="Arial" w:hAnsi="Arial"/>
          <w:color w:val="333333"/>
          <w:sz w:val="22"/>
          <w:szCs w:val="22"/>
        </w:rPr>
        <w:t xml:space="preserve">La respuesta fue construir, por primera vez, una estrategia estatal integral que articulara capacitación virtual sincrónica, formación autogestiva, trabajo presencial en las instalaciones de Alfa Digital, acompañamiento en las escuelas y participación en eventos magnos de alcance estatal.</w:t>
      </w:r>
    </w:p>
    <w:p>
      <w:pPr>
        <w:pBdr>
          <w:left w:val="single" w:color="E6005A" w:sz="24" w:space="12"/>
        </w:pBdr>
        <w:spacing w:after="120" w:before="360"/>
      </w:pPr>
      <w:r>
        <w:rPr>
          <w:rFonts w:ascii="Arial" w:cs="Arial" w:eastAsia="Arial" w:hAnsi="Arial"/>
          <w:b/>
          <w:bCs/>
          <w:color w:val="F28C28"/>
          <w:sz w:val="28"/>
          <w:szCs w:val="28"/>
        </w:rPr>
        <w:t xml:space="preserve">03</w:t>
      </w:r>
      <w:r>
        <w:rPr>
          <w:rFonts w:ascii="Arial" w:cs="Arial" w:eastAsia="Arial" w:hAnsi="Arial"/>
          <w:b/>
          <w:bCs/>
          <w:color w:val="E6005A"/>
          <w:sz w:val="32"/>
          <w:szCs w:val="32"/>
        </w:rPr>
        <w:t xml:space="preserve">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005A" w:sz="1"/>
              <w:left w:val="single" w:color="E6005A" w:sz="1"/>
              <w:bottom w:val="single" w:color="E6005A" w:sz="1"/>
              <w:right w:val="single" w:color="E6005A" w:sz="1"/>
            </w:tcBorders>
            <w:shd w:fill="D5E0EC" w:val="clear"/>
            <w:tcMar>
              <w:top w:type="dxa" w:w="240"/>
              <w:left w:type="dxa" w:w="280"/>
              <w:bottom w:type="dxa" w:w="240"/>
              <w:right w:type="dxa" w:w="280"/>
            </w:tcMar>
          </w:tcPr>
          <w:p>
            <w:pPr>
              <w:spacing w:after="0" w:before="0"/>
              <w:jc w:val="both"/>
            </w:pPr>
            <w:r>
              <w:rPr>
                <w:rFonts w:ascii="Arial" w:cs="Arial" w:eastAsia="Arial" w:hAnsi="Arial"/>
                <w:color w:val="333333"/>
                <w:sz w:val="24"/>
                <w:szCs w:val="24"/>
              </w:rPr>
              <w:t xml:space="preserve">Fortalecer las competencias y habilidades de la comunidad educativa de Jalisco —docentes, directivos, supervisores y personal administrativo— en el uso pedagógico y ético de la Inteligencia Artificial y de las herramientas de Google Workspace for Education, como parte de un Trayecto de Innovación Educativa que coloca la vida y el aprendizaje de niñas, niños y adolescentes en el centro.</w:t>
            </w:r>
          </w:p>
        </w:tc>
      </w:tr>
    </w:tbl>
    <w:p>
      <w:r>
        <w:br w:type="page"/>
      </w:r>
    </w:p>
    <w:p>
      <w:pPr>
        <w:pBdr>
          <w:left w:val="single" w:color="E6005A" w:sz="24" w:space="12"/>
        </w:pBdr>
        <w:spacing w:after="120" w:before="360"/>
      </w:pPr>
      <w:r>
        <w:rPr>
          <w:rFonts w:ascii="Arial" w:cs="Arial" w:eastAsia="Arial" w:hAnsi="Arial"/>
          <w:b/>
          <w:bCs/>
          <w:color w:val="F28C28"/>
          <w:sz w:val="28"/>
          <w:szCs w:val="28"/>
        </w:rPr>
        <w:t xml:space="preserve">04</w:t>
      </w:r>
      <w:r>
        <w:rPr>
          <w:rFonts w:ascii="Arial" w:cs="Arial" w:eastAsia="Arial" w:hAnsi="Arial"/>
          <w:b/>
          <w:bCs/>
          <w:color w:val="E6005A"/>
          <w:sz w:val="32"/>
          <w:szCs w:val="32"/>
        </w:rPr>
        <w:t xml:space="preserve">  Líneas de acción 2025</w:t>
      </w:r>
    </w:p>
    <w:p>
      <w:pPr>
        <w:spacing w:after="120" w:before="240"/>
      </w:pPr>
      <w:r>
        <w:rPr>
          <w:rFonts w:ascii="Arial" w:cs="Arial" w:eastAsia="Arial" w:hAnsi="Arial"/>
          <w:b/>
          <w:bCs/>
          <w:color w:val="2E4A6B"/>
          <w:sz w:val="26"/>
          <w:szCs w:val="26"/>
        </w:rPr>
        <w:t xml:space="preserve">Construir colectiva y creativamente</w:t>
      </w:r>
    </w:p>
    <w:p>
      <w:pPr>
        <w:spacing w:after="80" w:before="80" w:line="300"/>
        <w:jc w:val="both"/>
      </w:pPr>
      <w:r>
        <w:rPr>
          <w:rFonts w:ascii="Arial" w:cs="Arial" w:eastAsia="Arial" w:hAnsi="Arial"/>
          <w:color w:val="333333"/>
          <w:sz w:val="22"/>
          <w:szCs w:val="22"/>
        </w:rPr>
        <w:t xml:space="preserve">La estrategia se desplegó a través de seis líneas de acción complementarias, diseñadas para llegar a perfiles y contextos distintos con la ruta más pertinente en cada caso.</w:t>
      </w:r>
    </w:p>
    <w:p>
      <w:pPr>
        <w:spacing w:after="80" w:before="80"/>
      </w:pPr>
      <w:r>
        <w:t xml:space="preserve"/>
      </w:r>
    </w:p>
    <w:p>
      <w:pPr>
        <w:spacing w:after="80" w:before="240"/>
      </w:pPr>
      <w:r>
        <w:rPr>
          <w:rFonts w:ascii="Arial" w:cs="Arial" w:eastAsia="Arial" w:hAnsi="Arial"/>
          <w:b/>
          <w:bCs/>
          <w:color w:val="F28C28"/>
          <w:sz w:val="22"/>
          <w:szCs w:val="22"/>
        </w:rPr>
        <w:t xml:space="preserve">LÍNEA 1</w:t>
      </w:r>
      <w:r>
        <w:rPr>
          <w:rFonts w:ascii="Arial" w:cs="Arial" w:eastAsia="Arial" w:hAnsi="Arial"/>
          <w:b/>
          <w:bCs/>
          <w:color w:val="666666"/>
          <w:sz w:val="22"/>
          <w:szCs w:val="22"/>
        </w:rPr>
        <w:t xml:space="preserve">   ·   </w:t>
      </w:r>
      <w:r>
        <w:rPr>
          <w:rFonts w:ascii="Arial" w:cs="Arial" w:eastAsia="Arial" w:hAnsi="Arial"/>
          <w:b/>
          <w:bCs/>
          <w:color w:val="E6005A"/>
          <w:sz w:val="26"/>
          <w:szCs w:val="26"/>
        </w:rPr>
        <w:t xml:space="preserve">Estrategia de capacitación virtual sobre IA sincrónica SEJ</w:t>
      </w:r>
    </w:p>
    <w:p>
      <w:pPr>
        <w:spacing w:after="80" w:before="80" w:line="300"/>
        <w:jc w:val="both"/>
      </w:pPr>
      <w:r>
        <w:rPr>
          <w:rFonts w:ascii="Arial" w:cs="Arial" w:eastAsia="Arial" w:hAnsi="Arial"/>
          <w:color w:val="333333"/>
          <w:sz w:val="22"/>
          <w:szCs w:val="22"/>
        </w:rPr>
        <w:t xml:space="preserve">Marco operativo que articula la formación en vivo a través del canal oficial de YouTube de la Secretaría de Educación Jalisco, teniendo a Aula Digital Jalisco como espacio de producción y transmisión. Este canal se consolidó como un aula abierta, accesible y gratuita para toda la comunidad educativa del estado.</w:t>
      </w:r>
    </w:p>
    <w:p>
      <w:pPr>
        <w:spacing w:after="80" w:before="240"/>
      </w:pPr>
      <w:r>
        <w:rPr>
          <w:rFonts w:ascii="Arial" w:cs="Arial" w:eastAsia="Arial" w:hAnsi="Arial"/>
          <w:b/>
          <w:bCs/>
          <w:color w:val="F28C28"/>
          <w:sz w:val="22"/>
          <w:szCs w:val="22"/>
        </w:rPr>
        <w:t xml:space="preserve">LÍNEA 2</w:t>
      </w:r>
      <w:r>
        <w:rPr>
          <w:rFonts w:ascii="Arial" w:cs="Arial" w:eastAsia="Arial" w:hAnsi="Arial"/>
          <w:b/>
          <w:bCs/>
          <w:color w:val="666666"/>
          <w:sz w:val="22"/>
          <w:szCs w:val="22"/>
        </w:rPr>
        <w:t xml:space="preserve">   ·   </w:t>
      </w:r>
      <w:r>
        <w:rPr>
          <w:rFonts w:ascii="Arial" w:cs="Arial" w:eastAsia="Arial" w:hAnsi="Arial"/>
          <w:b/>
          <w:bCs/>
          <w:color w:val="E6005A"/>
          <w:sz w:val="26"/>
          <w:szCs w:val="26"/>
        </w:rPr>
        <w:t xml:space="preserve">Series formativas especializadas</w:t>
      </w:r>
    </w:p>
    <w:p>
      <w:pPr>
        <w:spacing w:after="80" w:before="80" w:line="300"/>
        <w:jc w:val="both"/>
      </w:pPr>
      <w:r>
        <w:rPr>
          <w:rFonts w:ascii="Arial" w:cs="Arial" w:eastAsia="Arial" w:hAnsi="Arial"/>
          <w:color w:val="333333"/>
          <w:sz w:val="22"/>
          <w:szCs w:val="22"/>
        </w:rPr>
        <w:t xml:space="preserve">Tres series producidas por la Dirección de Alfabetización Digital para acompañar al docente en distintos niveles de profundidad, desde la alfabetización básica hasta el uso pedagógico avanzado de la IA.</w:t>
      </w:r>
    </w:p>
    <w:p>
      <w:pPr>
        <w:pStyle w:val="ListParagraph"/>
        <w:numPr>
          <w:ilvl w:val="0"/>
          <w:numId w:val="2"/>
        </w:numPr>
        <w:spacing w:after="60" w:before="60" w:line="280"/>
      </w:pPr>
      <w:r>
        <w:rPr>
          <w:rFonts w:ascii="Arial" w:cs="Arial" w:eastAsia="Arial" w:hAnsi="Arial"/>
          <w:b/>
          <w:bCs/>
          <w:color w:val="2E4A6B"/>
          <w:sz w:val="22"/>
          <w:szCs w:val="22"/>
        </w:rPr>
        <w:t xml:space="preserve">Aula Digital paso a paso</w:t>
      </w:r>
      <w:r>
        <w:rPr>
          <w:rFonts w:ascii="Arial" w:cs="Arial" w:eastAsia="Arial" w:hAnsi="Arial"/>
          <w:color w:val="333333"/>
          <w:sz w:val="22"/>
          <w:szCs w:val="22"/>
        </w:rPr>
        <w:t xml:space="preserve"> — Dos temporadas con 32 videos que abordan Chromebook, Google Workspace (Documentos, Hojas de cálculo, Slides, Sites, Gmail, Drive), Gemini y NotebookLM.</w:t>
      </w:r>
    </w:p>
    <w:p>
      <w:pPr>
        <w:pStyle w:val="ListParagraph"/>
        <w:numPr>
          <w:ilvl w:val="0"/>
          <w:numId w:val="2"/>
        </w:numPr>
        <w:spacing w:after="60" w:before="60" w:line="280"/>
      </w:pPr>
      <w:r>
        <w:rPr>
          <w:rFonts w:ascii="Arial" w:cs="Arial" w:eastAsia="Arial" w:hAnsi="Arial"/>
          <w:b/>
          <w:bCs/>
          <w:color w:val="2E4A6B"/>
          <w:sz w:val="22"/>
          <w:szCs w:val="22"/>
        </w:rPr>
        <w:t xml:space="preserve">Lleva la Inteligencia Artificial a tu salón de clases</w:t>
      </w:r>
      <w:r>
        <w:rPr>
          <w:rFonts w:ascii="Arial" w:cs="Arial" w:eastAsia="Arial" w:hAnsi="Arial"/>
          <w:color w:val="333333"/>
          <w:sz w:val="22"/>
          <w:szCs w:val="22"/>
        </w:rPr>
        <w:t xml:space="preserve"> — 29 videos con especialistas invitados que muestran aplicaciones pedagógicas concretas de la IA en la práctica docente.</w:t>
      </w:r>
    </w:p>
    <w:p>
      <w:pPr>
        <w:pStyle w:val="ListParagraph"/>
        <w:numPr>
          <w:ilvl w:val="0"/>
          <w:numId w:val="2"/>
        </w:numPr>
        <w:spacing w:after="60" w:before="60" w:line="280"/>
      </w:pPr>
      <w:r>
        <w:rPr>
          <w:rFonts w:ascii="Arial" w:cs="Arial" w:eastAsia="Arial" w:hAnsi="Arial"/>
          <w:b/>
          <w:bCs/>
          <w:color w:val="2E4A6B"/>
          <w:sz w:val="22"/>
          <w:szCs w:val="22"/>
        </w:rPr>
        <w:t xml:space="preserve">Jalisco Aprende con IA</w:t>
      </w:r>
      <w:r>
        <w:rPr>
          <w:rFonts w:ascii="Arial" w:cs="Arial" w:eastAsia="Arial" w:hAnsi="Arial"/>
          <w:color w:val="333333"/>
          <w:sz w:val="22"/>
          <w:szCs w:val="22"/>
        </w:rPr>
        <w:t xml:space="preserve"> — 4 videos formativos para que el personal docente comprenda qué es la IA, cómo aprende y qué son los algoritmos.</w:t>
      </w:r>
    </w:p>
    <w:p>
      <w:pPr>
        <w:pStyle w:val="ListParagraph"/>
        <w:numPr>
          <w:ilvl w:val="0"/>
          <w:numId w:val="2"/>
        </w:numPr>
        <w:spacing w:after="60" w:before="60" w:line="280"/>
      </w:pPr>
      <w:r>
        <w:rPr>
          <w:rFonts w:ascii="Arial" w:cs="Arial" w:eastAsia="Arial" w:hAnsi="Arial"/>
          <w:b/>
          <w:bCs/>
          <w:color w:val="2E4A6B"/>
          <w:sz w:val="22"/>
          <w:szCs w:val="22"/>
        </w:rPr>
        <w:t xml:space="preserve">3 Webinars avanzados</w:t>
      </w:r>
      <w:r>
        <w:rPr>
          <w:rFonts w:ascii="Arial" w:cs="Arial" w:eastAsia="Arial" w:hAnsi="Arial"/>
          <w:color w:val="333333"/>
          <w:sz w:val="22"/>
          <w:szCs w:val="22"/>
        </w:rPr>
        <w:t xml:space="preserve"> — Sesiones especializadas en ChatGPT, NotebookLM y la actualización de NotebookLM.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6005A" w:sz="1"/>
              <w:left w:val="single" w:color="E6005A" w:sz="1"/>
              <w:bottom w:val="single" w:color="E6005A" w:sz="1"/>
              <w:right w:val="single" w:color="E6005A" w:sz="1"/>
            </w:tcBorders>
            <w:shd w:fill="E8E6F5" w:val="clear"/>
            <w:tcMar>
              <w:top w:type="dxa" w:w="200"/>
              <w:left w:type="dxa" w:w="120"/>
              <w:bottom w:type="dxa" w:w="200"/>
              <w:right w:type="dxa" w:w="120"/>
            </w:tcMar>
            <w:vAlign w:val="center"/>
          </w:tcPr>
          <w:p>
            <w:pPr>
              <w:spacing w:after="60" w:before="0"/>
              <w:jc w:val="center"/>
            </w:pPr>
            <w:r>
              <w:rPr>
                <w:rFonts w:ascii="Arial" w:cs="Arial" w:eastAsia="Arial" w:hAnsi="Arial"/>
                <w:b/>
                <w:bCs/>
                <w:color w:val="E6005A"/>
                <w:sz w:val="48"/>
                <w:szCs w:val="48"/>
              </w:rPr>
              <w:t xml:space="preserve">32</w:t>
            </w:r>
          </w:p>
          <w:p>
            <w:pPr>
              <w:spacing w:after="0" w:before="0"/>
              <w:jc w:val="center"/>
            </w:pPr>
            <w:r>
              <w:rPr>
                <w:rFonts w:ascii="Arial" w:cs="Arial" w:eastAsia="Arial" w:hAnsi="Arial"/>
                <w:color w:val="2E4A6B"/>
                <w:sz w:val="18"/>
                <w:szCs w:val="18"/>
              </w:rPr>
              <w:t xml:space="preserve">Videos
Aula Digital paso a paso</w:t>
            </w:r>
          </w:p>
        </w:tc>
        <w:tc>
          <w:tcPr>
            <w:tcW w:type="dxa" w:w="2340"/>
            <w:tcBorders>
              <w:top w:val="single" w:color="E6005A" w:sz="1"/>
              <w:left w:val="single" w:color="E6005A" w:sz="1"/>
              <w:bottom w:val="single" w:color="E6005A" w:sz="1"/>
              <w:right w:val="single" w:color="E6005A" w:sz="1"/>
            </w:tcBorders>
            <w:shd w:fill="E8E6F5" w:val="clear"/>
            <w:tcMar>
              <w:top w:type="dxa" w:w="200"/>
              <w:left w:type="dxa" w:w="120"/>
              <w:bottom w:type="dxa" w:w="200"/>
              <w:right w:type="dxa" w:w="120"/>
            </w:tcMar>
            <w:vAlign w:val="center"/>
          </w:tcPr>
          <w:p>
            <w:pPr>
              <w:spacing w:after="60" w:before="0"/>
              <w:jc w:val="center"/>
            </w:pPr>
            <w:r>
              <w:rPr>
                <w:rFonts w:ascii="Arial" w:cs="Arial" w:eastAsia="Arial" w:hAnsi="Arial"/>
                <w:b/>
                <w:bCs/>
                <w:color w:val="E6005A"/>
                <w:sz w:val="48"/>
                <w:szCs w:val="48"/>
              </w:rPr>
              <w:t xml:space="preserve">29</w:t>
            </w:r>
          </w:p>
          <w:p>
            <w:pPr>
              <w:spacing w:after="0" w:before="0"/>
              <w:jc w:val="center"/>
            </w:pPr>
            <w:r>
              <w:rPr>
                <w:rFonts w:ascii="Arial" w:cs="Arial" w:eastAsia="Arial" w:hAnsi="Arial"/>
                <w:color w:val="2E4A6B"/>
                <w:sz w:val="18"/>
                <w:szCs w:val="18"/>
              </w:rPr>
              <w:t xml:space="preserve">Videos
Lleva la IA al salón</w:t>
            </w:r>
          </w:p>
        </w:tc>
        <w:tc>
          <w:tcPr>
            <w:tcW w:type="dxa" w:w="2340"/>
            <w:tcBorders>
              <w:top w:val="single" w:color="E6005A" w:sz="1"/>
              <w:left w:val="single" w:color="E6005A" w:sz="1"/>
              <w:bottom w:val="single" w:color="E6005A" w:sz="1"/>
              <w:right w:val="single" w:color="E6005A" w:sz="1"/>
            </w:tcBorders>
            <w:shd w:fill="E8E6F5" w:val="clear"/>
            <w:tcMar>
              <w:top w:type="dxa" w:w="200"/>
              <w:left w:type="dxa" w:w="120"/>
              <w:bottom w:type="dxa" w:w="200"/>
              <w:right w:type="dxa" w:w="120"/>
            </w:tcMar>
            <w:vAlign w:val="center"/>
          </w:tcPr>
          <w:p>
            <w:pPr>
              <w:spacing w:after="60" w:before="0"/>
              <w:jc w:val="center"/>
            </w:pPr>
            <w:r>
              <w:rPr>
                <w:rFonts w:ascii="Arial" w:cs="Arial" w:eastAsia="Arial" w:hAnsi="Arial"/>
                <w:b/>
                <w:bCs/>
                <w:color w:val="E6005A"/>
                <w:sz w:val="48"/>
                <w:szCs w:val="48"/>
              </w:rPr>
              <w:t xml:space="preserve">4</w:t>
            </w:r>
          </w:p>
          <w:p>
            <w:pPr>
              <w:spacing w:after="0" w:before="0"/>
              <w:jc w:val="center"/>
            </w:pPr>
            <w:r>
              <w:rPr>
                <w:rFonts w:ascii="Arial" w:cs="Arial" w:eastAsia="Arial" w:hAnsi="Arial"/>
                <w:color w:val="2E4A6B"/>
                <w:sz w:val="18"/>
                <w:szCs w:val="18"/>
              </w:rPr>
              <w:t xml:space="preserve">Videos
Jalisco Aprende con IA</w:t>
            </w:r>
          </w:p>
        </w:tc>
        <w:tc>
          <w:tcPr>
            <w:tcW w:type="dxa" w:w="2340"/>
            <w:tcBorders>
              <w:top w:val="single" w:color="E6005A" w:sz="1"/>
              <w:left w:val="single" w:color="E6005A" w:sz="1"/>
              <w:bottom w:val="single" w:color="E6005A" w:sz="1"/>
              <w:right w:val="single" w:color="E6005A" w:sz="1"/>
            </w:tcBorders>
            <w:shd w:fill="E8E6F5" w:val="clear"/>
            <w:tcMar>
              <w:top w:type="dxa" w:w="200"/>
              <w:left w:type="dxa" w:w="120"/>
              <w:bottom w:type="dxa" w:w="200"/>
              <w:right w:type="dxa" w:w="120"/>
            </w:tcMar>
            <w:vAlign w:val="center"/>
          </w:tcPr>
          <w:p>
            <w:pPr>
              <w:spacing w:after="60" w:before="0"/>
              <w:jc w:val="center"/>
            </w:pPr>
            <w:r>
              <w:rPr>
                <w:rFonts w:ascii="Arial" w:cs="Arial" w:eastAsia="Arial" w:hAnsi="Arial"/>
                <w:b/>
                <w:bCs/>
                <w:color w:val="E6005A"/>
                <w:sz w:val="48"/>
                <w:szCs w:val="48"/>
              </w:rPr>
              <w:t xml:space="preserve">3</w:t>
            </w:r>
          </w:p>
          <w:p>
            <w:pPr>
              <w:spacing w:after="0" w:before="0"/>
              <w:jc w:val="center"/>
            </w:pPr>
            <w:r>
              <w:rPr>
                <w:rFonts w:ascii="Arial" w:cs="Arial" w:eastAsia="Arial" w:hAnsi="Arial"/>
                <w:color w:val="2E4A6B"/>
                <w:sz w:val="18"/>
                <w:szCs w:val="18"/>
              </w:rPr>
              <w:t xml:space="preserve">Webinars
avanzados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28C28" w:sz="1"/>
              <w:left w:val="single" w:color="F28C28" w:sz="1"/>
              <w:bottom w:val="single" w:color="F28C28" w:sz="1"/>
              <w:right w:val="single" w:color="F28C28" w:sz="1"/>
            </w:tcBorders>
            <w:shd w:fill="E8E6F5" w:val="clear"/>
            <w:tcMar>
              <w:top w:type="dxa" w:w="200"/>
              <w:left w:type="dxa" w:w="120"/>
              <w:bottom w:type="dxa" w:w="200"/>
              <w:right w:type="dxa" w:w="120"/>
            </w:tcMar>
            <w:vAlign w:val="center"/>
          </w:tcPr>
          <w:p>
            <w:pPr>
              <w:spacing w:after="60" w:before="0"/>
              <w:jc w:val="center"/>
            </w:pPr>
            <w:r>
              <w:rPr>
                <w:rFonts w:ascii="Arial" w:cs="Arial" w:eastAsia="Arial" w:hAnsi="Arial"/>
                <w:b/>
                <w:bCs/>
                <w:color w:val="F28C28"/>
                <w:sz w:val="48"/>
                <w:szCs w:val="48"/>
              </w:rPr>
              <w:t xml:space="preserve">30,354</w:t>
            </w:r>
          </w:p>
          <w:p>
            <w:pPr>
              <w:spacing w:after="0" w:before="0"/>
              <w:jc w:val="center"/>
            </w:pPr>
            <w:r>
              <w:rPr>
                <w:rFonts w:ascii="Arial" w:cs="Arial" w:eastAsia="Arial" w:hAnsi="Arial"/>
                <w:color w:val="2E4A6B"/>
                <w:sz w:val="18"/>
                <w:szCs w:val="18"/>
              </w:rPr>
              <w:t xml:space="preserve">Vistas
Aula Digital paso a paso</w:t>
            </w:r>
          </w:p>
        </w:tc>
        <w:tc>
          <w:tcPr>
            <w:tcW w:type="dxa" w:w="2340"/>
            <w:tcBorders>
              <w:top w:val="single" w:color="F28C28" w:sz="1"/>
              <w:left w:val="single" w:color="F28C28" w:sz="1"/>
              <w:bottom w:val="single" w:color="F28C28" w:sz="1"/>
              <w:right w:val="single" w:color="F28C28" w:sz="1"/>
            </w:tcBorders>
            <w:shd w:fill="E8E6F5" w:val="clear"/>
            <w:tcMar>
              <w:top w:type="dxa" w:w="200"/>
              <w:left w:type="dxa" w:w="120"/>
              <w:bottom w:type="dxa" w:w="200"/>
              <w:right w:type="dxa" w:w="120"/>
            </w:tcMar>
            <w:vAlign w:val="center"/>
          </w:tcPr>
          <w:p>
            <w:pPr>
              <w:spacing w:after="60" w:before="0"/>
              <w:jc w:val="center"/>
            </w:pPr>
            <w:r>
              <w:rPr>
                <w:rFonts w:ascii="Arial" w:cs="Arial" w:eastAsia="Arial" w:hAnsi="Arial"/>
                <w:b/>
                <w:bCs/>
                <w:color w:val="F28C28"/>
                <w:sz w:val="48"/>
                <w:szCs w:val="48"/>
              </w:rPr>
              <w:t xml:space="preserve">45,740</w:t>
            </w:r>
          </w:p>
          <w:p>
            <w:pPr>
              <w:spacing w:after="0" w:before="0"/>
              <w:jc w:val="center"/>
            </w:pPr>
            <w:r>
              <w:rPr>
                <w:rFonts w:ascii="Arial" w:cs="Arial" w:eastAsia="Arial" w:hAnsi="Arial"/>
                <w:color w:val="2E4A6B"/>
                <w:sz w:val="18"/>
                <w:szCs w:val="18"/>
              </w:rPr>
              <w:t xml:space="preserve">Vistas
Lleva la IA al salón</w:t>
            </w:r>
          </w:p>
        </w:tc>
        <w:tc>
          <w:tcPr>
            <w:tcW w:type="dxa" w:w="2340"/>
            <w:tcBorders>
              <w:top w:val="single" w:color="F28C28" w:sz="1"/>
              <w:left w:val="single" w:color="F28C28" w:sz="1"/>
              <w:bottom w:val="single" w:color="F28C28" w:sz="1"/>
              <w:right w:val="single" w:color="F28C28" w:sz="1"/>
            </w:tcBorders>
            <w:shd w:fill="E8E6F5" w:val="clear"/>
            <w:tcMar>
              <w:top w:type="dxa" w:w="200"/>
              <w:left w:type="dxa" w:w="120"/>
              <w:bottom w:type="dxa" w:w="200"/>
              <w:right w:type="dxa" w:w="120"/>
            </w:tcMar>
            <w:vAlign w:val="center"/>
          </w:tcPr>
          <w:p>
            <w:pPr>
              <w:spacing w:after="60" w:before="0"/>
              <w:jc w:val="center"/>
            </w:pPr>
            <w:r>
              <w:rPr>
                <w:rFonts w:ascii="Arial" w:cs="Arial" w:eastAsia="Arial" w:hAnsi="Arial"/>
                <w:b/>
                <w:bCs/>
                <w:color w:val="F28C28"/>
                <w:sz w:val="48"/>
                <w:szCs w:val="48"/>
              </w:rPr>
              <w:t xml:space="preserve">2,608</w:t>
            </w:r>
          </w:p>
          <w:p>
            <w:pPr>
              <w:spacing w:after="0" w:before="0"/>
              <w:jc w:val="center"/>
            </w:pPr>
            <w:r>
              <w:rPr>
                <w:rFonts w:ascii="Arial" w:cs="Arial" w:eastAsia="Arial" w:hAnsi="Arial"/>
                <w:color w:val="2E4A6B"/>
                <w:sz w:val="18"/>
                <w:szCs w:val="18"/>
              </w:rPr>
              <w:t xml:space="preserve">Vistas
Jalisco Aprende con IA</w:t>
            </w:r>
          </w:p>
        </w:tc>
        <w:tc>
          <w:tcPr>
            <w:tcW w:type="dxa" w:w="2340"/>
            <w:tcBorders>
              <w:top w:val="single" w:color="F28C28" w:sz="1"/>
              <w:left w:val="single" w:color="F28C28" w:sz="1"/>
              <w:bottom w:val="single" w:color="F28C28" w:sz="1"/>
              <w:right w:val="single" w:color="F28C28" w:sz="1"/>
            </w:tcBorders>
            <w:shd w:fill="E8E6F5" w:val="clear"/>
            <w:tcMar>
              <w:top w:type="dxa" w:w="200"/>
              <w:left w:type="dxa" w:w="120"/>
              <w:bottom w:type="dxa" w:w="200"/>
              <w:right w:type="dxa" w:w="120"/>
            </w:tcMar>
            <w:vAlign w:val="center"/>
          </w:tcPr>
          <w:p>
            <w:pPr>
              <w:spacing w:after="60" w:before="0"/>
              <w:jc w:val="center"/>
            </w:pPr>
            <w:r>
              <w:rPr>
                <w:rFonts w:ascii="Arial" w:cs="Arial" w:eastAsia="Arial" w:hAnsi="Arial"/>
                <w:b/>
                <w:bCs/>
                <w:color w:val="F28C28"/>
                <w:sz w:val="48"/>
                <w:szCs w:val="48"/>
              </w:rPr>
              <w:t xml:space="preserve">8,500</w:t>
            </w:r>
          </w:p>
          <w:p>
            <w:pPr>
              <w:spacing w:after="0" w:before="0"/>
              <w:jc w:val="center"/>
            </w:pPr>
            <w:r>
              <w:rPr>
                <w:rFonts w:ascii="Arial" w:cs="Arial" w:eastAsia="Arial" w:hAnsi="Arial"/>
                <w:color w:val="2E4A6B"/>
                <w:sz w:val="18"/>
                <w:szCs w:val="18"/>
              </w:rPr>
              <w:t xml:space="preserve">Vistas
Webinars avanzados</w:t>
            </w:r>
          </w:p>
        </w:tc>
      </w:tr>
    </w:tbl>
    <w:p>
      <w:r>
        <w:br w:type="page"/>
      </w:r>
    </w:p>
    <w:p>
      <w:pPr>
        <w:spacing w:after="80" w:before="120"/>
      </w:pPr>
      <w:r>
        <w:rPr>
          <w:rFonts w:ascii="Arial" w:cs="Arial" w:eastAsia="Arial" w:hAnsi="Arial"/>
          <w:b/>
          <w:bCs/>
          <w:color w:val="F28C28"/>
          <w:sz w:val="22"/>
          <w:szCs w:val="22"/>
        </w:rPr>
        <w:t xml:space="preserve">LÍNEA 3</w:t>
      </w:r>
      <w:r>
        <w:rPr>
          <w:rFonts w:ascii="Arial" w:cs="Arial" w:eastAsia="Arial" w:hAnsi="Arial"/>
          <w:b/>
          <w:bCs/>
          <w:color w:val="666666"/>
          <w:sz w:val="22"/>
          <w:szCs w:val="22"/>
        </w:rPr>
        <w:t xml:space="preserve">   ·   </w:t>
      </w:r>
      <w:r>
        <w:rPr>
          <w:rFonts w:ascii="Arial" w:cs="Arial" w:eastAsia="Arial" w:hAnsi="Arial"/>
          <w:b/>
          <w:bCs/>
          <w:color w:val="E6005A"/>
          <w:sz w:val="26"/>
          <w:szCs w:val="26"/>
        </w:rPr>
        <w:t xml:space="preserve">Cursos autogestivos</w:t>
      </w:r>
    </w:p>
    <w:p>
      <w:pPr>
        <w:spacing w:after="80" w:before="80" w:line="300"/>
        <w:jc w:val="both"/>
      </w:pPr>
      <w:r>
        <w:rPr>
          <w:rFonts w:ascii="Arial" w:cs="Arial" w:eastAsia="Arial" w:hAnsi="Arial"/>
          <w:color w:val="333333"/>
          <w:sz w:val="22"/>
          <w:szCs w:val="22"/>
        </w:rPr>
        <w:t xml:space="preserve">Rutas de formación a demanda, disponibles en YouTube para que cada docente avance a su propio ritmo, respetando el ámbito de la autonomía responsable planteado por el Proyecto Educativo Estatal.</w:t>
      </w:r>
    </w:p>
    <w:p>
      <w:pPr>
        <w:pStyle w:val="ListParagraph"/>
        <w:numPr>
          <w:ilvl w:val="0"/>
          <w:numId w:val="2"/>
        </w:numPr>
        <w:spacing w:after="60" w:before="60" w:line="280"/>
      </w:pPr>
      <w:r>
        <w:rPr>
          <w:rFonts w:ascii="Arial" w:cs="Arial" w:eastAsia="Arial" w:hAnsi="Arial"/>
          <w:b/>
          <w:bCs/>
          <w:color w:val="2E4A6B"/>
          <w:sz w:val="22"/>
          <w:szCs w:val="22"/>
        </w:rPr>
        <w:t xml:space="preserve">Curso autogestivo de Gemini</w:t>
      </w:r>
      <w:r>
        <w:rPr>
          <w:rFonts w:ascii="Arial" w:cs="Arial" w:eastAsia="Arial" w:hAnsi="Arial"/>
          <w:color w:val="333333"/>
          <w:sz w:val="22"/>
          <w:szCs w:val="22"/>
        </w:rPr>
        <w:t xml:space="preserve"> — 5 videos que introducen al uso pedagógico de Gemini en la práctica docente.</w:t>
      </w:r>
    </w:p>
    <w:p>
      <w:pPr>
        <w:pStyle w:val="ListParagraph"/>
        <w:numPr>
          <w:ilvl w:val="0"/>
          <w:numId w:val="2"/>
        </w:numPr>
        <w:spacing w:after="60" w:before="60" w:line="280"/>
      </w:pPr>
      <w:r>
        <w:rPr>
          <w:rFonts w:ascii="Arial" w:cs="Arial" w:eastAsia="Arial" w:hAnsi="Arial"/>
          <w:b/>
          <w:bCs/>
          <w:color w:val="2E4A6B"/>
          <w:sz w:val="22"/>
          <w:szCs w:val="22"/>
        </w:rPr>
        <w:t xml:space="preserve">Curso Intensivo de Google Workspace for Education — rumbo a la Certificación Google Nivel 1</w:t>
      </w:r>
      <w:r>
        <w:rPr>
          <w:rFonts w:ascii="Arial" w:cs="Arial" w:eastAsia="Arial" w:hAnsi="Arial"/>
          <w:color w:val="333333"/>
          <w:sz w:val="22"/>
          <w:szCs w:val="22"/>
        </w:rPr>
        <w:t xml:space="preserve"> — 6 videos que preparan al docente para la certificación internacional.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28C28" w:sz="1"/>
              <w:left w:val="single" w:color="F28C28" w:sz="1"/>
              <w:bottom w:val="single" w:color="F28C28" w:sz="1"/>
              <w:right w:val="single" w:color="F28C28" w:sz="1"/>
            </w:tcBorders>
            <w:shd w:fill="E8E6F5" w:val="clear"/>
            <w:tcMar>
              <w:top w:type="dxa" w:w="200"/>
              <w:left w:type="dxa" w:w="120"/>
              <w:bottom w:type="dxa" w:w="200"/>
              <w:right w:type="dxa" w:w="120"/>
            </w:tcMar>
            <w:vAlign w:val="center"/>
          </w:tcPr>
          <w:p>
            <w:pPr>
              <w:spacing w:after="60" w:before="0"/>
              <w:jc w:val="center"/>
            </w:pPr>
            <w:r>
              <w:rPr>
                <w:rFonts w:ascii="Arial" w:cs="Arial" w:eastAsia="Arial" w:hAnsi="Arial"/>
                <w:b/>
                <w:bCs/>
                <w:color w:val="F28C28"/>
                <w:sz w:val="48"/>
                <w:szCs w:val="48"/>
              </w:rPr>
              <w:t xml:space="preserve">1,762</w:t>
            </w:r>
          </w:p>
          <w:p>
            <w:pPr>
              <w:spacing w:after="0" w:before="0"/>
              <w:jc w:val="center"/>
            </w:pPr>
            <w:r>
              <w:rPr>
                <w:rFonts w:ascii="Arial" w:cs="Arial" w:eastAsia="Arial" w:hAnsi="Arial"/>
                <w:color w:val="2E4A6B"/>
                <w:sz w:val="18"/>
                <w:szCs w:val="18"/>
              </w:rPr>
              <w:t xml:space="preserve">Vistas
Curso Gemini</w:t>
            </w:r>
          </w:p>
        </w:tc>
        <w:tc>
          <w:tcPr>
            <w:tcW w:type="dxa" w:w="2340"/>
            <w:tcBorders>
              <w:top w:val="single" w:color="F28C28" w:sz="1"/>
              <w:left w:val="single" w:color="F28C28" w:sz="1"/>
              <w:bottom w:val="single" w:color="F28C28" w:sz="1"/>
              <w:right w:val="single" w:color="F28C28" w:sz="1"/>
            </w:tcBorders>
            <w:shd w:fill="E8E6F5" w:val="clear"/>
            <w:tcMar>
              <w:top w:type="dxa" w:w="200"/>
              <w:left w:type="dxa" w:w="120"/>
              <w:bottom w:type="dxa" w:w="200"/>
              <w:right w:type="dxa" w:w="120"/>
            </w:tcMar>
            <w:vAlign w:val="center"/>
          </w:tcPr>
          <w:p>
            <w:pPr>
              <w:spacing w:after="60" w:before="0"/>
              <w:jc w:val="center"/>
            </w:pPr>
            <w:r>
              <w:rPr>
                <w:rFonts w:ascii="Arial" w:cs="Arial" w:eastAsia="Arial" w:hAnsi="Arial"/>
                <w:b/>
                <w:bCs/>
                <w:color w:val="F28C28"/>
                <w:sz w:val="48"/>
                <w:szCs w:val="48"/>
              </w:rPr>
              <w:t xml:space="preserve">18,500</w:t>
            </w:r>
          </w:p>
          <w:p>
            <w:pPr>
              <w:spacing w:after="0" w:before="0"/>
              <w:jc w:val="center"/>
            </w:pPr>
            <w:r>
              <w:rPr>
                <w:rFonts w:ascii="Arial" w:cs="Arial" w:eastAsia="Arial" w:hAnsi="Arial"/>
                <w:color w:val="2E4A6B"/>
                <w:sz w:val="18"/>
                <w:szCs w:val="18"/>
              </w:rPr>
              <w:t xml:space="preserve">Vistas
Curso Workspace</w:t>
            </w:r>
          </w:p>
        </w:tc>
        <w:tc>
          <w:tcPr>
            <w:tcW w:type="dxa" w:w="2340"/>
            <w:tcBorders>
              <w:top w:val="single" w:color="E6005A" w:sz="1"/>
              <w:left w:val="single" w:color="E6005A" w:sz="1"/>
              <w:bottom w:val="single" w:color="E6005A" w:sz="1"/>
              <w:right w:val="single" w:color="E6005A" w:sz="1"/>
            </w:tcBorders>
            <w:shd w:fill="E8E6F5" w:val="clear"/>
            <w:tcMar>
              <w:top w:type="dxa" w:w="200"/>
              <w:left w:type="dxa" w:w="120"/>
              <w:bottom w:type="dxa" w:w="200"/>
              <w:right w:type="dxa" w:w="120"/>
            </w:tcMar>
            <w:vAlign w:val="center"/>
          </w:tcPr>
          <w:p>
            <w:pPr>
              <w:spacing w:after="60" w:before="0"/>
              <w:jc w:val="center"/>
            </w:pPr>
            <w:r>
              <w:rPr>
                <w:rFonts w:ascii="Arial" w:cs="Arial" w:eastAsia="Arial" w:hAnsi="Arial"/>
                <w:b/>
                <w:bCs/>
                <w:color w:val="E6005A"/>
                <w:sz w:val="48"/>
                <w:szCs w:val="48"/>
              </w:rPr>
              <w:t xml:space="preserve">250</w:t>
            </w:r>
          </w:p>
          <w:p>
            <w:pPr>
              <w:spacing w:after="0" w:before="0"/>
              <w:jc w:val="center"/>
            </w:pPr>
            <w:r>
              <w:rPr>
                <w:rFonts w:ascii="Arial" w:cs="Arial" w:eastAsia="Arial" w:hAnsi="Arial"/>
                <w:color w:val="2E4A6B"/>
                <w:sz w:val="18"/>
                <w:szCs w:val="18"/>
              </w:rPr>
              <w:t xml:space="preserve">Docentes
simulador aprobado</w:t>
            </w:r>
          </w:p>
        </w:tc>
        <w:tc>
          <w:tcPr>
            <w:tcW w:type="dxa" w:w="2340"/>
            <w:tcBorders>
              <w:top w:val="single" w:color="E6005A" w:sz="1"/>
              <w:left w:val="single" w:color="E6005A" w:sz="1"/>
              <w:bottom w:val="single" w:color="E6005A" w:sz="1"/>
              <w:right w:val="single" w:color="E6005A" w:sz="1"/>
            </w:tcBorders>
            <w:shd w:fill="E8E6F5" w:val="clear"/>
            <w:tcMar>
              <w:top w:type="dxa" w:w="200"/>
              <w:left w:type="dxa" w:w="120"/>
              <w:bottom w:type="dxa" w:w="200"/>
              <w:right w:type="dxa" w:w="120"/>
            </w:tcMar>
            <w:vAlign w:val="center"/>
          </w:tcPr>
          <w:p>
            <w:pPr>
              <w:spacing w:after="60" w:before="0"/>
              <w:jc w:val="center"/>
            </w:pPr>
            <w:r>
              <w:rPr>
                <w:rFonts w:ascii="Arial" w:cs="Arial" w:eastAsia="Arial" w:hAnsi="Arial"/>
                <w:b/>
                <w:bCs/>
                <w:color w:val="E6005A"/>
                <w:sz w:val="48"/>
                <w:szCs w:val="48"/>
              </w:rPr>
              <w:t xml:space="preserve">11</w:t>
            </w:r>
          </w:p>
          <w:p>
            <w:pPr>
              <w:spacing w:after="0" w:before="0"/>
              <w:jc w:val="center"/>
            </w:pPr>
            <w:r>
              <w:rPr>
                <w:rFonts w:ascii="Arial" w:cs="Arial" w:eastAsia="Arial" w:hAnsi="Arial"/>
                <w:color w:val="2E4A6B"/>
                <w:sz w:val="18"/>
                <w:szCs w:val="18"/>
              </w:rPr>
              <w:t xml:space="preserve">Videos
autogestivos totales</w:t>
            </w:r>
          </w:p>
        </w:tc>
      </w:tr>
    </w:tbl>
    <w:p>
      <w:pPr>
        <w:spacing w:after="80" w:before="320"/>
      </w:pPr>
      <w:r>
        <w:rPr>
          <w:rFonts w:ascii="Arial" w:cs="Arial" w:eastAsia="Arial" w:hAnsi="Arial"/>
          <w:b/>
          <w:bCs/>
          <w:color w:val="F28C28"/>
          <w:sz w:val="22"/>
          <w:szCs w:val="22"/>
        </w:rPr>
        <w:t xml:space="preserve">LÍNEA 4</w:t>
      </w:r>
      <w:r>
        <w:rPr>
          <w:rFonts w:ascii="Arial" w:cs="Arial" w:eastAsia="Arial" w:hAnsi="Arial"/>
          <w:b/>
          <w:bCs/>
          <w:color w:val="666666"/>
          <w:sz w:val="22"/>
          <w:szCs w:val="22"/>
        </w:rPr>
        <w:t xml:space="preserve">   ·   </w:t>
      </w:r>
      <w:r>
        <w:rPr>
          <w:rFonts w:ascii="Arial" w:cs="Arial" w:eastAsia="Arial" w:hAnsi="Arial"/>
          <w:b/>
          <w:bCs/>
          <w:color w:val="E6005A"/>
          <w:sz w:val="26"/>
          <w:szCs w:val="26"/>
        </w:rPr>
        <w:t xml:space="preserve">Micro-contenidos — Tips en un click</w:t>
      </w:r>
    </w:p>
    <w:p>
      <w:pPr>
        <w:spacing w:after="80" w:before="80" w:line="300"/>
        <w:jc w:val="both"/>
      </w:pPr>
      <w:r>
        <w:rPr>
          <w:rFonts w:ascii="Arial" w:cs="Arial" w:eastAsia="Arial" w:hAnsi="Arial"/>
          <w:color w:val="333333"/>
          <w:sz w:val="22"/>
          <w:szCs w:val="22"/>
        </w:rPr>
        <w:t xml:space="preserve">Serie de 30 reels con consejos breves y prácticos sobre el uso de la Chromebook y el desarrollo de habilidades digitales, pensados para consumirse en segundos y multiplicarse por redes sociales en la comunidad educativa.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6005A" w:sz="1"/>
              <w:left w:val="single" w:color="E6005A" w:sz="1"/>
              <w:bottom w:val="single" w:color="E6005A" w:sz="1"/>
              <w:right w:val="single" w:color="E6005A" w:sz="1"/>
            </w:tcBorders>
            <w:shd w:fill="E8E6F5" w:val="clear"/>
            <w:tcMar>
              <w:top w:type="dxa" w:w="240"/>
              <w:left w:type="dxa" w:w="160"/>
              <w:bottom w:type="dxa" w:w="240"/>
              <w:right w:type="dxa" w:w="160"/>
            </w:tcMar>
            <w:vAlign w:val="center"/>
          </w:tcPr>
          <w:p>
            <w:pPr>
              <w:spacing w:after="80" w:before="0"/>
              <w:jc w:val="center"/>
            </w:pPr>
            <w:r>
              <w:rPr>
                <w:rFonts w:ascii="Arial" w:cs="Arial" w:eastAsia="Arial" w:hAnsi="Arial"/>
                <w:b/>
                <w:bCs/>
                <w:color w:val="E6005A"/>
                <w:sz w:val="64"/>
                <w:szCs w:val="64"/>
              </w:rPr>
              <w:t xml:space="preserve">30</w:t>
            </w:r>
          </w:p>
          <w:p>
            <w:pPr>
              <w:spacing w:after="0" w:before="0"/>
              <w:jc w:val="center"/>
            </w:pPr>
            <w:r>
              <w:rPr>
                <w:rFonts w:ascii="Arial" w:cs="Arial" w:eastAsia="Arial" w:hAnsi="Arial"/>
                <w:b/>
                <w:bCs/>
                <w:color w:val="2E4A6B"/>
                <w:sz w:val="20"/>
                <w:szCs w:val="20"/>
              </w:rPr>
              <w:t xml:space="preserve">Reels producidos</w:t>
            </w:r>
          </w:p>
        </w:tc>
        <w:tc>
          <w:tcPr>
            <w:tcW w:type="dxa" w:w="4680"/>
            <w:tcBorders>
              <w:top w:val="single" w:color="F28C28" w:sz="1"/>
              <w:left w:val="single" w:color="F28C28" w:sz="1"/>
              <w:bottom w:val="single" w:color="F28C28" w:sz="1"/>
              <w:right w:val="single" w:color="F28C28" w:sz="1"/>
            </w:tcBorders>
            <w:shd w:fill="E8E6F5" w:val="clear"/>
            <w:tcMar>
              <w:top w:type="dxa" w:w="240"/>
              <w:left w:type="dxa" w:w="160"/>
              <w:bottom w:type="dxa" w:w="240"/>
              <w:right w:type="dxa" w:w="160"/>
            </w:tcMar>
            <w:vAlign w:val="center"/>
          </w:tcPr>
          <w:p>
            <w:pPr>
              <w:spacing w:after="80" w:before="0"/>
              <w:jc w:val="center"/>
            </w:pPr>
            <w:r>
              <w:rPr>
                <w:rFonts w:ascii="Arial" w:cs="Arial" w:eastAsia="Arial" w:hAnsi="Arial"/>
                <w:b/>
                <w:bCs/>
                <w:color w:val="F28C28"/>
                <w:sz w:val="64"/>
                <w:szCs w:val="64"/>
              </w:rPr>
              <w:t xml:space="preserve">Nuevo</w:t>
            </w:r>
          </w:p>
          <w:p>
            <w:pPr>
              <w:spacing w:after="0" w:before="0"/>
              <w:jc w:val="center"/>
            </w:pPr>
            <w:r>
              <w:rPr>
                <w:rFonts w:ascii="Arial" w:cs="Arial" w:eastAsia="Arial" w:hAnsi="Arial"/>
                <w:b/>
                <w:bCs/>
                <w:color w:val="2E4A6B"/>
                <w:sz w:val="20"/>
                <w:szCs w:val="20"/>
              </w:rPr>
              <w:t xml:space="preserve">Formato micro de alto alcance</w:t>
            </w:r>
          </w:p>
        </w:tc>
      </w:tr>
    </w:tbl>
    <w:p>
      <w:r>
        <w:br w:type="page"/>
      </w:r>
    </w:p>
    <w:p>
      <w:pPr>
        <w:spacing w:after="80" w:before="120"/>
      </w:pPr>
      <w:r>
        <w:rPr>
          <w:rFonts w:ascii="Arial" w:cs="Arial" w:eastAsia="Arial" w:hAnsi="Arial"/>
          <w:b/>
          <w:bCs/>
          <w:color w:val="F28C28"/>
          <w:sz w:val="22"/>
          <w:szCs w:val="22"/>
        </w:rPr>
        <w:t xml:space="preserve">LÍNEA 5</w:t>
      </w:r>
      <w:r>
        <w:rPr>
          <w:rFonts w:ascii="Arial" w:cs="Arial" w:eastAsia="Arial" w:hAnsi="Arial"/>
          <w:b/>
          <w:bCs/>
          <w:color w:val="666666"/>
          <w:sz w:val="22"/>
          <w:szCs w:val="22"/>
        </w:rPr>
        <w:t xml:space="preserve">   ·   </w:t>
      </w:r>
      <w:r>
        <w:rPr>
          <w:rFonts w:ascii="Arial" w:cs="Arial" w:eastAsia="Arial" w:hAnsi="Arial"/>
          <w:b/>
          <w:bCs/>
          <w:color w:val="E6005A"/>
          <w:sz w:val="26"/>
          <w:szCs w:val="26"/>
        </w:rPr>
        <w:t xml:space="preserve">Capacitación presencial</w:t>
      </w:r>
    </w:p>
    <w:p>
      <w:pPr>
        <w:spacing w:after="80" w:before="80" w:line="300"/>
        <w:jc w:val="both"/>
      </w:pPr>
      <w:r>
        <w:rPr>
          <w:rFonts w:ascii="Arial" w:cs="Arial" w:eastAsia="Arial" w:hAnsi="Arial"/>
          <w:color w:val="333333"/>
          <w:sz w:val="22"/>
          <w:szCs w:val="22"/>
        </w:rPr>
        <w:t xml:space="preserve">El componente presencial fue el corazón de la estrategia: permitió el contacto directo con la comunidad educativa, la práctica guiada y la construcción de aprendizajes situados, como lo plantea la Gestión de la práctica educativa del Proyecto Educativo Estatal.</w:t>
      </w:r>
    </w:p>
    <w:p>
      <w:pPr>
        <w:spacing w:after="120" w:before="240"/>
      </w:pPr>
      <w:r>
        <w:rPr>
          <w:rFonts w:ascii="Arial" w:cs="Arial" w:eastAsia="Arial" w:hAnsi="Arial"/>
          <w:b/>
          <w:bCs/>
          <w:color w:val="2E4A6B"/>
          <w:sz w:val="26"/>
          <w:szCs w:val="26"/>
        </w:rPr>
        <w:t xml:space="preserve">En las instalaciones de Alfa Digital</w:t>
      </w:r>
    </w:p>
    <w:p>
      <w:pPr>
        <w:spacing w:after="80" w:before="80" w:line="300"/>
        <w:jc w:val="both"/>
      </w:pPr>
      <w:r>
        <w:rPr>
          <w:rFonts w:ascii="Arial" w:cs="Arial" w:eastAsia="Arial" w:hAnsi="Arial"/>
          <w:color w:val="333333"/>
          <w:sz w:val="22"/>
          <w:szCs w:val="22"/>
        </w:rPr>
        <w:t xml:space="preserve">Capacitaciones intensivas dirigidas a docentes de todos los niveles educativos, con atención especial a la formación en IA con Gemini y en herramientas de Google Workspace for Education.</w:t>
      </w:r>
    </w:p>
    <w:p>
      <w:pPr>
        <w:spacing w:after="120" w:before="240"/>
      </w:pPr>
      <w:r>
        <w:rPr>
          <w:rFonts w:ascii="Arial" w:cs="Arial" w:eastAsia="Arial" w:hAnsi="Arial"/>
          <w:b/>
          <w:bCs/>
          <w:color w:val="2E4A6B"/>
          <w:sz w:val="26"/>
          <w:szCs w:val="26"/>
        </w:rPr>
        <w:t xml:space="preserve">En las escuelas — capacitación in situ</w:t>
      </w:r>
    </w:p>
    <w:p>
      <w:pPr>
        <w:spacing w:after="80" w:before="80" w:line="300"/>
        <w:jc w:val="both"/>
      </w:pPr>
      <w:r>
        <w:rPr>
          <w:rFonts w:ascii="Arial" w:cs="Arial" w:eastAsia="Arial" w:hAnsi="Arial"/>
          <w:color w:val="333333"/>
          <w:sz w:val="22"/>
          <w:szCs w:val="22"/>
        </w:rPr>
        <w:t xml:space="preserve">Visitas directas a planteles, donde el equipo de Alfa Digital acompañó a los colectivos docentes en su contexto real de trabajo. En varias jornadas se atendieron a escuelas agrupadas.</w:t>
      </w:r>
    </w:p>
    <w:p>
      <w:pPr>
        <w:pStyle w:val="ListParagraph"/>
        <w:numPr>
          <w:ilvl w:val="0"/>
          <w:numId w:val="2"/>
        </w:numPr>
        <w:spacing w:after="60" w:before="60" w:line="280"/>
      </w:pPr>
      <w:r>
        <w:rPr>
          <w:rFonts w:ascii="Arial" w:cs="Arial" w:eastAsia="Arial" w:hAnsi="Arial"/>
          <w:color w:val="333333"/>
          <w:sz w:val="22"/>
          <w:szCs w:val="22"/>
        </w:rPr>
        <w:t xml:space="preserve">Escuelas Secundarias de diversas regiones del estado.</w:t>
      </w:r>
    </w:p>
    <w:p>
      <w:pPr>
        <w:pStyle w:val="ListParagraph"/>
        <w:numPr>
          <w:ilvl w:val="0"/>
          <w:numId w:val="2"/>
        </w:numPr>
        <w:spacing w:after="60" w:before="60" w:line="280"/>
      </w:pPr>
      <w:r>
        <w:rPr>
          <w:rFonts w:ascii="Arial" w:cs="Arial" w:eastAsia="Arial" w:hAnsi="Arial"/>
          <w:color w:val="333333"/>
          <w:sz w:val="22"/>
          <w:szCs w:val="22"/>
        </w:rPr>
        <w:t xml:space="preserve">Escuelas Normales: Ciudad Guzmán, Arandas y la Normal Superior de Guadalajara.</w:t>
      </w:r>
    </w:p>
    <w:p>
      <w:pPr>
        <w:pStyle w:val="ListParagraph"/>
        <w:numPr>
          <w:ilvl w:val="0"/>
          <w:numId w:val="2"/>
        </w:numPr>
        <w:spacing w:after="60" w:before="60" w:line="280"/>
      </w:pPr>
      <w:r>
        <w:rPr>
          <w:rFonts w:ascii="Arial" w:cs="Arial" w:eastAsia="Arial" w:hAnsi="Arial"/>
          <w:color w:val="333333"/>
          <w:sz w:val="22"/>
          <w:szCs w:val="22"/>
        </w:rPr>
        <w:t xml:space="preserve">OPD (Organismos Públicos Descentralizados).</w:t>
      </w:r>
    </w:p>
    <w:p>
      <w:pPr>
        <w:pStyle w:val="ListParagraph"/>
        <w:numPr>
          <w:ilvl w:val="0"/>
          <w:numId w:val="2"/>
        </w:numPr>
        <w:spacing w:after="60" w:before="60" w:line="280"/>
      </w:pPr>
      <w:r>
        <w:rPr>
          <w:rFonts w:ascii="Arial" w:cs="Arial" w:eastAsia="Arial" w:hAnsi="Arial"/>
          <w:color w:val="333333"/>
          <w:sz w:val="22"/>
          <w:szCs w:val="22"/>
        </w:rPr>
        <w:t xml:space="preserve">Conalep Guadalajara.</w:t>
      </w:r>
    </w:p>
    <w:p>
      <w:pPr>
        <w:spacing w:after="120" w:before="240"/>
      </w:pPr>
      <w:r>
        <w:rPr>
          <w:rFonts w:ascii="Arial" w:cs="Arial" w:eastAsia="Arial" w:hAnsi="Arial"/>
          <w:b/>
          <w:bCs/>
          <w:color w:val="2E4A6B"/>
          <w:sz w:val="26"/>
          <w:szCs w:val="26"/>
        </w:rPr>
        <w:t xml:space="preserve">En los municipios</w:t>
      </w:r>
    </w:p>
    <w:p>
      <w:pPr>
        <w:spacing w:after="80" w:before="80" w:line="300"/>
        <w:jc w:val="both"/>
      </w:pPr>
      <w:r>
        <w:rPr>
          <w:rFonts w:ascii="Arial" w:cs="Arial" w:eastAsia="Arial" w:hAnsi="Arial"/>
          <w:color w:val="333333"/>
          <w:sz w:val="22"/>
          <w:szCs w:val="22"/>
        </w:rPr>
        <w:t xml:space="preserve">Participación en actividades y programas de formación organizados por gobiernos municipales:</w:t>
      </w:r>
    </w:p>
    <w:p>
      <w:pPr>
        <w:pStyle w:val="ListParagraph"/>
        <w:numPr>
          <w:ilvl w:val="0"/>
          <w:numId w:val="2"/>
        </w:numPr>
        <w:spacing w:after="60" w:before="60" w:line="280"/>
      </w:pPr>
      <w:r>
        <w:rPr>
          <w:rFonts w:ascii="Arial" w:cs="Arial" w:eastAsia="Arial" w:hAnsi="Arial"/>
          <w:color w:val="333333"/>
          <w:sz w:val="22"/>
          <w:szCs w:val="22"/>
        </w:rPr>
        <w:t xml:space="preserve">Ciudad Guzmán · Atotonilco · Ayutlán · Ocotlán.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28C28" w:sz="1"/>
              <w:left w:val="single" w:color="F28C28" w:sz="1"/>
              <w:bottom w:val="single" w:color="F28C28" w:sz="1"/>
              <w:right w:val="single" w:color="F28C28" w:sz="1"/>
            </w:tcBorders>
            <w:shd w:fill="E8E6F5" w:val="clear"/>
            <w:tcMar>
              <w:top w:type="dxa" w:w="200"/>
              <w:left w:type="dxa" w:w="120"/>
              <w:bottom w:type="dxa" w:w="200"/>
              <w:right w:type="dxa" w:w="120"/>
            </w:tcMar>
            <w:vAlign w:val="center"/>
          </w:tcPr>
          <w:p>
            <w:pPr>
              <w:spacing w:after="60" w:before="0"/>
              <w:jc w:val="center"/>
            </w:pPr>
            <w:r>
              <w:rPr>
                <w:rFonts w:ascii="Arial" w:cs="Arial" w:eastAsia="Arial" w:hAnsi="Arial"/>
                <w:b/>
                <w:bCs/>
                <w:color w:val="F28C28"/>
                <w:sz w:val="48"/>
                <w:szCs w:val="48"/>
              </w:rPr>
              <w:t xml:space="preserve">6,749</w:t>
            </w:r>
          </w:p>
          <w:p>
            <w:pPr>
              <w:spacing w:after="0" w:before="0"/>
              <w:jc w:val="center"/>
            </w:pPr>
            <w:r>
              <w:rPr>
                <w:rFonts w:ascii="Arial" w:cs="Arial" w:eastAsia="Arial" w:hAnsi="Arial"/>
                <w:color w:val="2E4A6B"/>
                <w:sz w:val="18"/>
                <w:szCs w:val="18"/>
              </w:rPr>
              <w:t xml:space="preserve">Docentes capacitados
en Alfa Digital</w:t>
            </w:r>
          </w:p>
        </w:tc>
        <w:tc>
          <w:tcPr>
            <w:tcW w:type="dxa" w:w="2340"/>
            <w:tcBorders>
              <w:top w:val="single" w:color="E6005A" w:sz="1"/>
              <w:left w:val="single" w:color="E6005A" w:sz="1"/>
              <w:bottom w:val="single" w:color="E6005A" w:sz="1"/>
              <w:right w:val="single" w:color="E6005A" w:sz="1"/>
            </w:tcBorders>
            <w:shd w:fill="E8E6F5" w:val="clear"/>
            <w:tcMar>
              <w:top w:type="dxa" w:w="200"/>
              <w:left w:type="dxa" w:w="120"/>
              <w:bottom w:type="dxa" w:w="200"/>
              <w:right w:type="dxa" w:w="120"/>
            </w:tcMar>
            <w:vAlign w:val="center"/>
          </w:tcPr>
          <w:p>
            <w:pPr>
              <w:spacing w:after="60" w:before="0"/>
              <w:jc w:val="center"/>
            </w:pPr>
            <w:r>
              <w:rPr>
                <w:rFonts w:ascii="Arial" w:cs="Arial" w:eastAsia="Arial" w:hAnsi="Arial"/>
                <w:b/>
                <w:bCs/>
                <w:color w:val="E6005A"/>
                <w:sz w:val="48"/>
                <w:szCs w:val="48"/>
              </w:rPr>
              <w:t xml:space="preserve">32</w:t>
            </w:r>
          </w:p>
          <w:p>
            <w:pPr>
              <w:spacing w:after="0" w:before="0"/>
              <w:jc w:val="center"/>
            </w:pPr>
            <w:r>
              <w:rPr>
                <w:rFonts w:ascii="Arial" w:cs="Arial" w:eastAsia="Arial" w:hAnsi="Arial"/>
                <w:color w:val="2E4A6B"/>
                <w:sz w:val="18"/>
                <w:szCs w:val="18"/>
              </w:rPr>
              <w:t xml:space="preserve">Visitas a
planteles</w:t>
            </w:r>
          </w:p>
        </w:tc>
        <w:tc>
          <w:tcPr>
            <w:tcW w:type="dxa" w:w="2340"/>
            <w:tcBorders>
              <w:top w:val="single" w:color="E6005A" w:sz="1"/>
              <w:left w:val="single" w:color="E6005A" w:sz="1"/>
              <w:bottom w:val="single" w:color="E6005A" w:sz="1"/>
              <w:right w:val="single" w:color="E6005A" w:sz="1"/>
            </w:tcBorders>
            <w:shd w:fill="E8E6F5" w:val="clear"/>
            <w:tcMar>
              <w:top w:type="dxa" w:w="200"/>
              <w:left w:type="dxa" w:w="120"/>
              <w:bottom w:type="dxa" w:w="200"/>
              <w:right w:type="dxa" w:w="120"/>
            </w:tcMar>
            <w:vAlign w:val="center"/>
          </w:tcPr>
          <w:p>
            <w:pPr>
              <w:spacing w:after="60" w:before="0"/>
              <w:jc w:val="center"/>
            </w:pPr>
            <w:r>
              <w:rPr>
                <w:rFonts w:ascii="Arial" w:cs="Arial" w:eastAsia="Arial" w:hAnsi="Arial"/>
                <w:b/>
                <w:bCs/>
                <w:color w:val="E6005A"/>
                <w:sz w:val="48"/>
                <w:szCs w:val="48"/>
              </w:rPr>
              <w:t xml:space="preserve">4</w:t>
            </w:r>
          </w:p>
          <w:p>
            <w:pPr>
              <w:spacing w:after="0" w:before="0"/>
              <w:jc w:val="center"/>
            </w:pPr>
            <w:r>
              <w:rPr>
                <w:rFonts w:ascii="Arial" w:cs="Arial" w:eastAsia="Arial" w:hAnsi="Arial"/>
                <w:color w:val="2E4A6B"/>
                <w:sz w:val="18"/>
                <w:szCs w:val="18"/>
              </w:rPr>
              <w:t xml:space="preserve">Municipios
atendidos</w:t>
            </w:r>
          </w:p>
        </w:tc>
        <w:tc>
          <w:tcPr>
            <w:tcW w:type="dxa" w:w="2340"/>
            <w:tcBorders>
              <w:top w:val="single" w:color="E6005A" w:sz="1"/>
              <w:left w:val="single" w:color="E6005A" w:sz="1"/>
              <w:bottom w:val="single" w:color="E6005A" w:sz="1"/>
              <w:right w:val="single" w:color="E6005A" w:sz="1"/>
            </w:tcBorders>
            <w:shd w:fill="E8E6F5" w:val="clear"/>
            <w:tcMar>
              <w:top w:type="dxa" w:w="200"/>
              <w:left w:type="dxa" w:w="120"/>
              <w:bottom w:type="dxa" w:w="200"/>
              <w:right w:type="dxa" w:w="120"/>
            </w:tcMar>
            <w:vAlign w:val="center"/>
          </w:tcPr>
          <w:p>
            <w:pPr>
              <w:spacing w:after="60" w:before="0"/>
              <w:jc w:val="center"/>
            </w:pPr>
            <w:r>
              <w:rPr>
                <w:rFonts w:ascii="Arial" w:cs="Arial" w:eastAsia="Arial" w:hAnsi="Arial"/>
                <w:b/>
                <w:bCs/>
                <w:color w:val="E6005A"/>
                <w:sz w:val="48"/>
                <w:szCs w:val="48"/>
              </w:rPr>
              <w:t xml:space="preserve">Todos</w:t>
            </w:r>
          </w:p>
          <w:p>
            <w:pPr>
              <w:spacing w:after="0" w:before="0"/>
              <w:jc w:val="center"/>
            </w:pPr>
            <w:r>
              <w:rPr>
                <w:rFonts w:ascii="Arial" w:cs="Arial" w:eastAsia="Arial" w:hAnsi="Arial"/>
                <w:color w:val="2E4A6B"/>
                <w:sz w:val="18"/>
                <w:szCs w:val="18"/>
              </w:rPr>
              <w:t xml:space="preserve">Niveles educativos
atendidos</w:t>
            </w:r>
          </w:p>
        </w:tc>
      </w:tr>
    </w:tbl>
    <w:p>
      <w:r>
        <w:br w:type="page"/>
      </w:r>
    </w:p>
    <w:p>
      <w:pPr>
        <w:spacing w:after="80" w:before="120"/>
      </w:pPr>
      <w:r>
        <w:rPr>
          <w:rFonts w:ascii="Arial" w:cs="Arial" w:eastAsia="Arial" w:hAnsi="Arial"/>
          <w:b/>
          <w:bCs/>
          <w:color w:val="F28C28"/>
          <w:sz w:val="22"/>
          <w:szCs w:val="22"/>
        </w:rPr>
        <w:t xml:space="preserve">LÍNEA 6</w:t>
      </w:r>
      <w:r>
        <w:rPr>
          <w:rFonts w:ascii="Arial" w:cs="Arial" w:eastAsia="Arial" w:hAnsi="Arial"/>
          <w:b/>
          <w:bCs/>
          <w:color w:val="666666"/>
          <w:sz w:val="22"/>
          <w:szCs w:val="22"/>
        </w:rPr>
        <w:t xml:space="preserve">   ·   </w:t>
      </w:r>
      <w:r>
        <w:rPr>
          <w:rFonts w:ascii="Arial" w:cs="Arial" w:eastAsia="Arial" w:hAnsi="Arial"/>
          <w:b/>
          <w:bCs/>
          <w:color w:val="E6005A"/>
          <w:sz w:val="26"/>
          <w:szCs w:val="26"/>
        </w:rPr>
        <w:t xml:space="preserve">Participación en eventos magnos</w:t>
      </w:r>
    </w:p>
    <w:p>
      <w:pPr>
        <w:spacing w:after="80" w:before="80" w:line="300"/>
        <w:jc w:val="both"/>
      </w:pPr>
      <w:r>
        <w:rPr>
          <w:rFonts w:ascii="Arial" w:cs="Arial" w:eastAsia="Arial" w:hAnsi="Arial"/>
          <w:color w:val="333333"/>
          <w:sz w:val="22"/>
          <w:szCs w:val="22"/>
        </w:rPr>
        <w:t xml:space="preserve">La estrategia conectó con la comunidad educativa en los grandes escenarios estatales y con ecosistemas de innovación de nivel nacional e internacional.</w:t>
      </w:r>
    </w:p>
    <w:p>
      <w:pPr>
        <w:pStyle w:val="ListParagraph"/>
        <w:numPr>
          <w:ilvl w:val="0"/>
          <w:numId w:val="2"/>
        </w:numPr>
        <w:spacing w:after="60" w:before="60" w:line="280"/>
      </w:pPr>
      <w:r>
        <w:rPr>
          <w:rFonts w:ascii="Arial" w:cs="Arial" w:eastAsia="Arial" w:hAnsi="Arial"/>
          <w:b/>
          <w:bCs/>
          <w:color w:val="2E4A6B"/>
          <w:sz w:val="22"/>
          <w:szCs w:val="22"/>
        </w:rPr>
        <w:t xml:space="preserve">Gemini Academy</w:t>
      </w:r>
      <w:r>
        <w:rPr>
          <w:rFonts w:ascii="Arial" w:cs="Arial" w:eastAsia="Arial" w:hAnsi="Arial"/>
          <w:color w:val="333333"/>
          <w:sz w:val="22"/>
          <w:szCs w:val="22"/>
        </w:rPr>
        <w:t xml:space="preserve"> — Evento híbrido realizado presencialmente en ITESO con transmisión virtual sincrónica simultánea. Participación de 1,792 docentes.</w:t>
      </w:r>
    </w:p>
    <w:p>
      <w:pPr>
        <w:pStyle w:val="ListParagraph"/>
        <w:numPr>
          <w:ilvl w:val="0"/>
          <w:numId w:val="2"/>
        </w:numPr>
        <w:spacing w:after="60" w:before="60" w:line="280"/>
      </w:pPr>
      <w:r>
        <w:rPr>
          <w:rFonts w:ascii="Arial" w:cs="Arial" w:eastAsia="Arial" w:hAnsi="Arial"/>
          <w:b/>
          <w:bCs/>
          <w:color w:val="2E4A6B"/>
          <w:sz w:val="22"/>
          <w:szCs w:val="22"/>
        </w:rPr>
        <w:t xml:space="preserve">Curso de Verano en Gemini</w:t>
      </w:r>
      <w:r>
        <w:rPr>
          <w:rFonts w:ascii="Arial" w:cs="Arial" w:eastAsia="Arial" w:hAnsi="Arial"/>
          <w:color w:val="333333"/>
          <w:sz w:val="22"/>
          <w:szCs w:val="22"/>
        </w:rPr>
        <w:t xml:space="preserve"> — 500 docentes capacitados de manera intensiva en las instalaciones de Alfa Digital durante el periodo vacacional.</w:t>
      </w:r>
    </w:p>
    <w:p>
      <w:pPr>
        <w:pStyle w:val="ListParagraph"/>
        <w:numPr>
          <w:ilvl w:val="0"/>
          <w:numId w:val="2"/>
        </w:numPr>
        <w:spacing w:after="60" w:before="60" w:line="280"/>
      </w:pPr>
      <w:r>
        <w:rPr>
          <w:rFonts w:ascii="Arial" w:cs="Arial" w:eastAsia="Arial" w:hAnsi="Arial"/>
          <w:b/>
          <w:bCs/>
          <w:color w:val="2E4A6B"/>
          <w:sz w:val="22"/>
          <w:szCs w:val="22"/>
        </w:rPr>
        <w:t xml:space="preserve">Jalisco Aprende Festival Educativo 2025</w:t>
      </w:r>
      <w:r>
        <w:rPr>
          <w:rFonts w:ascii="Arial" w:cs="Arial" w:eastAsia="Arial" w:hAnsi="Arial"/>
          <w:color w:val="333333"/>
          <w:sz w:val="22"/>
          <w:szCs w:val="22"/>
        </w:rPr>
        <w:t xml:space="preserve"> — Participación con charla sobre la serie animada El día que casi, ciudadanía digital y uso ético de la Inteligencia Artificial.</w:t>
      </w:r>
    </w:p>
    <w:p>
      <w:pPr>
        <w:pStyle w:val="ListParagraph"/>
        <w:numPr>
          <w:ilvl w:val="0"/>
          <w:numId w:val="2"/>
        </w:numPr>
        <w:spacing w:after="60" w:before="60" w:line="280"/>
      </w:pPr>
      <w:r>
        <w:rPr>
          <w:rFonts w:ascii="Arial" w:cs="Arial" w:eastAsia="Arial" w:hAnsi="Arial"/>
          <w:b/>
          <w:bCs/>
          <w:color w:val="2E4A6B"/>
          <w:sz w:val="22"/>
          <w:szCs w:val="22"/>
        </w:rPr>
        <w:t xml:space="preserve">Jalisco Academy 2025</w:t>
      </w:r>
      <w:r>
        <w:rPr>
          <w:rFonts w:ascii="Arial" w:cs="Arial" w:eastAsia="Arial" w:hAnsi="Arial"/>
          <w:color w:val="333333"/>
          <w:sz w:val="22"/>
          <w:szCs w:val="22"/>
        </w:rPr>
        <w:t xml:space="preserve"> — Participación en el Escenario de IA con una ponencia que conectó en vivo a más de 7,000 docentes, más talleres sobre IA, Gemini y NotebookLM.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28C28" w:sz="1"/>
              <w:left w:val="single" w:color="F28C28" w:sz="1"/>
              <w:bottom w:val="single" w:color="F28C28" w:sz="1"/>
              <w:right w:val="single" w:color="F28C28" w:sz="1"/>
            </w:tcBorders>
            <w:shd w:fill="E8E6F5" w:val="clear"/>
            <w:tcMar>
              <w:top w:type="dxa" w:w="200"/>
              <w:left w:type="dxa" w:w="120"/>
              <w:bottom w:type="dxa" w:w="200"/>
              <w:right w:type="dxa" w:w="120"/>
            </w:tcMar>
            <w:vAlign w:val="center"/>
          </w:tcPr>
          <w:p>
            <w:pPr>
              <w:spacing w:after="60" w:before="0"/>
              <w:jc w:val="center"/>
            </w:pPr>
            <w:r>
              <w:rPr>
                <w:rFonts w:ascii="Arial" w:cs="Arial" w:eastAsia="Arial" w:hAnsi="Arial"/>
                <w:b/>
                <w:bCs/>
                <w:color w:val="F28C28"/>
                <w:sz w:val="48"/>
                <w:szCs w:val="48"/>
              </w:rPr>
              <w:t xml:space="preserve">1,792</w:t>
            </w:r>
          </w:p>
          <w:p>
            <w:pPr>
              <w:spacing w:after="0" w:before="0"/>
              <w:jc w:val="center"/>
            </w:pPr>
            <w:r>
              <w:rPr>
                <w:rFonts w:ascii="Arial" w:cs="Arial" w:eastAsia="Arial" w:hAnsi="Arial"/>
                <w:color w:val="2E4A6B"/>
                <w:sz w:val="18"/>
                <w:szCs w:val="18"/>
              </w:rPr>
              <w:t xml:space="preserve">Gemini Academy</w:t>
            </w:r>
          </w:p>
        </w:tc>
        <w:tc>
          <w:tcPr>
            <w:tcW w:type="dxa" w:w="2340"/>
            <w:tcBorders>
              <w:top w:val="single" w:color="F28C28" w:sz="1"/>
              <w:left w:val="single" w:color="F28C28" w:sz="1"/>
              <w:bottom w:val="single" w:color="F28C28" w:sz="1"/>
              <w:right w:val="single" w:color="F28C28" w:sz="1"/>
            </w:tcBorders>
            <w:shd w:fill="E8E6F5" w:val="clear"/>
            <w:tcMar>
              <w:top w:type="dxa" w:w="200"/>
              <w:left w:type="dxa" w:w="120"/>
              <w:bottom w:type="dxa" w:w="200"/>
              <w:right w:type="dxa" w:w="120"/>
            </w:tcMar>
            <w:vAlign w:val="center"/>
          </w:tcPr>
          <w:p>
            <w:pPr>
              <w:spacing w:after="60" w:before="0"/>
              <w:jc w:val="center"/>
            </w:pPr>
            <w:r>
              <w:rPr>
                <w:rFonts w:ascii="Arial" w:cs="Arial" w:eastAsia="Arial" w:hAnsi="Arial"/>
                <w:b/>
                <w:bCs/>
                <w:color w:val="F28C28"/>
                <w:sz w:val="48"/>
                <w:szCs w:val="48"/>
              </w:rPr>
              <w:t xml:space="preserve">500</w:t>
            </w:r>
          </w:p>
          <w:p>
            <w:pPr>
              <w:spacing w:after="0" w:before="0"/>
              <w:jc w:val="center"/>
            </w:pPr>
            <w:r>
              <w:rPr>
                <w:rFonts w:ascii="Arial" w:cs="Arial" w:eastAsia="Arial" w:hAnsi="Arial"/>
                <w:color w:val="2E4A6B"/>
                <w:sz w:val="18"/>
                <w:szCs w:val="18"/>
              </w:rPr>
              <w:t xml:space="preserve">Curso de Verano
Gemini</w:t>
            </w:r>
          </w:p>
        </w:tc>
        <w:tc>
          <w:tcPr>
            <w:tcW w:type="dxa" w:w="2340"/>
            <w:tcBorders>
              <w:top w:val="single" w:color="E6005A" w:sz="1"/>
              <w:left w:val="single" w:color="E6005A" w:sz="1"/>
              <w:bottom w:val="single" w:color="E6005A" w:sz="1"/>
              <w:right w:val="single" w:color="E6005A" w:sz="1"/>
            </w:tcBorders>
            <w:shd w:fill="E8E6F5" w:val="clear"/>
            <w:tcMar>
              <w:top w:type="dxa" w:w="200"/>
              <w:left w:type="dxa" w:w="120"/>
              <w:bottom w:type="dxa" w:w="200"/>
              <w:right w:type="dxa" w:w="120"/>
            </w:tcMar>
            <w:vAlign w:val="center"/>
          </w:tcPr>
          <w:p>
            <w:pPr>
              <w:spacing w:after="60" w:before="0"/>
              <w:jc w:val="center"/>
            </w:pPr>
            <w:r>
              <w:rPr>
                <w:rFonts w:ascii="Arial" w:cs="Arial" w:eastAsia="Arial" w:hAnsi="Arial"/>
                <w:b/>
                <w:bCs/>
                <w:color w:val="E6005A"/>
                <w:sz w:val="48"/>
                <w:szCs w:val="48"/>
              </w:rPr>
              <w:t xml:space="preserve">+7,000</w:t>
            </w:r>
          </w:p>
          <w:p>
            <w:pPr>
              <w:spacing w:after="0" w:before="0"/>
              <w:jc w:val="center"/>
            </w:pPr>
            <w:r>
              <w:rPr>
                <w:rFonts w:ascii="Arial" w:cs="Arial" w:eastAsia="Arial" w:hAnsi="Arial"/>
                <w:color w:val="2E4A6B"/>
                <w:sz w:val="18"/>
                <w:szCs w:val="18"/>
              </w:rPr>
              <w:t xml:space="preserve">Jalisco Academy 2025
en vivo</w:t>
            </w:r>
          </w:p>
        </w:tc>
        <w:tc>
          <w:tcPr>
            <w:tcW w:type="dxa" w:w="2340"/>
            <w:tcBorders>
              <w:top w:val="single" w:color="E6005A" w:sz="1"/>
              <w:left w:val="single" w:color="E6005A" w:sz="1"/>
              <w:bottom w:val="single" w:color="E6005A" w:sz="1"/>
              <w:right w:val="single" w:color="E6005A" w:sz="1"/>
            </w:tcBorders>
            <w:shd w:fill="E8E6F5" w:val="clear"/>
            <w:tcMar>
              <w:top w:type="dxa" w:w="200"/>
              <w:left w:type="dxa" w:w="120"/>
              <w:bottom w:type="dxa" w:w="200"/>
              <w:right w:type="dxa" w:w="120"/>
            </w:tcMar>
            <w:vAlign w:val="center"/>
          </w:tcPr>
          <w:p>
            <w:pPr>
              <w:spacing w:after="60" w:before="0"/>
              <w:jc w:val="center"/>
            </w:pPr>
            <w:r>
              <w:rPr>
                <w:rFonts w:ascii="Arial" w:cs="Arial" w:eastAsia="Arial" w:hAnsi="Arial"/>
                <w:b/>
                <w:bCs/>
                <w:color w:val="E6005A"/>
                <w:sz w:val="48"/>
                <w:szCs w:val="48"/>
              </w:rPr>
              <w:t xml:space="preserve">4</w:t>
            </w:r>
          </w:p>
          <w:p>
            <w:pPr>
              <w:spacing w:after="0" w:before="0"/>
              <w:jc w:val="center"/>
            </w:pPr>
            <w:r>
              <w:rPr>
                <w:rFonts w:ascii="Arial" w:cs="Arial" w:eastAsia="Arial" w:hAnsi="Arial"/>
                <w:color w:val="2E4A6B"/>
                <w:sz w:val="18"/>
                <w:szCs w:val="18"/>
              </w:rPr>
              <w:t xml:space="preserve">Eventos
magnos</w:t>
            </w:r>
          </w:p>
        </w:tc>
      </w:tr>
    </w:tbl>
    <w:p>
      <w:r>
        <w:br w:type="page"/>
      </w:r>
    </w:p>
    <w:p>
      <w:pPr>
        <w:pBdr>
          <w:left w:val="single" w:color="E6005A" w:sz="24" w:space="12"/>
        </w:pBdr>
        <w:spacing w:after="120" w:before="360"/>
      </w:pPr>
      <w:r>
        <w:rPr>
          <w:rFonts w:ascii="Arial" w:cs="Arial" w:eastAsia="Arial" w:hAnsi="Arial"/>
          <w:b/>
          <w:bCs/>
          <w:color w:val="F28C28"/>
          <w:sz w:val="28"/>
          <w:szCs w:val="28"/>
        </w:rPr>
        <w:t xml:space="preserve">05</w:t>
      </w:r>
      <w:r>
        <w:rPr>
          <w:rFonts w:ascii="Arial" w:cs="Arial" w:eastAsia="Arial" w:hAnsi="Arial"/>
          <w:b/>
          <w:bCs/>
          <w:color w:val="E6005A"/>
          <w:sz w:val="32"/>
          <w:szCs w:val="32"/>
        </w:rPr>
        <w:t xml:space="preserve">  Resultados e impacto agregado</w:t>
      </w:r>
    </w:p>
    <w:p>
      <w:pPr>
        <w:spacing w:after="120" w:before="240"/>
      </w:pPr>
      <w:r>
        <w:rPr>
          <w:rFonts w:ascii="Arial" w:cs="Arial" w:eastAsia="Arial" w:hAnsi="Arial"/>
          <w:b/>
          <w:bCs/>
          <w:color w:val="2E4A6B"/>
          <w:sz w:val="26"/>
          <w:szCs w:val="26"/>
        </w:rPr>
        <w:t xml:space="preserve">Conectar para co-crear</w:t>
      </w:r>
    </w:p>
    <w:p>
      <w:pPr>
        <w:spacing w:after="80" w:before="80" w:line="300"/>
        <w:jc w:val="both"/>
      </w:pPr>
      <w:r>
        <w:rPr>
          <w:rFonts w:ascii="Arial" w:cs="Arial" w:eastAsia="Arial" w:hAnsi="Arial"/>
          <w:color w:val="333333"/>
          <w:sz w:val="22"/>
          <w:szCs w:val="22"/>
        </w:rPr>
        <w:t xml:space="preserve">Los resultados consolidados de las seis líneas de acción muestran el alcance real de la estrategia: un esfuerzo articulado que conectó con la comunidad educativa en múltiples formatos, regiones y perfiles profesionales.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005A" w:sz="1"/>
              <w:left w:val="single" w:color="E6005A" w:sz="1"/>
              <w:bottom w:val="single" w:color="E6005A" w:sz="1"/>
              <w:right w:val="single" w:color="E6005A" w:sz="1"/>
            </w:tcBorders>
            <w:shd w:fill="E6005A" w:val="clear"/>
            <w:tcMar>
              <w:top w:type="dxa" w:w="400"/>
              <w:left w:type="dxa" w:w="200"/>
              <w:bottom w:type="dxa" w:w="400"/>
              <w:right w:type="dxa" w:w="200"/>
            </w:tcMar>
          </w:tcPr>
          <w:p>
            <w:pPr>
              <w:spacing w:after="80" w:before="0"/>
              <w:jc w:val="center"/>
            </w:pPr>
            <w:r>
              <w:rPr>
                <w:rFonts w:ascii="Arial" w:cs="Arial" w:eastAsia="Arial" w:hAnsi="Arial"/>
                <w:b/>
                <w:bCs/>
                <w:color w:val="FFFFFF"/>
                <w:spacing w:val="80"/>
                <w:sz w:val="22"/>
                <w:szCs w:val="22"/>
              </w:rPr>
              <w:t xml:space="preserve">IMPACTO DIGITAL TOTAL</w:t>
            </w:r>
          </w:p>
          <w:p>
            <w:pPr>
              <w:spacing w:after="80" w:before="0"/>
              <w:jc w:val="center"/>
            </w:pPr>
            <w:r>
              <w:rPr>
                <w:rFonts w:ascii="Arial" w:cs="Arial" w:eastAsia="Arial" w:hAnsi="Arial"/>
                <w:b/>
                <w:bCs/>
                <w:color w:val="FFFFFF"/>
                <w:sz w:val="120"/>
                <w:szCs w:val="120"/>
              </w:rPr>
              <w:t xml:space="preserve">107,464</w:t>
            </w:r>
          </w:p>
          <w:p>
            <w:pPr>
              <w:spacing w:after="0" w:before="0"/>
              <w:jc w:val="center"/>
            </w:pPr>
            <w:r>
              <w:rPr>
                <w:rFonts w:ascii="Arial" w:cs="Arial" w:eastAsia="Arial" w:hAnsi="Arial"/>
                <w:color w:val="FFFFFF"/>
                <w:sz w:val="22"/>
                <w:szCs w:val="22"/>
              </w:rPr>
              <w:t xml:space="preserve">vistas acumuladas en contenidos formativos de IA y Google Workspace</w:t>
            </w:r>
          </w:p>
        </w:tc>
      </w:tr>
    </w:tbl>
    <w:p>
      <w:pPr>
        <w:spacing w:after="200" w:before="200"/>
      </w:pPr>
      <w:r>
        <w:t xml:space="preserve"/>
      </w:r>
    </w:p>
    <w:p>
      <w:pPr>
        <w:spacing w:after="120" w:before="240"/>
      </w:pPr>
      <w:r>
        <w:rPr>
          <w:rFonts w:ascii="Arial" w:cs="Arial" w:eastAsia="Arial" w:hAnsi="Arial"/>
          <w:b/>
          <w:bCs/>
          <w:color w:val="E6005A"/>
          <w:sz w:val="26"/>
          <w:szCs w:val="26"/>
        </w:rPr>
        <w:t xml:space="preserve">Cifras clave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28C28" w:sz="1"/>
              <w:left w:val="single" w:color="F28C28" w:sz="1"/>
              <w:bottom w:val="single" w:color="F28C28" w:sz="1"/>
              <w:right w:val="single" w:color="F28C28" w:sz="1"/>
            </w:tcBorders>
            <w:shd w:fill="E8E6F5" w:val="clear"/>
            <w:tcMar>
              <w:top w:type="dxa" w:w="240"/>
              <w:left w:type="dxa" w:w="160"/>
              <w:bottom w:type="dxa" w:w="240"/>
              <w:right w:type="dxa" w:w="160"/>
            </w:tcMar>
            <w:vAlign w:val="center"/>
          </w:tcPr>
          <w:p>
            <w:pPr>
              <w:spacing w:after="80" w:before="0"/>
              <w:jc w:val="center"/>
            </w:pPr>
            <w:r>
              <w:rPr>
                <w:rFonts w:ascii="Arial" w:cs="Arial" w:eastAsia="Arial" w:hAnsi="Arial"/>
                <w:b/>
                <w:bCs/>
                <w:color w:val="F28C28"/>
                <w:sz w:val="64"/>
                <w:szCs w:val="64"/>
              </w:rPr>
              <w:t xml:space="preserve">6,749</w:t>
            </w:r>
          </w:p>
          <w:p>
            <w:pPr>
              <w:spacing w:after="0" w:before="0"/>
              <w:jc w:val="center"/>
            </w:pPr>
            <w:r>
              <w:rPr>
                <w:rFonts w:ascii="Arial" w:cs="Arial" w:eastAsia="Arial" w:hAnsi="Arial"/>
                <w:b/>
                <w:bCs/>
                <w:color w:val="2E4A6B"/>
                <w:sz w:val="20"/>
                <w:szCs w:val="20"/>
              </w:rPr>
              <w:t xml:space="preserve">Docentes capacitados
presencial en Alfa Digital</w:t>
            </w:r>
          </w:p>
        </w:tc>
        <w:tc>
          <w:tcPr>
            <w:tcW w:type="dxa" w:w="4680"/>
            <w:tcBorders>
              <w:top w:val="single" w:color="E6005A" w:sz="1"/>
              <w:left w:val="single" w:color="E6005A" w:sz="1"/>
              <w:bottom w:val="single" w:color="E6005A" w:sz="1"/>
              <w:right w:val="single" w:color="E6005A" w:sz="1"/>
            </w:tcBorders>
            <w:shd w:fill="E8E6F5" w:val="clear"/>
            <w:tcMar>
              <w:top w:type="dxa" w:w="240"/>
              <w:left w:type="dxa" w:w="160"/>
              <w:bottom w:type="dxa" w:w="240"/>
              <w:right w:type="dxa" w:w="160"/>
            </w:tcMar>
            <w:vAlign w:val="center"/>
          </w:tcPr>
          <w:p>
            <w:pPr>
              <w:spacing w:after="80" w:before="0"/>
              <w:jc w:val="center"/>
            </w:pPr>
            <w:r>
              <w:rPr>
                <w:rFonts w:ascii="Arial" w:cs="Arial" w:eastAsia="Arial" w:hAnsi="Arial"/>
                <w:b/>
                <w:bCs/>
                <w:color w:val="E6005A"/>
                <w:sz w:val="64"/>
                <w:szCs w:val="64"/>
              </w:rPr>
              <w:t xml:space="preserve">+7,000</w:t>
            </w:r>
          </w:p>
          <w:p>
            <w:pPr>
              <w:spacing w:after="0" w:before="0"/>
              <w:jc w:val="center"/>
            </w:pPr>
            <w:r>
              <w:rPr>
                <w:rFonts w:ascii="Arial" w:cs="Arial" w:eastAsia="Arial" w:hAnsi="Arial"/>
                <w:b/>
                <w:bCs/>
                <w:color w:val="2E4A6B"/>
                <w:sz w:val="20"/>
                <w:szCs w:val="20"/>
              </w:rPr>
              <w:t xml:space="preserve">Docentes conectados en vivo
Jalisco Academy 2025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28C28" w:sz="1"/>
              <w:left w:val="single" w:color="F28C28" w:sz="1"/>
              <w:bottom w:val="single" w:color="F28C28" w:sz="1"/>
              <w:right w:val="single" w:color="F28C28" w:sz="1"/>
            </w:tcBorders>
            <w:shd w:fill="E8E6F5" w:val="clear"/>
            <w:tcMar>
              <w:top w:type="dxa" w:w="240"/>
              <w:left w:type="dxa" w:w="160"/>
              <w:bottom w:type="dxa" w:w="240"/>
              <w:right w:type="dxa" w:w="160"/>
            </w:tcMar>
            <w:vAlign w:val="center"/>
          </w:tcPr>
          <w:p>
            <w:pPr>
              <w:spacing w:after="80" w:before="0"/>
              <w:jc w:val="center"/>
            </w:pPr>
            <w:r>
              <w:rPr>
                <w:rFonts w:ascii="Arial" w:cs="Arial" w:eastAsia="Arial" w:hAnsi="Arial"/>
                <w:b/>
                <w:bCs/>
                <w:color w:val="F28C28"/>
                <w:sz w:val="64"/>
                <w:szCs w:val="64"/>
              </w:rPr>
              <w:t xml:space="preserve">68</w:t>
            </w:r>
          </w:p>
          <w:p>
            <w:pPr>
              <w:spacing w:after="0" w:before="0"/>
              <w:jc w:val="center"/>
            </w:pPr>
            <w:r>
              <w:rPr>
                <w:rFonts w:ascii="Arial" w:cs="Arial" w:eastAsia="Arial" w:hAnsi="Arial"/>
                <w:b/>
                <w:bCs/>
                <w:color w:val="2E4A6B"/>
                <w:sz w:val="20"/>
                <w:szCs w:val="20"/>
              </w:rPr>
              <w:t xml:space="preserve">Videos y webinars formativos
producidos</w:t>
            </w:r>
          </w:p>
        </w:tc>
        <w:tc>
          <w:tcPr>
            <w:tcW w:type="dxa" w:w="4680"/>
            <w:tcBorders>
              <w:top w:val="single" w:color="E6005A" w:sz="1"/>
              <w:left w:val="single" w:color="E6005A" w:sz="1"/>
              <w:bottom w:val="single" w:color="E6005A" w:sz="1"/>
              <w:right w:val="single" w:color="E6005A" w:sz="1"/>
            </w:tcBorders>
            <w:shd w:fill="E8E6F5" w:val="clear"/>
            <w:tcMar>
              <w:top w:type="dxa" w:w="240"/>
              <w:left w:type="dxa" w:w="160"/>
              <w:bottom w:type="dxa" w:w="240"/>
              <w:right w:type="dxa" w:w="160"/>
            </w:tcMar>
            <w:vAlign w:val="center"/>
          </w:tcPr>
          <w:p>
            <w:pPr>
              <w:spacing w:after="80" w:before="0"/>
              <w:jc w:val="center"/>
            </w:pPr>
            <w:r>
              <w:rPr>
                <w:rFonts w:ascii="Arial" w:cs="Arial" w:eastAsia="Arial" w:hAnsi="Arial"/>
                <w:b/>
                <w:bCs/>
                <w:color w:val="E6005A"/>
                <w:sz w:val="64"/>
                <w:szCs w:val="64"/>
              </w:rPr>
              <w:t xml:space="preserve">30</w:t>
            </w:r>
          </w:p>
          <w:p>
            <w:pPr>
              <w:spacing w:after="0" w:before="0"/>
              <w:jc w:val="center"/>
            </w:pPr>
            <w:r>
              <w:rPr>
                <w:rFonts w:ascii="Arial" w:cs="Arial" w:eastAsia="Arial" w:hAnsi="Arial"/>
                <w:b/>
                <w:bCs/>
                <w:color w:val="2E4A6B"/>
                <w:sz w:val="20"/>
                <w:szCs w:val="20"/>
              </w:rPr>
              <w:t xml:space="preserve">Reels
Tips en un click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28C28" w:sz="1"/>
              <w:left w:val="single" w:color="F28C28" w:sz="1"/>
              <w:bottom w:val="single" w:color="F28C28" w:sz="1"/>
              <w:right w:val="single" w:color="F28C28" w:sz="1"/>
            </w:tcBorders>
            <w:shd w:fill="E8E6F5" w:val="clear"/>
            <w:tcMar>
              <w:top w:type="dxa" w:w="240"/>
              <w:left w:type="dxa" w:w="160"/>
              <w:bottom w:type="dxa" w:w="240"/>
              <w:right w:type="dxa" w:w="160"/>
            </w:tcMar>
            <w:vAlign w:val="center"/>
          </w:tcPr>
          <w:p>
            <w:pPr>
              <w:spacing w:after="80" w:before="0"/>
              <w:jc w:val="center"/>
            </w:pPr>
            <w:r>
              <w:rPr>
                <w:rFonts w:ascii="Arial" w:cs="Arial" w:eastAsia="Arial" w:hAnsi="Arial"/>
                <w:b/>
                <w:bCs/>
                <w:color w:val="F28C28"/>
                <w:sz w:val="64"/>
                <w:szCs w:val="64"/>
              </w:rPr>
              <w:t xml:space="preserve">32</w:t>
            </w:r>
          </w:p>
          <w:p>
            <w:pPr>
              <w:spacing w:after="0" w:before="0"/>
              <w:jc w:val="center"/>
            </w:pPr>
            <w:r>
              <w:rPr>
                <w:rFonts w:ascii="Arial" w:cs="Arial" w:eastAsia="Arial" w:hAnsi="Arial"/>
                <w:b/>
                <w:bCs/>
                <w:color w:val="2E4A6B"/>
                <w:sz w:val="20"/>
                <w:szCs w:val="20"/>
              </w:rPr>
              <w:t xml:space="preserve">Visitas a planteles
en todo el estado</w:t>
            </w:r>
          </w:p>
        </w:tc>
        <w:tc>
          <w:tcPr>
            <w:tcW w:type="dxa" w:w="4680"/>
            <w:tcBorders>
              <w:top w:val="single" w:color="E6005A" w:sz="1"/>
              <w:left w:val="single" w:color="E6005A" w:sz="1"/>
              <w:bottom w:val="single" w:color="E6005A" w:sz="1"/>
              <w:right w:val="single" w:color="E6005A" w:sz="1"/>
            </w:tcBorders>
            <w:shd w:fill="E8E6F5" w:val="clear"/>
            <w:tcMar>
              <w:top w:type="dxa" w:w="240"/>
              <w:left w:type="dxa" w:w="160"/>
              <w:bottom w:type="dxa" w:w="240"/>
              <w:right w:type="dxa" w:w="160"/>
            </w:tcMar>
            <w:vAlign w:val="center"/>
          </w:tcPr>
          <w:p>
            <w:pPr>
              <w:spacing w:after="80" w:before="0"/>
              <w:jc w:val="center"/>
            </w:pPr>
            <w:r>
              <w:rPr>
                <w:rFonts w:ascii="Arial" w:cs="Arial" w:eastAsia="Arial" w:hAnsi="Arial"/>
                <w:b/>
                <w:bCs/>
                <w:color w:val="E6005A"/>
                <w:sz w:val="64"/>
                <w:szCs w:val="64"/>
              </w:rPr>
              <w:t xml:space="preserve">250</w:t>
            </w:r>
          </w:p>
          <w:p>
            <w:pPr>
              <w:spacing w:after="0" w:before="0"/>
              <w:jc w:val="center"/>
            </w:pPr>
            <w:r>
              <w:rPr>
                <w:rFonts w:ascii="Arial" w:cs="Arial" w:eastAsia="Arial" w:hAnsi="Arial"/>
                <w:b/>
                <w:bCs/>
                <w:color w:val="2E4A6B"/>
                <w:sz w:val="20"/>
                <w:szCs w:val="20"/>
              </w:rPr>
              <w:t xml:space="preserve">Docentes con simulador aprobado
Certificación Google N1</w:t>
            </w:r>
          </w:p>
        </w:tc>
      </w:tr>
    </w:tbl>
    <w:p>
      <w:r>
        <w:br w:type="page"/>
      </w:r>
    </w:p>
    <w:p>
      <w:pPr>
        <w:pBdr>
          <w:left w:val="single" w:color="E6005A" w:sz="24" w:space="12"/>
        </w:pBdr>
        <w:spacing w:after="120" w:before="360"/>
      </w:pPr>
      <w:r>
        <w:rPr>
          <w:rFonts w:ascii="Arial" w:cs="Arial" w:eastAsia="Arial" w:hAnsi="Arial"/>
          <w:b/>
          <w:bCs/>
          <w:color w:val="F28C28"/>
          <w:sz w:val="28"/>
          <w:szCs w:val="28"/>
        </w:rPr>
        <w:t xml:space="preserve">06</w:t>
      </w:r>
      <w:r>
        <w:rPr>
          <w:rFonts w:ascii="Arial" w:cs="Arial" w:eastAsia="Arial" w:hAnsi="Arial"/>
          <w:b/>
          <w:bCs/>
          <w:color w:val="E6005A"/>
          <w:sz w:val="32"/>
          <w:szCs w:val="32"/>
        </w:rPr>
        <w:t xml:space="preserve">  Áreas y públicos atendidos</w:t>
      </w:r>
    </w:p>
    <w:p>
      <w:pPr>
        <w:spacing w:after="120" w:before="240"/>
      </w:pPr>
      <w:r>
        <w:rPr>
          <w:rFonts w:ascii="Arial" w:cs="Arial" w:eastAsia="Arial" w:hAnsi="Arial"/>
          <w:b/>
          <w:bCs/>
          <w:color w:val="2E4A6B"/>
          <w:sz w:val="26"/>
          <w:szCs w:val="26"/>
        </w:rPr>
        <w:t xml:space="preserve">La diversidad que somos</w:t>
      </w:r>
    </w:p>
    <w:p>
      <w:pPr>
        <w:spacing w:after="80" w:before="80" w:line="300"/>
        <w:jc w:val="both"/>
      </w:pPr>
      <w:r>
        <w:rPr>
          <w:rFonts w:ascii="Arial" w:cs="Arial" w:eastAsia="Arial" w:hAnsi="Arial"/>
          <w:color w:val="333333"/>
          <w:sz w:val="22"/>
          <w:szCs w:val="22"/>
        </w:rPr>
        <w:t xml:space="preserve">La estrategia llegó de manera intencional a perfiles profesionales diversos. Cada uno requirió una ruta formativa distinta, respetando su contexto, su responsabilidad y sus horizontes de aprendizaje.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E8E6F5" w:val="clear"/>
            <w:tcMar>
              <w:top w:type="dxa" w:w="120"/>
              <w:left w:type="dxa" w:w="180"/>
              <w:bottom w:type="dxa" w:w="120"/>
              <w:right w:type="dxa" w:w="120"/>
            </w:tcMar>
            <w:vAlign w:val="center"/>
          </w:tcPr>
          <w:p>
            <w:r>
              <w:rPr>
                <w:rFonts w:ascii="Arial" w:cs="Arial" w:eastAsia="Arial" w:hAnsi="Arial"/>
                <w:b/>
                <w:bCs/>
                <w:color w:val="E6005A"/>
                <w:sz w:val="22"/>
                <w:szCs w:val="22"/>
              </w:rPr>
              <w:t xml:space="preserve">Docentes</w:t>
            </w:r>
          </w:p>
        </w:tc>
        <w:tc>
          <w:tcPr>
            <w:tcW w:type="dxa" w:w="6240"/>
            <w:tcBorders>
              <w:top w:val="single" w:color="E0E0E0" w:sz="1"/>
              <w:left w:val="single" w:color="E0E0E0" w:sz="1"/>
              <w:bottom w:val="single" w:color="E0E0E0" w:sz="1"/>
              <w:right w:val="single" w:color="E0E0E0" w:sz="1"/>
            </w:tcBorders>
            <w:tcMar>
              <w:top w:type="dxa" w:w="120"/>
              <w:left w:type="dxa" w:w="180"/>
              <w:bottom w:type="dxa" w:w="120"/>
              <w:right w:type="dxa" w:w="180"/>
            </w:tcMar>
            <w:vAlign w:val="center"/>
          </w:tcPr>
          <w:p>
            <w:r>
              <w:rPr>
                <w:rFonts w:ascii="Arial" w:cs="Arial" w:eastAsia="Arial" w:hAnsi="Arial"/>
                <w:color w:val="333333"/>
                <w:sz w:val="22"/>
                <w:szCs w:val="22"/>
              </w:rPr>
              <w:t xml:space="preserve">De preescolar, primaria y secundaria, en todas las modalidades del sistema estatal.</w:t>
            </w:r>
          </w:p>
        </w:tc>
      </w:tr>
      <w:tr>
        <w:tc>
          <w:tcPr>
            <w:tcW w:type="dxa" w:w="3120"/>
            <w:tcBorders>
              <w:top w:val="single" w:color="E0E0E0" w:sz="1"/>
              <w:left w:val="single" w:color="E0E0E0" w:sz="1"/>
              <w:bottom w:val="single" w:color="E0E0E0" w:sz="1"/>
              <w:right w:val="single" w:color="E0E0E0" w:sz="1"/>
            </w:tcBorders>
            <w:shd w:fill="E8E6F5" w:val="clear"/>
            <w:tcMar>
              <w:top w:type="dxa" w:w="120"/>
              <w:left w:type="dxa" w:w="180"/>
              <w:bottom w:type="dxa" w:w="120"/>
              <w:right w:type="dxa" w:w="120"/>
            </w:tcMar>
            <w:vAlign w:val="center"/>
          </w:tcPr>
          <w:p>
            <w:r>
              <w:rPr>
                <w:rFonts w:ascii="Arial" w:cs="Arial" w:eastAsia="Arial" w:hAnsi="Arial"/>
                <w:b/>
                <w:bCs/>
                <w:color w:val="E6005A"/>
                <w:sz w:val="22"/>
                <w:szCs w:val="22"/>
              </w:rPr>
              <w:t xml:space="preserve">Directivos escolares</w:t>
            </w:r>
          </w:p>
        </w:tc>
        <w:tc>
          <w:tcPr>
            <w:tcW w:type="dxa" w:w="6240"/>
            <w:tcBorders>
              <w:top w:val="single" w:color="E0E0E0" w:sz="1"/>
              <w:left w:val="single" w:color="E0E0E0" w:sz="1"/>
              <w:bottom w:val="single" w:color="E0E0E0" w:sz="1"/>
              <w:right w:val="single" w:color="E0E0E0" w:sz="1"/>
            </w:tcBorders>
            <w:tcMar>
              <w:top w:type="dxa" w:w="120"/>
              <w:left w:type="dxa" w:w="180"/>
              <w:bottom w:type="dxa" w:w="120"/>
              <w:right w:type="dxa" w:w="180"/>
            </w:tcMar>
            <w:vAlign w:val="center"/>
          </w:tcPr>
          <w:p>
            <w:r>
              <w:rPr>
                <w:rFonts w:ascii="Arial" w:cs="Arial" w:eastAsia="Arial" w:hAnsi="Arial"/>
                <w:color w:val="333333"/>
                <w:sz w:val="22"/>
                <w:szCs w:val="22"/>
              </w:rPr>
              <w:t xml:space="preserve">De los tres niveles de Educación Básica.</w:t>
            </w:r>
          </w:p>
        </w:tc>
      </w:tr>
      <w:tr>
        <w:tc>
          <w:tcPr>
            <w:tcW w:type="dxa" w:w="3120"/>
            <w:tcBorders>
              <w:top w:val="single" w:color="E0E0E0" w:sz="1"/>
              <w:left w:val="single" w:color="E0E0E0" w:sz="1"/>
              <w:bottom w:val="single" w:color="E0E0E0" w:sz="1"/>
              <w:right w:val="single" w:color="E0E0E0" w:sz="1"/>
            </w:tcBorders>
            <w:shd w:fill="E8E6F5" w:val="clear"/>
            <w:tcMar>
              <w:top w:type="dxa" w:w="120"/>
              <w:left w:type="dxa" w:w="180"/>
              <w:bottom w:type="dxa" w:w="120"/>
              <w:right w:type="dxa" w:w="120"/>
            </w:tcMar>
            <w:vAlign w:val="center"/>
          </w:tcPr>
          <w:p>
            <w:r>
              <w:rPr>
                <w:rFonts w:ascii="Arial" w:cs="Arial" w:eastAsia="Arial" w:hAnsi="Arial"/>
                <w:b/>
                <w:bCs/>
                <w:color w:val="E6005A"/>
                <w:sz w:val="22"/>
                <w:szCs w:val="22"/>
              </w:rPr>
              <w:t xml:space="preserve">Supervisores y jefes de sector</w:t>
            </w:r>
          </w:p>
        </w:tc>
        <w:tc>
          <w:tcPr>
            <w:tcW w:type="dxa" w:w="6240"/>
            <w:tcBorders>
              <w:top w:val="single" w:color="E0E0E0" w:sz="1"/>
              <w:left w:val="single" w:color="E0E0E0" w:sz="1"/>
              <w:bottom w:val="single" w:color="E0E0E0" w:sz="1"/>
              <w:right w:val="single" w:color="E0E0E0" w:sz="1"/>
            </w:tcBorders>
            <w:tcMar>
              <w:top w:type="dxa" w:w="120"/>
              <w:left w:type="dxa" w:w="180"/>
              <w:bottom w:type="dxa" w:w="120"/>
              <w:right w:type="dxa" w:w="180"/>
            </w:tcMar>
            <w:vAlign w:val="center"/>
          </w:tcPr>
          <w:p>
            <w:r>
              <w:rPr>
                <w:rFonts w:ascii="Arial" w:cs="Arial" w:eastAsia="Arial" w:hAnsi="Arial"/>
                <w:color w:val="333333"/>
                <w:sz w:val="22"/>
                <w:szCs w:val="22"/>
              </w:rPr>
              <w:t xml:space="preserve">Responsables del acompañamiento pedagógico en las zonas escolares.</w:t>
            </w:r>
          </w:p>
        </w:tc>
      </w:tr>
      <w:tr>
        <w:tc>
          <w:tcPr>
            <w:tcW w:type="dxa" w:w="3120"/>
            <w:tcBorders>
              <w:top w:val="single" w:color="E0E0E0" w:sz="1"/>
              <w:left w:val="single" w:color="E0E0E0" w:sz="1"/>
              <w:bottom w:val="single" w:color="E0E0E0" w:sz="1"/>
              <w:right w:val="single" w:color="E0E0E0" w:sz="1"/>
            </w:tcBorders>
            <w:shd w:fill="E8E6F5" w:val="clear"/>
            <w:tcMar>
              <w:top w:type="dxa" w:w="120"/>
              <w:left w:type="dxa" w:w="180"/>
              <w:bottom w:type="dxa" w:w="120"/>
              <w:right w:type="dxa" w:w="120"/>
            </w:tcMar>
            <w:vAlign w:val="center"/>
          </w:tcPr>
          <w:p>
            <w:r>
              <w:rPr>
                <w:rFonts w:ascii="Arial" w:cs="Arial" w:eastAsia="Arial" w:hAnsi="Arial"/>
                <w:b/>
                <w:bCs/>
                <w:color w:val="E6005A"/>
                <w:sz w:val="22"/>
                <w:szCs w:val="22"/>
              </w:rPr>
              <w:t xml:space="preserve">Jefes de las DRSE</w:t>
            </w:r>
          </w:p>
        </w:tc>
        <w:tc>
          <w:tcPr>
            <w:tcW w:type="dxa" w:w="6240"/>
            <w:tcBorders>
              <w:top w:val="single" w:color="E0E0E0" w:sz="1"/>
              <w:left w:val="single" w:color="E0E0E0" w:sz="1"/>
              <w:bottom w:val="single" w:color="E0E0E0" w:sz="1"/>
              <w:right w:val="single" w:color="E0E0E0" w:sz="1"/>
            </w:tcBorders>
            <w:tcMar>
              <w:top w:type="dxa" w:w="120"/>
              <w:left w:type="dxa" w:w="180"/>
              <w:bottom w:type="dxa" w:w="120"/>
              <w:right w:type="dxa" w:w="180"/>
            </w:tcMar>
            <w:vAlign w:val="center"/>
          </w:tcPr>
          <w:p>
            <w:r>
              <w:rPr>
                <w:rFonts w:ascii="Arial" w:cs="Arial" w:eastAsia="Arial" w:hAnsi="Arial"/>
                <w:color w:val="333333"/>
                <w:sz w:val="22"/>
                <w:szCs w:val="22"/>
              </w:rPr>
              <w:t xml:space="preserve">Delegaciones Regionales de la Secretaría de Educación Jalisco.</w:t>
            </w:r>
          </w:p>
        </w:tc>
      </w:tr>
      <w:tr>
        <w:tc>
          <w:tcPr>
            <w:tcW w:type="dxa" w:w="3120"/>
            <w:tcBorders>
              <w:top w:val="single" w:color="E0E0E0" w:sz="1"/>
              <w:left w:val="single" w:color="E0E0E0" w:sz="1"/>
              <w:bottom w:val="single" w:color="E0E0E0" w:sz="1"/>
              <w:right w:val="single" w:color="E0E0E0" w:sz="1"/>
            </w:tcBorders>
            <w:shd w:fill="E8E6F5" w:val="clear"/>
            <w:tcMar>
              <w:top w:type="dxa" w:w="120"/>
              <w:left w:type="dxa" w:w="180"/>
              <w:bottom w:type="dxa" w:w="120"/>
              <w:right w:type="dxa" w:w="120"/>
            </w:tcMar>
            <w:vAlign w:val="center"/>
          </w:tcPr>
          <w:p>
            <w:r>
              <w:rPr>
                <w:rFonts w:ascii="Arial" w:cs="Arial" w:eastAsia="Arial" w:hAnsi="Arial"/>
                <w:b/>
                <w:bCs/>
                <w:color w:val="E6005A"/>
                <w:sz w:val="22"/>
                <w:szCs w:val="22"/>
              </w:rPr>
              <w:t xml:space="preserve">Personal administrativo SEJ</w:t>
            </w:r>
          </w:p>
        </w:tc>
        <w:tc>
          <w:tcPr>
            <w:tcW w:type="dxa" w:w="6240"/>
            <w:tcBorders>
              <w:top w:val="single" w:color="E0E0E0" w:sz="1"/>
              <w:left w:val="single" w:color="E0E0E0" w:sz="1"/>
              <w:bottom w:val="single" w:color="E0E0E0" w:sz="1"/>
              <w:right w:val="single" w:color="E0E0E0" w:sz="1"/>
            </w:tcBorders>
            <w:tcMar>
              <w:top w:type="dxa" w:w="120"/>
              <w:left w:type="dxa" w:w="180"/>
              <w:bottom w:type="dxa" w:w="120"/>
              <w:right w:type="dxa" w:w="180"/>
            </w:tcMar>
            <w:vAlign w:val="center"/>
          </w:tcPr>
          <w:p>
            <w:r>
              <w:rPr>
                <w:rFonts w:ascii="Arial" w:cs="Arial" w:eastAsia="Arial" w:hAnsi="Arial"/>
                <w:color w:val="333333"/>
                <w:sz w:val="22"/>
                <w:szCs w:val="22"/>
              </w:rPr>
              <w:t xml:space="preserve">De distintas áreas y direcciones de la Secretaría.</w:t>
            </w:r>
          </w:p>
        </w:tc>
      </w:tr>
      <w:tr>
        <w:tc>
          <w:tcPr>
            <w:tcW w:type="dxa" w:w="3120"/>
            <w:tcBorders>
              <w:top w:val="single" w:color="E0E0E0" w:sz="1"/>
              <w:left w:val="single" w:color="E0E0E0" w:sz="1"/>
              <w:bottom w:val="single" w:color="E0E0E0" w:sz="1"/>
              <w:right w:val="single" w:color="E0E0E0" w:sz="1"/>
            </w:tcBorders>
            <w:shd w:fill="E8E6F5" w:val="clear"/>
            <w:tcMar>
              <w:top w:type="dxa" w:w="120"/>
              <w:left w:type="dxa" w:w="180"/>
              <w:bottom w:type="dxa" w:w="120"/>
              <w:right w:type="dxa" w:w="120"/>
            </w:tcMar>
            <w:vAlign w:val="center"/>
          </w:tcPr>
          <w:p>
            <w:r>
              <w:rPr>
                <w:rFonts w:ascii="Arial" w:cs="Arial" w:eastAsia="Arial" w:hAnsi="Arial"/>
                <w:b/>
                <w:bCs/>
                <w:color w:val="E6005A"/>
                <w:sz w:val="22"/>
                <w:szCs w:val="22"/>
              </w:rPr>
              <w:t xml:space="preserve">OPDs</w:t>
            </w:r>
          </w:p>
        </w:tc>
        <w:tc>
          <w:tcPr>
            <w:tcW w:type="dxa" w:w="6240"/>
            <w:tcBorders>
              <w:top w:val="single" w:color="E0E0E0" w:sz="1"/>
              <w:left w:val="single" w:color="E0E0E0" w:sz="1"/>
              <w:bottom w:val="single" w:color="E0E0E0" w:sz="1"/>
              <w:right w:val="single" w:color="E0E0E0" w:sz="1"/>
            </w:tcBorders>
            <w:tcMar>
              <w:top w:type="dxa" w:w="120"/>
              <w:left w:type="dxa" w:w="180"/>
              <w:bottom w:type="dxa" w:w="120"/>
              <w:right w:type="dxa" w:w="180"/>
            </w:tcMar>
            <w:vAlign w:val="center"/>
          </w:tcPr>
          <w:p>
            <w:r>
              <w:rPr>
                <w:rFonts w:ascii="Arial" w:cs="Arial" w:eastAsia="Arial" w:hAnsi="Arial"/>
                <w:color w:val="333333"/>
                <w:sz w:val="22"/>
                <w:szCs w:val="22"/>
              </w:rPr>
              <w:t xml:space="preserve">Organismos Públicos Descentralizados con charlas dirigidas sobre IA.</w:t>
            </w:r>
          </w:p>
        </w:tc>
      </w:tr>
      <w:tr>
        <w:tc>
          <w:tcPr>
            <w:tcW w:type="dxa" w:w="3120"/>
            <w:tcBorders>
              <w:top w:val="single" w:color="E0E0E0" w:sz="1"/>
              <w:left w:val="single" w:color="E0E0E0" w:sz="1"/>
              <w:bottom w:val="single" w:color="E0E0E0" w:sz="1"/>
              <w:right w:val="single" w:color="E0E0E0" w:sz="1"/>
            </w:tcBorders>
            <w:shd w:fill="E8E6F5" w:val="clear"/>
            <w:tcMar>
              <w:top w:type="dxa" w:w="120"/>
              <w:left w:type="dxa" w:w="180"/>
              <w:bottom w:type="dxa" w:w="120"/>
              <w:right w:type="dxa" w:w="120"/>
            </w:tcMar>
            <w:vAlign w:val="center"/>
          </w:tcPr>
          <w:p>
            <w:r>
              <w:rPr>
                <w:rFonts w:ascii="Arial" w:cs="Arial" w:eastAsia="Arial" w:hAnsi="Arial"/>
                <w:b/>
                <w:bCs/>
                <w:color w:val="E6005A"/>
                <w:sz w:val="22"/>
                <w:szCs w:val="22"/>
              </w:rPr>
              <w:t xml:space="preserve">Escuelas Normales</w:t>
            </w:r>
          </w:p>
        </w:tc>
        <w:tc>
          <w:tcPr>
            <w:tcW w:type="dxa" w:w="6240"/>
            <w:tcBorders>
              <w:top w:val="single" w:color="E0E0E0" w:sz="1"/>
              <w:left w:val="single" w:color="E0E0E0" w:sz="1"/>
              <w:bottom w:val="single" w:color="E0E0E0" w:sz="1"/>
              <w:right w:val="single" w:color="E0E0E0" w:sz="1"/>
            </w:tcBorders>
            <w:tcMar>
              <w:top w:type="dxa" w:w="120"/>
              <w:left w:type="dxa" w:w="180"/>
              <w:bottom w:type="dxa" w:w="120"/>
              <w:right w:type="dxa" w:w="180"/>
            </w:tcMar>
            <w:vAlign w:val="center"/>
          </w:tcPr>
          <w:p>
            <w:r>
              <w:rPr>
                <w:rFonts w:ascii="Arial" w:cs="Arial" w:eastAsia="Arial" w:hAnsi="Arial"/>
                <w:color w:val="333333"/>
                <w:sz w:val="22"/>
                <w:szCs w:val="22"/>
              </w:rPr>
              <w:t xml:space="preserve">Ciudad Guzmán, Arandas y Normal Superior de Guadalajara.</w:t>
            </w:r>
          </w:p>
        </w:tc>
      </w:tr>
      <w:tr>
        <w:tc>
          <w:tcPr>
            <w:tcW w:type="dxa" w:w="3120"/>
            <w:tcBorders>
              <w:top w:val="single" w:color="E0E0E0" w:sz="1"/>
              <w:left w:val="single" w:color="E0E0E0" w:sz="1"/>
              <w:bottom w:val="single" w:color="E0E0E0" w:sz="1"/>
              <w:right w:val="single" w:color="E0E0E0" w:sz="1"/>
            </w:tcBorders>
            <w:shd w:fill="E8E6F5" w:val="clear"/>
            <w:tcMar>
              <w:top w:type="dxa" w:w="120"/>
              <w:left w:type="dxa" w:w="180"/>
              <w:bottom w:type="dxa" w:w="120"/>
              <w:right w:type="dxa" w:w="120"/>
            </w:tcMar>
            <w:vAlign w:val="center"/>
          </w:tcPr>
          <w:p>
            <w:r>
              <w:rPr>
                <w:rFonts w:ascii="Arial" w:cs="Arial" w:eastAsia="Arial" w:hAnsi="Arial"/>
                <w:b/>
                <w:bCs/>
                <w:color w:val="E6005A"/>
                <w:sz w:val="22"/>
                <w:szCs w:val="22"/>
              </w:rPr>
              <w:t xml:space="preserve">Conalep</w:t>
            </w:r>
          </w:p>
        </w:tc>
        <w:tc>
          <w:tcPr>
            <w:tcW w:type="dxa" w:w="6240"/>
            <w:tcBorders>
              <w:top w:val="single" w:color="E0E0E0" w:sz="1"/>
              <w:left w:val="single" w:color="E0E0E0" w:sz="1"/>
              <w:bottom w:val="single" w:color="E0E0E0" w:sz="1"/>
              <w:right w:val="single" w:color="E0E0E0" w:sz="1"/>
            </w:tcBorders>
            <w:tcMar>
              <w:top w:type="dxa" w:w="120"/>
              <w:left w:type="dxa" w:w="180"/>
              <w:bottom w:type="dxa" w:w="120"/>
              <w:right w:type="dxa" w:w="180"/>
            </w:tcMar>
            <w:vAlign w:val="center"/>
          </w:tcPr>
          <w:p>
            <w:r>
              <w:rPr>
                <w:rFonts w:ascii="Arial" w:cs="Arial" w:eastAsia="Arial" w:hAnsi="Arial"/>
                <w:color w:val="333333"/>
                <w:sz w:val="22"/>
                <w:szCs w:val="22"/>
              </w:rPr>
              <w:t xml:space="preserve">Plantel Guadalajara.</w:t>
            </w:r>
          </w:p>
        </w:tc>
      </w:tr>
      <w:tr>
        <w:tc>
          <w:tcPr>
            <w:tcW w:type="dxa" w:w="3120"/>
            <w:tcBorders>
              <w:top w:val="single" w:color="E0E0E0" w:sz="1"/>
              <w:left w:val="single" w:color="E0E0E0" w:sz="1"/>
              <w:bottom w:val="single" w:color="E0E0E0" w:sz="1"/>
              <w:right w:val="single" w:color="E0E0E0" w:sz="1"/>
            </w:tcBorders>
            <w:shd w:fill="E8E6F5" w:val="clear"/>
            <w:tcMar>
              <w:top w:type="dxa" w:w="120"/>
              <w:left w:type="dxa" w:w="180"/>
              <w:bottom w:type="dxa" w:w="120"/>
              <w:right w:type="dxa" w:w="120"/>
            </w:tcMar>
            <w:vAlign w:val="center"/>
          </w:tcPr>
          <w:p>
            <w:r>
              <w:rPr>
                <w:rFonts w:ascii="Arial" w:cs="Arial" w:eastAsia="Arial" w:hAnsi="Arial"/>
                <w:b/>
                <w:bCs/>
                <w:color w:val="E6005A"/>
                <w:sz w:val="22"/>
                <w:szCs w:val="22"/>
              </w:rPr>
              <w:t xml:space="preserve">Municipios</w:t>
            </w:r>
          </w:p>
        </w:tc>
        <w:tc>
          <w:tcPr>
            <w:tcW w:type="dxa" w:w="6240"/>
            <w:tcBorders>
              <w:top w:val="single" w:color="E0E0E0" w:sz="1"/>
              <w:left w:val="single" w:color="E0E0E0" w:sz="1"/>
              <w:bottom w:val="single" w:color="E0E0E0" w:sz="1"/>
              <w:right w:val="single" w:color="E0E0E0" w:sz="1"/>
            </w:tcBorders>
            <w:tcMar>
              <w:top w:type="dxa" w:w="120"/>
              <w:left w:type="dxa" w:w="180"/>
              <w:bottom w:type="dxa" w:w="120"/>
              <w:right w:type="dxa" w:w="180"/>
            </w:tcMar>
            <w:vAlign w:val="center"/>
          </w:tcPr>
          <w:p>
            <w:r>
              <w:rPr>
                <w:rFonts w:ascii="Arial" w:cs="Arial" w:eastAsia="Arial" w:hAnsi="Arial"/>
                <w:color w:val="333333"/>
                <w:sz w:val="22"/>
                <w:szCs w:val="22"/>
              </w:rPr>
              <w:t xml:space="preserve">Ciudad Guzmán, Atotonilco, Ayutlán y Ocotlán.</w:t>
            </w:r>
          </w:p>
        </w:tc>
      </w:tr>
    </w:tbl>
    <w:p>
      <w:r>
        <w:br w:type="page"/>
      </w:r>
    </w:p>
    <w:p>
      <w:pPr>
        <w:pBdr>
          <w:left w:val="single" w:color="F28C28" w:sz="24" w:space="12"/>
        </w:pBdr>
        <w:spacing w:after="120" w:before="360"/>
      </w:pPr>
      <w:r>
        <w:rPr>
          <w:rFonts w:ascii="Arial" w:cs="Arial" w:eastAsia="Arial" w:hAnsi="Arial"/>
          <w:b/>
          <w:bCs/>
          <w:color w:val="F28C28"/>
          <w:sz w:val="28"/>
          <w:szCs w:val="28"/>
        </w:rPr>
        <w:t xml:space="preserve">07</w:t>
      </w:r>
      <w:r>
        <w:rPr>
          <w:rFonts w:ascii="Arial" w:cs="Arial" w:eastAsia="Arial" w:hAnsi="Arial"/>
          <w:b/>
          <w:bCs/>
          <w:color w:val="E6005A"/>
          <w:sz w:val="32"/>
          <w:szCs w:val="32"/>
        </w:rPr>
        <w:t xml:space="preserve">  Proyección 2026</w:t>
      </w:r>
    </w:p>
    <w:p>
      <w:pPr>
        <w:spacing w:after="120" w:before="240"/>
      </w:pPr>
      <w:r>
        <w:rPr>
          <w:rFonts w:ascii="Arial" w:cs="Arial" w:eastAsia="Arial" w:hAnsi="Arial"/>
          <w:b/>
          <w:bCs/>
          <w:color w:val="E6005A"/>
          <w:sz w:val="26"/>
          <w:szCs w:val="26"/>
        </w:rPr>
        <w:t xml:space="preserve">Estrategia IA 2026 — Ruta estatal de enseñanza-aprendizaje con IA</w:t>
      </w:r>
    </w:p>
    <w:p>
      <w:pPr>
        <w:spacing w:after="80" w:before="80" w:line="300"/>
        <w:jc w:val="both"/>
      </w:pPr>
      <w:r>
        <w:rPr>
          <w:rFonts w:ascii="Arial" w:cs="Arial" w:eastAsia="Arial" w:hAnsi="Arial"/>
          <w:color w:val="333333"/>
          <w:sz w:val="22"/>
          <w:szCs w:val="22"/>
        </w:rPr>
        <w:t xml:space="preserve">Con los cimientos establecidos en 2025, la Dirección de Alfabetización Digital plantea para 2026 una ruta de despliegue estatal que lleva la formación en IA a las 14 regiones del estado, multiplica el alcance mediante modalidades masivas y consolida comunidades de práctica entre directivos y docentes.</w:t>
      </w:r>
    </w:p>
    <w:p>
      <w:pPr>
        <w:spacing w:after="160" w:before="160"/>
        <w:jc w:val="center"/>
      </w:pPr>
      <w:r>
        <w:rPr>
          <w:rFonts w:ascii="Arial" w:cs="Arial" w:eastAsia="Arial" w:hAnsi="Arial"/>
          <w:b/>
          <w:bCs/>
          <w:i/>
          <w:iCs/>
          <w:color w:val="E6005A"/>
          <w:sz w:val="26"/>
          <w:szCs w:val="26"/>
        </w:rPr>
        <w:t xml:space="preserve">“De la estrategia estatal a la ruta que llega a cada región.”</w:t>
      </w:r>
    </w:p>
    <w:p>
      <w:pPr>
        <w:pBdr>
          <w:left w:val="single" w:color="E6005A" w:sz="24" w:space="12"/>
        </w:pBdr>
        <w:spacing w:after="40" w:before="200"/>
      </w:pPr>
      <w:r>
        <w:rPr>
          <w:rFonts w:ascii="Arial" w:cs="Arial" w:eastAsia="Arial" w:hAnsi="Arial"/>
          <w:b/>
          <w:bCs/>
          <w:color w:val="F28C28"/>
          <w:sz w:val="28"/>
          <w:szCs w:val="28"/>
        </w:rPr>
        <w:t xml:space="preserve">01</w:t>
      </w:r>
      <w:r>
        <w:rPr>
          <w:rFonts w:ascii="Arial" w:cs="Arial" w:eastAsia="Arial" w:hAnsi="Arial"/>
          <w:b/>
          <w:bCs/>
          <w:color w:val="E6005A"/>
          <w:sz w:val="26"/>
          <w:szCs w:val="26"/>
        </w:rPr>
        <w:t xml:space="preserve">  Trayecto formativo estatal en las 14 regiones</w:t>
      </w:r>
    </w:p>
    <w:p>
      <w:pPr>
        <w:spacing w:after="120" w:before="40"/>
        <w:ind w:left="360"/>
        <w:jc w:val="both"/>
      </w:pPr>
      <w:r>
        <w:rPr>
          <w:rFonts w:ascii="Arial" w:cs="Arial" w:eastAsia="Arial" w:hAnsi="Arial"/>
          <w:color w:val="333333"/>
          <w:sz w:val="22"/>
          <w:szCs w:val="22"/>
        </w:rPr>
        <w:t xml:space="preserve">En coordinación con la Subsecretaría de Educación Básica y en colaboración con Google Workspace for Education. Capacitación en IA con enfoque práctico dirigida a 6,030 docentes y ATP, con generación de un sistema de seguimiento y multiplicación que permita escalar los aprendizajes en cada zona escolar.</w:t>
      </w:r>
    </w:p>
    <w:p>
      <w:pPr>
        <w:pBdr>
          <w:left w:val="single" w:color="E6005A" w:sz="24" w:space="12"/>
        </w:pBdr>
        <w:spacing w:after="40" w:before="200"/>
      </w:pPr>
      <w:r>
        <w:rPr>
          <w:rFonts w:ascii="Arial" w:cs="Arial" w:eastAsia="Arial" w:hAnsi="Arial"/>
          <w:b/>
          <w:bCs/>
          <w:color w:val="F28C28"/>
          <w:sz w:val="28"/>
          <w:szCs w:val="28"/>
        </w:rPr>
        <w:t xml:space="preserve">02</w:t>
      </w:r>
      <w:r>
        <w:rPr>
          <w:rFonts w:ascii="Arial" w:cs="Arial" w:eastAsia="Arial" w:hAnsi="Arial"/>
          <w:b/>
          <w:bCs/>
          <w:color w:val="E6005A"/>
          <w:sz w:val="26"/>
          <w:szCs w:val="26"/>
        </w:rPr>
        <w:t xml:space="preserve">  Cursos autogestivos en la plataforma Jalisco Academy</w:t>
      </w:r>
    </w:p>
    <w:p>
      <w:pPr>
        <w:spacing w:after="120" w:before="40"/>
        <w:ind w:left="360"/>
        <w:jc w:val="both"/>
      </w:pPr>
      <w:r>
        <w:rPr>
          <w:rFonts w:ascii="Arial" w:cs="Arial" w:eastAsia="Arial" w:hAnsi="Arial"/>
          <w:color w:val="333333"/>
          <w:sz w:val="22"/>
          <w:szCs w:val="22"/>
        </w:rPr>
        <w:t xml:space="preserve">Integración de la oferta formativa de IA al nuevo ecosistema digital de la Secretaría, con rutas a demanda disponibles para toda la comunidad educativa del estado.</w:t>
      </w:r>
    </w:p>
    <w:p>
      <w:pPr>
        <w:pBdr>
          <w:left w:val="single" w:color="E6005A" w:sz="24" w:space="12"/>
        </w:pBdr>
        <w:spacing w:after="40" w:before="200"/>
      </w:pPr>
      <w:r>
        <w:rPr>
          <w:rFonts w:ascii="Arial" w:cs="Arial" w:eastAsia="Arial" w:hAnsi="Arial"/>
          <w:b/>
          <w:bCs/>
          <w:color w:val="F28C28"/>
          <w:sz w:val="28"/>
          <w:szCs w:val="28"/>
        </w:rPr>
        <w:t xml:space="preserve">03</w:t>
      </w:r>
      <w:r>
        <w:rPr>
          <w:rFonts w:ascii="Arial" w:cs="Arial" w:eastAsia="Arial" w:hAnsi="Arial"/>
          <w:b/>
          <w:bCs/>
          <w:color w:val="E6005A"/>
          <w:sz w:val="26"/>
          <w:szCs w:val="26"/>
        </w:rPr>
        <w:t xml:space="preserve">  Curso masivo por convocatoria</w:t>
      </w:r>
    </w:p>
    <w:p>
      <w:pPr>
        <w:spacing w:after="120" w:before="40"/>
        <w:ind w:left="360"/>
        <w:jc w:val="both"/>
      </w:pPr>
      <w:r>
        <w:rPr>
          <w:rFonts w:ascii="Arial" w:cs="Arial" w:eastAsia="Arial" w:hAnsi="Arial"/>
          <w:color w:val="333333"/>
          <w:sz w:val="22"/>
          <w:szCs w:val="22"/>
        </w:rPr>
        <w:t xml:space="preserve">Trayecto formativo en tiempo real para atender a más de 30,000 docentes. Cuatro sesiones de una hora cada una, con una dinámica final en la que los docentes finalistas presentan sus proyectos de IA en el marco de Academy 2026.</w:t>
      </w:r>
    </w:p>
    <w:p>
      <w:pPr>
        <w:pBdr>
          <w:left w:val="single" w:color="E6005A" w:sz="24" w:space="12"/>
        </w:pBdr>
        <w:spacing w:after="40" w:before="200"/>
      </w:pPr>
      <w:r>
        <w:rPr>
          <w:rFonts w:ascii="Arial" w:cs="Arial" w:eastAsia="Arial" w:hAnsi="Arial"/>
          <w:b/>
          <w:bCs/>
          <w:color w:val="F28C28"/>
          <w:sz w:val="28"/>
          <w:szCs w:val="28"/>
        </w:rPr>
        <w:t xml:space="preserve">04</w:t>
      </w:r>
      <w:r>
        <w:rPr>
          <w:rFonts w:ascii="Arial" w:cs="Arial" w:eastAsia="Arial" w:hAnsi="Arial"/>
          <w:b/>
          <w:bCs/>
          <w:color w:val="E6005A"/>
          <w:sz w:val="26"/>
          <w:szCs w:val="26"/>
        </w:rPr>
        <w:t xml:space="preserve">  Trayecto formativo para directivos y supervisores de secundaria</w:t>
      </w:r>
    </w:p>
    <w:p>
      <w:pPr>
        <w:spacing w:after="120" w:before="40"/>
        <w:ind w:left="360"/>
        <w:jc w:val="both"/>
      </w:pPr>
      <w:r>
        <w:rPr>
          <w:rFonts w:ascii="Arial" w:cs="Arial" w:eastAsia="Arial" w:hAnsi="Arial"/>
          <w:color w:val="333333"/>
          <w:sz w:val="22"/>
          <w:szCs w:val="22"/>
        </w:rPr>
        <w:t xml:space="preserve">Programa intensivo de tres días dirigido a quienes lideran los procesos de acompañamiento pedagógico en las escuelas secundarias del estado.</w:t>
      </w:r>
    </w:p>
    <w:p>
      <w:pPr>
        <w:pBdr>
          <w:left w:val="single" w:color="E6005A" w:sz="24" w:space="12"/>
        </w:pBdr>
        <w:spacing w:after="40" w:before="200"/>
      </w:pPr>
      <w:r>
        <w:rPr>
          <w:rFonts w:ascii="Arial" w:cs="Arial" w:eastAsia="Arial" w:hAnsi="Arial"/>
          <w:b/>
          <w:bCs/>
          <w:color w:val="F28C28"/>
          <w:sz w:val="28"/>
          <w:szCs w:val="28"/>
        </w:rPr>
        <w:t xml:space="preserve">05</w:t>
      </w:r>
      <w:r>
        <w:rPr>
          <w:rFonts w:ascii="Arial" w:cs="Arial" w:eastAsia="Arial" w:hAnsi="Arial"/>
          <w:b/>
          <w:bCs/>
          <w:color w:val="E6005A"/>
          <w:sz w:val="26"/>
          <w:szCs w:val="26"/>
        </w:rPr>
        <w:t xml:space="preserve">  Gemini Academy 2026 en las 14 regiones</w:t>
      </w:r>
    </w:p>
    <w:p>
      <w:pPr>
        <w:spacing w:after="120" w:before="40"/>
        <w:ind w:left="360"/>
        <w:jc w:val="both"/>
      </w:pPr>
      <w:r>
        <w:rPr>
          <w:rFonts w:ascii="Arial" w:cs="Arial" w:eastAsia="Arial" w:hAnsi="Arial"/>
          <w:color w:val="333333"/>
          <w:sz w:val="22"/>
          <w:szCs w:val="22"/>
        </w:rPr>
        <w:t xml:space="preserve">Despliegue regional de Gemini Academy dirigido específicamente a directivos y supervisores, asegurando que la conducción escolar comprenda y aproveche el potencial de la IA en la gestión educativa.</w:t>
      </w:r>
    </w:p>
    <w:p>
      <w:pPr>
        <w:spacing w:after="120" w:before="120"/>
      </w:pPr>
      <w:r>
        <w:t xml:space="preserve"/>
      </w:r>
    </w:p>
    <w:p>
      <w:pPr>
        <w:spacing w:after="120" w:before="240"/>
      </w:pPr>
      <w:r>
        <w:rPr>
          <w:rFonts w:ascii="Arial" w:cs="Arial" w:eastAsia="Arial" w:hAnsi="Arial"/>
          <w:b/>
          <w:bCs/>
          <w:color w:val="E6005A"/>
          <w:sz w:val="26"/>
          <w:szCs w:val="26"/>
        </w:rPr>
        <w:t xml:space="preserve">Alcance proyectado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28C28" w:sz="1"/>
              <w:left w:val="single" w:color="F28C28" w:sz="1"/>
              <w:bottom w:val="single" w:color="F28C28" w:sz="1"/>
              <w:right w:val="single" w:color="F28C28" w:sz="1"/>
            </w:tcBorders>
            <w:shd w:fill="E8E6F5" w:val="clear"/>
            <w:tcMar>
              <w:top w:type="dxa" w:w="240"/>
              <w:left w:type="dxa" w:w="160"/>
              <w:bottom w:type="dxa" w:w="240"/>
              <w:right w:type="dxa" w:w="160"/>
            </w:tcMar>
            <w:vAlign w:val="center"/>
          </w:tcPr>
          <w:p>
            <w:pPr>
              <w:spacing w:after="80" w:before="0"/>
              <w:jc w:val="center"/>
            </w:pPr>
            <w:r>
              <w:rPr>
                <w:rFonts w:ascii="Arial" w:cs="Arial" w:eastAsia="Arial" w:hAnsi="Arial"/>
                <w:b/>
                <w:bCs/>
                <w:color w:val="F28C28"/>
                <w:sz w:val="64"/>
                <w:szCs w:val="64"/>
              </w:rPr>
              <w:t xml:space="preserve">14</w:t>
            </w:r>
          </w:p>
          <w:p>
            <w:pPr>
              <w:spacing w:after="0" w:before="0"/>
              <w:jc w:val="center"/>
            </w:pPr>
            <w:r>
              <w:rPr>
                <w:rFonts w:ascii="Arial" w:cs="Arial" w:eastAsia="Arial" w:hAnsi="Arial"/>
                <w:b/>
                <w:bCs/>
                <w:color w:val="2E4A6B"/>
                <w:sz w:val="20"/>
                <w:szCs w:val="20"/>
              </w:rPr>
              <w:t xml:space="preserve">Regiones del estado
cubiertas</w:t>
            </w:r>
          </w:p>
        </w:tc>
        <w:tc>
          <w:tcPr>
            <w:tcW w:type="dxa" w:w="4680"/>
            <w:tcBorders>
              <w:top w:val="single" w:color="E6005A" w:sz="1"/>
              <w:left w:val="single" w:color="E6005A" w:sz="1"/>
              <w:bottom w:val="single" w:color="E6005A" w:sz="1"/>
              <w:right w:val="single" w:color="E6005A" w:sz="1"/>
            </w:tcBorders>
            <w:shd w:fill="E8E6F5" w:val="clear"/>
            <w:tcMar>
              <w:top w:type="dxa" w:w="240"/>
              <w:left w:type="dxa" w:w="160"/>
              <w:bottom w:type="dxa" w:w="240"/>
              <w:right w:type="dxa" w:w="160"/>
            </w:tcMar>
            <w:vAlign w:val="center"/>
          </w:tcPr>
          <w:p>
            <w:pPr>
              <w:spacing w:after="80" w:before="0"/>
              <w:jc w:val="center"/>
            </w:pPr>
            <w:r>
              <w:rPr>
                <w:rFonts w:ascii="Arial" w:cs="Arial" w:eastAsia="Arial" w:hAnsi="Arial"/>
                <w:b/>
                <w:bCs/>
                <w:color w:val="E6005A"/>
                <w:sz w:val="64"/>
                <w:szCs w:val="64"/>
              </w:rPr>
              <w:t xml:space="preserve">6,030</w:t>
            </w:r>
          </w:p>
          <w:p>
            <w:pPr>
              <w:spacing w:after="0" w:before="0"/>
              <w:jc w:val="center"/>
            </w:pPr>
            <w:r>
              <w:rPr>
                <w:rFonts w:ascii="Arial" w:cs="Arial" w:eastAsia="Arial" w:hAnsi="Arial"/>
                <w:b/>
                <w:bCs/>
                <w:color w:val="2E4A6B"/>
                <w:sz w:val="20"/>
                <w:szCs w:val="20"/>
              </w:rPr>
              <w:t xml:space="preserve">Docentes y ATP
trayecto estatal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28C28" w:sz="1"/>
              <w:left w:val="single" w:color="F28C28" w:sz="1"/>
              <w:bottom w:val="single" w:color="F28C28" w:sz="1"/>
              <w:right w:val="single" w:color="F28C28" w:sz="1"/>
            </w:tcBorders>
            <w:shd w:fill="E8E6F5" w:val="clear"/>
            <w:tcMar>
              <w:top w:type="dxa" w:w="240"/>
              <w:left w:type="dxa" w:w="160"/>
              <w:bottom w:type="dxa" w:w="240"/>
              <w:right w:type="dxa" w:w="160"/>
            </w:tcMar>
            <w:vAlign w:val="center"/>
          </w:tcPr>
          <w:p>
            <w:pPr>
              <w:spacing w:after="80" w:before="0"/>
              <w:jc w:val="center"/>
            </w:pPr>
            <w:r>
              <w:rPr>
                <w:rFonts w:ascii="Arial" w:cs="Arial" w:eastAsia="Arial" w:hAnsi="Arial"/>
                <w:b/>
                <w:bCs/>
                <w:color w:val="F28C28"/>
                <w:sz w:val="64"/>
                <w:szCs w:val="64"/>
              </w:rPr>
              <w:t xml:space="preserve">+30,000</w:t>
            </w:r>
          </w:p>
          <w:p>
            <w:pPr>
              <w:spacing w:after="0" w:before="0"/>
              <w:jc w:val="center"/>
            </w:pPr>
            <w:r>
              <w:rPr>
                <w:rFonts w:ascii="Arial" w:cs="Arial" w:eastAsia="Arial" w:hAnsi="Arial"/>
                <w:b/>
                <w:bCs/>
                <w:color w:val="2E4A6B"/>
                <w:sz w:val="20"/>
                <w:szCs w:val="20"/>
              </w:rPr>
              <w:t xml:space="preserve">Docentes
curso masivo en tiempo real</w:t>
            </w:r>
          </w:p>
        </w:tc>
        <w:tc>
          <w:tcPr>
            <w:tcW w:type="dxa" w:w="4680"/>
            <w:tcBorders>
              <w:top w:val="single" w:color="E6005A" w:sz="1"/>
              <w:left w:val="single" w:color="E6005A" w:sz="1"/>
              <w:bottom w:val="single" w:color="E6005A" w:sz="1"/>
              <w:right w:val="single" w:color="E6005A" w:sz="1"/>
            </w:tcBorders>
            <w:shd w:fill="E8E6F5" w:val="clear"/>
            <w:tcMar>
              <w:top w:type="dxa" w:w="240"/>
              <w:left w:type="dxa" w:w="160"/>
              <w:bottom w:type="dxa" w:w="240"/>
              <w:right w:type="dxa" w:w="160"/>
            </w:tcMar>
            <w:vAlign w:val="center"/>
          </w:tcPr>
          <w:p>
            <w:pPr>
              <w:spacing w:after="80" w:before="0"/>
              <w:jc w:val="center"/>
            </w:pPr>
            <w:r>
              <w:rPr>
                <w:rFonts w:ascii="Arial" w:cs="Arial" w:eastAsia="Arial" w:hAnsi="Arial"/>
                <w:b/>
                <w:bCs/>
                <w:color w:val="E6005A"/>
                <w:sz w:val="64"/>
                <w:szCs w:val="64"/>
              </w:rPr>
              <w:t xml:space="preserve">5</w:t>
            </w:r>
          </w:p>
          <w:p>
            <w:pPr>
              <w:spacing w:after="0" w:before="0"/>
              <w:jc w:val="center"/>
            </w:pPr>
            <w:r>
              <w:rPr>
                <w:rFonts w:ascii="Arial" w:cs="Arial" w:eastAsia="Arial" w:hAnsi="Arial"/>
                <w:b/>
                <w:bCs/>
                <w:color w:val="2E4A6B"/>
                <w:sz w:val="20"/>
                <w:szCs w:val="20"/>
              </w:rPr>
              <w:t xml:space="preserve">Líneas estratégicas
2026</w:t>
            </w:r>
          </w:p>
        </w:tc>
      </w:tr>
    </w:tbl>
    <w:p>
      <w:r>
        <w:br w:type="page"/>
      </w:r>
    </w:p>
    <w:p>
      <w:pPr>
        <w:pBdr>
          <w:left w:val="single" w:color="E6005A" w:sz="24" w:space="12"/>
        </w:pBdr>
        <w:spacing w:after="120" w:before="360"/>
      </w:pPr>
      <w:r>
        <w:rPr>
          <w:rFonts w:ascii="Arial" w:cs="Arial" w:eastAsia="Arial" w:hAnsi="Arial"/>
          <w:b/>
          <w:bCs/>
          <w:color w:val="F28C28"/>
          <w:sz w:val="28"/>
          <w:szCs w:val="28"/>
        </w:rPr>
        <w:t xml:space="preserve">08</w:t>
      </w:r>
      <w:r>
        <w:rPr>
          <w:rFonts w:ascii="Arial" w:cs="Arial" w:eastAsia="Arial" w:hAnsi="Arial"/>
          <w:b/>
          <w:bCs/>
          <w:color w:val="E6005A"/>
          <w:sz w:val="32"/>
          <w:szCs w:val="32"/>
        </w:rPr>
        <w:t xml:space="preserve">  Cierre institucional</w:t>
      </w:r>
    </w:p>
    <w:p>
      <w:pPr>
        <w:spacing w:after="120" w:before="240"/>
      </w:pPr>
      <w:r>
        <w:rPr>
          <w:rFonts w:ascii="Arial" w:cs="Arial" w:eastAsia="Arial" w:hAnsi="Arial"/>
          <w:b/>
          <w:bCs/>
          <w:color w:val="2E4A6B"/>
          <w:sz w:val="26"/>
          <w:szCs w:val="26"/>
        </w:rPr>
        <w:t xml:space="preserve">Conectar para co-crear</w:t>
      </w:r>
    </w:p>
    <w:p>
      <w:pPr>
        <w:spacing w:after="80" w:before="80" w:line="300"/>
        <w:jc w:val="both"/>
      </w:pPr>
      <w:r>
        <w:rPr>
          <w:rFonts w:ascii="Arial" w:cs="Arial" w:eastAsia="Arial" w:hAnsi="Arial"/>
          <w:color w:val="333333"/>
          <w:sz w:val="22"/>
          <w:szCs w:val="22"/>
        </w:rPr>
        <w:t xml:space="preserve">La alfabetización digital y la formación en IA dejaron de ser acciones aisladas para convertirse en un componente estructural del Proyecto Educativo Estatal. Lo construido en 2025 es la plataforma que hace posible el despliegue 2026: una estrategia que nace en Jalisco, se piensa desde la comunidad educativa y llega a cada región para co-crear, con sus docentes, una educación capaz de transformar la realidad.</w:t>
      </w:r>
    </w:p>
    <w:p>
      <w:pPr>
        <w:spacing w:after="160" w:before="160"/>
        <w:jc w:val="center"/>
      </w:pPr>
      <w:r>
        <w:rPr>
          <w:rFonts w:ascii="Arial" w:cs="Arial" w:eastAsia="Arial" w:hAnsi="Arial"/>
          <w:b/>
          <w:bCs/>
          <w:i/>
          <w:iCs/>
          <w:color w:val="E6005A"/>
          <w:sz w:val="26"/>
          <w:szCs w:val="26"/>
        </w:rPr>
        <w:t xml:space="preserve">“Colocamos la vida al centro para co-crear, junto con la Inteligencia Artificial, una educación que transforme la realidad de Jalisco.”</w:t>
      </w:r>
    </w:p>
    <w:p>
      <w:pPr>
        <w:spacing w:after="80" w:before="80" w:line="300"/>
        <w:jc w:val="both"/>
      </w:pPr>
      <w:r>
        <w:rPr>
          <w:rFonts w:ascii="Arial" w:cs="Arial" w:eastAsia="Arial" w:hAnsi="Arial"/>
          <w:color w:val="333333"/>
          <w:sz w:val="22"/>
          <w:szCs w:val="22"/>
        </w:rPr>
        <w:t xml:space="preserve">Para sostener y escalar este esfuerzo, la Estrategia IA 2026 requiere del respaldo institucional del Despacho del Secretario y de las Subsecretarías, así como de la articulación con las instancias que hacen posible la operación territorial en las 14 regiones del estado.</w:t>
      </w:r>
    </w:p>
    <w:p>
      <w:pPr>
        <w:spacing w:after="600" w:before="600"/>
      </w:pPr>
      <w:r>
        <w:t xml:space="preserve"/>
      </w:r>
    </w:p>
    <w:p>
      <w:pPr>
        <w:pBdr>
          <w:top w:val="single" w:color="F28C28" w:sz="12" w:space="4"/>
        </w:pBdr>
        <w:spacing w:after="40" w:before="0"/>
        <w:jc w:val="left"/>
      </w:pPr>
      <w:r>
        <w:rPr>
          <w:rFonts w:ascii="Arial" w:cs="Arial" w:eastAsia="Arial" w:hAnsi="Arial"/>
          <w:b/>
          <w:bCs/>
          <w:color w:val="E6005A"/>
          <w:sz w:val="36"/>
          <w:szCs w:val="36"/>
        </w:rPr>
        <w:t xml:space="preserve">Gracias.</w:t>
      </w:r>
    </w:p>
    <w:p>
      <w:pPr>
        <w:spacing w:after="200" w:before="200"/>
      </w:pPr>
      <w:r>
        <w:t xml:space="preserve"/>
      </w:r>
    </w:p>
    <w:p>
      <w:pPr>
        <w:spacing w:after="40" w:before="0"/>
        <w:jc w:val="left"/>
      </w:pPr>
      <w:r>
        <w:rPr>
          <w:rFonts w:ascii="Arial" w:cs="Arial" w:eastAsia="Arial" w:hAnsi="Arial"/>
          <w:b/>
          <w:bCs/>
          <w:color w:val="2E4A6B"/>
          <w:sz w:val="24"/>
          <w:szCs w:val="24"/>
        </w:rPr>
        <w:t xml:space="preserve">Emmanuel Elizondo Hernández</w:t>
      </w:r>
    </w:p>
    <w:p>
      <w:pPr>
        <w:spacing w:after="40" w:before="0"/>
        <w:jc w:val="left"/>
      </w:pPr>
      <w:r>
        <w:rPr>
          <w:rFonts w:ascii="Arial" w:cs="Arial" w:eastAsia="Arial" w:hAnsi="Arial"/>
          <w:color w:val="333333"/>
          <w:sz w:val="22"/>
          <w:szCs w:val="22"/>
        </w:rPr>
        <w:t xml:space="preserve">Dirección de Alfabetización Digital</w:t>
      </w:r>
    </w:p>
    <w:p>
      <w:pPr>
        <w:spacing w:after="40" w:before="0"/>
        <w:jc w:val="left"/>
      </w:pPr>
      <w:r>
        <w:rPr>
          <w:rFonts w:ascii="Arial" w:cs="Arial" w:eastAsia="Arial" w:hAnsi="Arial"/>
          <w:color w:val="333333"/>
          <w:sz w:val="22"/>
          <w:szCs w:val="22"/>
        </w:rPr>
        <w:t xml:space="preserve">Dirección de Programas Estratégicos · Secretaría de Educación Jalisco</w:t>
      </w:r>
    </w:p>
    <w:p>
      <w:pPr>
        <w:spacing w:after="0" w:before="120"/>
        <w:jc w:val="left"/>
      </w:pPr>
      <w:r>
        <w:rPr>
          <w:rFonts w:ascii="Arial" w:cs="Arial" w:eastAsia="Arial" w:hAnsi="Arial"/>
          <w:i/>
          <w:iCs/>
          <w:color w:val="F28C28"/>
          <w:sz w:val="22"/>
          <w:szCs w:val="22"/>
        </w:rPr>
        <w:t xml:space="preserve">Enero 2026</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Informe 2025 · Dirección de Alfabetización Digital · 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Inteligencia Artificial para docentes  ·  Alfa Digital · SEJ</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E6005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Inteligencia Artificial para docentes — Acciones 2025 y proyección 2026</dc:title>
  <dc:creator>Emmanuel Elizondo Hernández</dc:creator>
  <dc:description>Informe de actividades 2025 de la Dirección de Alfabetización Digital - Estrategia IA</dc:description>
  <cp:lastModifiedBy>Un-named</cp:lastModifiedBy>
  <cp:revision>1</cp:revision>
  <dcterms:created xsi:type="dcterms:W3CDTF">2026-04-20T03:42:22.903Z</dcterms:created>
  <dcterms:modified xsi:type="dcterms:W3CDTF">2026-04-20T03:42:22.903Z</dcterms:modified>
</cp:coreProperties>
</file>

<file path=docProps/custom.xml><?xml version="1.0" encoding="utf-8"?>
<Properties xmlns="http://schemas.openxmlformats.org/officeDocument/2006/custom-properties" xmlns:vt="http://schemas.openxmlformats.org/officeDocument/2006/docPropsVTypes"/>
</file>