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r w:rsidRPr="00844A5D">
        <w:t>Practices for Secure Software</w:t>
      </w:r>
      <w:r w:rsidRPr="00844A5D" w:rsidR="00277B38">
        <w:t xml:space="preserve"> Report</w:t>
      </w:r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Pr="00FF5CF5" w:rsidR="00FF5CF5" w:rsidP="00844A5D" w:rsidRDefault="00940B1A" w14:paraId="5B237A03" w14:textId="4233EB61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:rsidR="00403219" w:rsidRDefault="00940B1A" w14:paraId="718C2BF2" w14:textId="2533AA3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97EE537" w14:textId="3D92612D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42C4407" w14:textId="223C24E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313A7A3D" w14:textId="11C3045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B704AC1" w14:textId="179EC0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DF0AABA" w14:textId="1EA418B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64D26887" w14:textId="0B15B65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00DD67" w14:textId="6730204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3ABADD" w14:textId="512ABA2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31FB9A1" w14:textId="7259129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13212D62" w14:textId="297E643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AD6BE8C" w14:textId="17581A8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00B7788F" w:rsidRDefault="00940B1A" w14:paraId="6A4686D4" w14:textId="541C0C17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02040754" w:id="4"/>
      <w:r w:rsidRPr="00B7788F">
        <w:lastRenderedPageBreak/>
        <w:t>Document Revision History</w:t>
      </w:r>
      <w:bookmarkEnd w:id="2"/>
      <w:bookmarkEnd w:id="3"/>
      <w:bookmarkEnd w:id="4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00824ABB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00824ABB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B7788F" w14:paraId="2819F8C6" w14:textId="43DB573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B7788F" w:rsidRDefault="00B7788F" w14:paraId="07699096" w14:textId="7BA1C99E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B7788F" w:rsidRDefault="00C32F3D" w14:paraId="77DC76FF" w14:textId="17BFB305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02040755" w:id="8"/>
      <w:r w:rsidRPr="00B7788F">
        <w:t>Client</w:t>
      </w:r>
      <w:bookmarkEnd w:id="5"/>
      <w:bookmarkEnd w:id="6"/>
      <w:bookmarkEnd w:id="7"/>
      <w:bookmarkEnd w:id="8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B7788F" w:rsidP="00B7788F" w:rsidRDefault="00B7788F" w14:paraId="63E3EBDD" w14:textId="77777777">
      <w:pPr>
        <w:contextualSpacing/>
        <w:jc w:val="center"/>
        <w:rPr>
          <w:rFonts w:cstheme="minorHAnsi"/>
          <w:sz w:val="22"/>
          <w:szCs w:val="22"/>
        </w:rPr>
      </w:pPr>
    </w:p>
    <w:p w:rsidR="00025C05" w:rsidP="00844A5D" w:rsidRDefault="00025C05" w14:paraId="3258C47E" w14:textId="2E309915">
      <w:pPr>
        <w:pStyle w:val="Heading2"/>
      </w:pPr>
      <w:bookmarkStart w:name="_Toc500761898" w:id="9"/>
      <w:bookmarkStart w:name="_Toc1695397086" w:id="10"/>
      <w:bookmarkStart w:name="_Toc102040756" w:id="11"/>
      <w:r w:rsidRPr="00B7788F">
        <w:t>Instructions</w:t>
      </w:r>
      <w:bookmarkEnd w:id="9"/>
      <w:bookmarkEnd w:id="10"/>
      <w:bookmarkEnd w:id="11"/>
    </w:p>
    <w:p w:rsidRPr="00B7788F" w:rsidR="00B7788F" w:rsidP="00B7788F" w:rsidRDefault="00B7788F" w14:paraId="196D9538" w14:textId="77777777">
      <w:pPr>
        <w:contextualSpacing/>
      </w:pPr>
    </w:p>
    <w:p w:rsidR="00025C05" w:rsidP="30A2BF11" w:rsidRDefault="00FC36E8" w14:paraId="516CA6BB" w14:textId="28BCF90A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Pr="30A2BF11" w:rsidR="00025C05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Pr="30A2BF11" w:rsidR="00EB1CEC">
        <w:rPr>
          <w:rFonts w:eastAsia="Times New Roman"/>
          <w:sz w:val="22"/>
          <w:szCs w:val="22"/>
        </w:rPr>
        <w:t xml:space="preserve">ractices </w:t>
      </w:r>
      <w:r w:rsidRPr="30A2BF11" w:rsidR="00277B38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Pr="30A2BF11" w:rsidR="00F81BBB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Pr="30A2BF11" w:rsidR="00277B38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Pr="30A2BF11" w:rsidR="00277B38">
        <w:rPr>
          <w:rFonts w:eastAsia="Times New Roman"/>
          <w:sz w:val="22"/>
          <w:szCs w:val="22"/>
        </w:rPr>
        <w:t xml:space="preserve"> with software security testing protocols.</w:t>
      </w:r>
    </w:p>
    <w:p w:rsidRPr="00B7788F" w:rsidR="006E1A73" w:rsidP="30A2BF11" w:rsidRDefault="006E1A73" w14:paraId="26E62C94" w14:textId="77777777">
      <w:pPr>
        <w:contextualSpacing/>
        <w:rPr>
          <w:rFonts w:eastAsia="Times New Roman"/>
          <w:sz w:val="22"/>
          <w:szCs w:val="22"/>
        </w:rPr>
      </w:pPr>
    </w:p>
    <w:p w:rsidR="00182245" w:rsidP="00FD7CC8" w:rsidRDefault="00025C05" w14:paraId="09AE0EE8" w14:textId="79422EA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:rsidR="00025C05" w:rsidP="00FD7CC8" w:rsidRDefault="00A2133A" w14:paraId="50453C02" w14:textId="72D9B1C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Pr="00632C6F" w:rsidR="00114D54">
        <w:rPr>
          <w:rFonts w:eastAsia="Times New Roman"/>
          <w:sz w:val="22"/>
          <w:szCs w:val="22"/>
        </w:rPr>
        <w:t xml:space="preserve">your </w:t>
      </w:r>
      <w:r w:rsidRPr="00632C6F" w:rsidR="00025C05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Pr="00632C6F" w:rsidR="00025C05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Pr="00632C6F" w:rsidR="00025C05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Pr="00632C6F" w:rsidR="00025C05">
        <w:rPr>
          <w:rFonts w:eastAsia="Times New Roman"/>
          <w:sz w:val="22"/>
          <w:szCs w:val="22"/>
        </w:rPr>
        <w:t xml:space="preserve">, </w:t>
      </w:r>
      <w:r w:rsidRPr="00FC47F0" w:rsidR="00025C05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Pr="00FC47F0" w:rsidR="00632C6F">
        <w:rPr>
          <w:rFonts w:eastAsia="Times New Roman"/>
          <w:sz w:val="22"/>
          <w:szCs w:val="22"/>
        </w:rPr>
        <w:t xml:space="preserve"> </w:t>
      </w:r>
      <w:r w:rsidRPr="00632C6F" w:rsidR="00025C05">
        <w:rPr>
          <w:rFonts w:eastAsia="Times New Roman"/>
          <w:sz w:val="22"/>
          <w:szCs w:val="22"/>
        </w:rPr>
        <w:t>insert them</w:t>
      </w:r>
      <w:r w:rsidRPr="00632C6F" w:rsidR="00FD1686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Pr="00632C6F" w:rsidR="00025C05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Pr="00632C6F" w:rsidR="00025C05">
        <w:rPr>
          <w:rFonts w:eastAsia="Times New Roman"/>
          <w:sz w:val="22"/>
          <w:szCs w:val="22"/>
        </w:rPr>
        <w:t>.</w:t>
      </w:r>
    </w:p>
    <w:p w:rsidRPr="00632C6F" w:rsidR="00182245" w:rsidP="00632C6F" w:rsidRDefault="00182245" w14:paraId="139833A9" w14:textId="2485F2B1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:rsidRPr="00B7788F" w:rsidR="00701A84" w:rsidP="00B7788F" w:rsidRDefault="005F574E" w14:paraId="436275F6" w14:textId="0EBDD81C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02040757" w:id="14"/>
      <w:r w:rsidR="00352FD0">
        <w:rPr/>
        <w:t>Developer</w:t>
      </w:r>
      <w:bookmarkEnd w:id="12"/>
      <w:bookmarkEnd w:id="13"/>
      <w:bookmarkEnd w:id="14"/>
    </w:p>
    <w:p w:rsidR="2B242F60" w:rsidP="7E4D0A71" w:rsidRDefault="2B242F60" w14:paraId="4DE7384F" w14:textId="762D0043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7E4D0A71" w:rsidR="2B242F60">
        <w:rPr>
          <w:rFonts w:cs="Calibri" w:cstheme="minorAscii"/>
          <w:sz w:val="22"/>
          <w:szCs w:val="22"/>
        </w:rPr>
        <w:t>Emmanuela Filev-Mihalak</w:t>
      </w:r>
    </w:p>
    <w:p w:rsidRPr="00B7788F" w:rsidR="0058064D" w:rsidP="00D47759" w:rsidRDefault="0058064D" w14:paraId="3A4DB0F5" w14:textId="518A6D83">
      <w:pPr>
        <w:contextualSpacing/>
        <w:rPr>
          <w:rFonts w:cstheme="minorHAns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</w:pPr>
      <w:bookmarkStart w:name="_Toc361528762" w:id="15"/>
      <w:bookmarkStart w:name="_Toc1441383079" w:id="16"/>
      <w:bookmarkStart w:name="_Toc102040758" w:id="17"/>
      <w:r w:rsidRPr="00B7788F">
        <w:t>Algorithm Cipher</w:t>
      </w:r>
      <w:bookmarkEnd w:id="15"/>
      <w:bookmarkEnd w:id="16"/>
      <w:bookmarkEnd w:id="17"/>
    </w:p>
    <w:p w:rsidRPr="00B7788F" w:rsidR="00E4044A" w:rsidP="00D47759" w:rsidRDefault="00E4044A" w14:paraId="3C3C7792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058E9AC" w:rsidP="7E4D0A71" w:rsidRDefault="0058E9AC" w14:paraId="47E9CBE3" w14:textId="5551590A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4D0A71" w:rsidR="0058E9AC">
        <w:rPr>
          <w:rFonts w:eastAsia="Times New Roman"/>
          <w:sz w:val="22"/>
          <w:szCs w:val="22"/>
        </w:rPr>
        <w:t xml:space="preserve">I recommend using SHA-256 for this program. </w:t>
      </w:r>
      <w:r w:rsidRPr="7E4D0A71" w:rsidR="0058E9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SHA-256 currently meets the standard for the safest recommended algorithm ciphers to use in programs. </w:t>
      </w:r>
      <w:r w:rsidRPr="7E4D0A71" w:rsidR="0058E9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E4D0A71" w:rsidR="4EFDEB6C">
        <w:rPr>
          <w:rFonts w:ascii="Calibri" w:hAnsi="Calibri" w:eastAsia="Calibri" w:cs="Calibri"/>
          <w:noProof w:val="0"/>
          <w:sz w:val="22"/>
          <w:szCs w:val="22"/>
          <w:lang w:val="en-US"/>
        </w:rPr>
        <w:t>It uses 256-bit key</w:t>
      </w:r>
      <w:r w:rsidRPr="7E4D0A71" w:rsidR="1D0F6407">
        <w:rPr>
          <w:rFonts w:ascii="Calibri" w:hAnsi="Calibri" w:eastAsia="Calibri" w:cs="Calibri"/>
          <w:noProof w:val="0"/>
          <w:sz w:val="22"/>
          <w:szCs w:val="22"/>
          <w:lang w:val="en-US"/>
        </w:rPr>
        <w:t>s and is asymmetric</w:t>
      </w:r>
      <w:r w:rsidRPr="7E4D0A71" w:rsidR="4EFDEB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making it one of the most secure hash algorithms. </w:t>
      </w:r>
    </w:p>
    <w:p w:rsidRPr="00B7788F" w:rsidR="00010B8A" w:rsidP="00D47759" w:rsidRDefault="00010B8A" w14:paraId="5CAB2AA8" w14:textId="77777777">
      <w:pPr>
        <w:contextualSpacing/>
        <w:rPr>
          <w:rFonts w:cstheme="minorHAnsi"/>
          <w:sz w:val="22"/>
          <w:szCs w:val="22"/>
        </w:rPr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</w:pPr>
      <w:bookmarkStart w:name="_Toc272204322" w:id="18"/>
      <w:bookmarkStart w:name="_Toc290624425" w:id="19"/>
      <w:bookmarkStart w:name="_Toc102040759" w:id="20"/>
      <w:r w:rsidRPr="00B7788F">
        <w:t>Certificate Generation</w:t>
      </w:r>
      <w:bookmarkEnd w:id="18"/>
      <w:bookmarkEnd w:id="19"/>
      <w:bookmarkEnd w:id="20"/>
    </w:p>
    <w:p w:rsidRPr="00B7788F" w:rsidR="00E4044A" w:rsidP="00D47759" w:rsidRDefault="00120ACD" w14:paraId="7CBD82F1" w14:textId="298175AE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:rsidR="003978A0" w:rsidP="00D47759" w:rsidRDefault="003978A0" w14:paraId="6BEBCC7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DB5652" w:rsidP="3821F046" w:rsidRDefault="00DB5652" w14:paraId="58DD58B0" w14:textId="0DEA86BB">
      <w:pPr>
        <w:pStyle w:val="Normal"/>
        <w:spacing/>
        <w:contextualSpacing/>
      </w:pPr>
      <w:r w:rsidR="5F532D27">
        <w:drawing>
          <wp:inline wp14:editId="4D1372B9" wp14:anchorId="43F60490">
            <wp:extent cx="6296025" cy="2636460"/>
            <wp:effectExtent l="0" t="0" r="0" b="0"/>
            <wp:docPr id="1179232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0b4bef558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6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3821F046" w:rsidRDefault="00DB5652" w14:paraId="77A5BBC5" w14:textId="7D958CBD">
      <w:pPr>
        <w:pStyle w:val="Normal"/>
        <w:spacing/>
        <w:contextualSpacing/>
      </w:pPr>
      <w:r w:rsidR="21A142C2">
        <w:drawing>
          <wp:inline wp14:editId="0F29A772" wp14:anchorId="2BC39855">
            <wp:extent cx="3533775" cy="4572000"/>
            <wp:effectExtent l="0" t="0" r="0" b="0"/>
            <wp:docPr id="1618764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418cc8ed9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</w:pPr>
      <w:bookmarkStart w:name="_Toc153388823" w:id="21"/>
      <w:bookmarkStart w:name="_Toc469977634" w:id="22"/>
      <w:bookmarkStart w:name="_Toc102040760" w:id="23"/>
      <w:r>
        <w:t>Deploy Cipher</w:t>
      </w:r>
      <w:bookmarkEnd w:id="21"/>
      <w:bookmarkEnd w:id="22"/>
      <w:bookmarkEnd w:id="23"/>
    </w:p>
    <w:p w:rsidRPr="00B7788F" w:rsidR="00E4044A" w:rsidP="00D47759" w:rsidRDefault="00E4044A" w14:paraId="126E4B35" w14:textId="092BB87F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:rsidR="7A11E5F5" w:rsidP="3821F046" w:rsidRDefault="7A11E5F5" w14:paraId="4D732C24" w14:textId="7CD6A306">
      <w:pPr>
        <w:pStyle w:val="Normal"/>
        <w:spacing/>
        <w:contextualSpacing/>
      </w:pPr>
      <w:r w:rsidR="7A11E5F5">
        <w:drawing>
          <wp:inline wp14:editId="29A1D4F5" wp14:anchorId="335986B9">
            <wp:extent cx="4572000" cy="2314575"/>
            <wp:effectExtent l="0" t="0" r="0" b="0"/>
            <wp:docPr id="567236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a8edc017b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BA341E9" w14:textId="77777777">
      <w:pPr>
        <w:contextualSpacing/>
        <w:rPr>
          <w:rFonts w:cstheme="minorHAnsi"/>
          <w:sz w:val="22"/>
          <w:szCs w:val="22"/>
        </w:rPr>
      </w:pP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</w:pPr>
      <w:bookmarkStart w:name="_Toc102040761" w:id="24"/>
      <w:bookmarkStart w:name="_Toc985755642" w:id="25"/>
      <w:bookmarkStart w:name="_Toc1980769825" w:id="26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:rsidRPr="00B7788F" w:rsidR="00E4044A" w:rsidP="00D47759" w:rsidRDefault="00E4044A" w14:paraId="3BE26112" w14:textId="6216B352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:rsidR="003978A0" w:rsidP="00D47759" w:rsidRDefault="003978A0" w14:paraId="2CB31EF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DB5652" w:rsidP="3821F046" w:rsidRDefault="00DB5652" w14:paraId="6F681708" w14:textId="39250694">
      <w:pPr>
        <w:pStyle w:val="Normal"/>
        <w:spacing/>
        <w:contextualSpacing/>
      </w:pPr>
      <w:r w:rsidR="417B61DD">
        <w:drawing>
          <wp:inline wp14:editId="396B75D4" wp14:anchorId="366E24EE">
            <wp:extent cx="4572000" cy="609608"/>
            <wp:effectExtent l="0" t="0" r="0" b="0"/>
            <wp:docPr id="1864314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4c549487b40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074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</w:pPr>
      <w:bookmarkStart w:name="_Toc1258769504" w:id="27"/>
      <w:bookmarkStart w:name="_Toc1151872792" w:id="28"/>
      <w:bookmarkStart w:name="_Toc102040762" w:id="29"/>
      <w:r w:rsidRPr="00B7788F">
        <w:t>Secondary Testing</w:t>
      </w:r>
      <w:bookmarkEnd w:id="27"/>
      <w:bookmarkEnd w:id="28"/>
      <w:bookmarkEnd w:id="29"/>
    </w:p>
    <w:p w:rsidRPr="00B7788F" w:rsidR="00E4044A" w:rsidP="00D47759" w:rsidRDefault="00FF48E7" w14:paraId="3496F240" w14:textId="191BA9EA">
      <w:pPr>
        <w:contextualSpacing/>
        <w:rPr>
          <w:rFonts w:eastAsia="Times New Roman" w:cstheme="minorHAnsi"/>
          <w:sz w:val="22"/>
          <w:szCs w:val="22"/>
        </w:rPr>
      </w:pPr>
      <w:r w:rsidRPr="3821F046" w:rsidR="00FF48E7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Pr="3821F046" w:rsidR="006E3003">
        <w:rPr>
          <w:rFonts w:eastAsia="Times New Roman"/>
          <w:sz w:val="22"/>
          <w:szCs w:val="22"/>
        </w:rPr>
        <w:t>-</w:t>
      </w:r>
      <w:r w:rsidRPr="3821F046" w:rsidR="00FF48E7">
        <w:rPr>
          <w:rFonts w:eastAsia="Times New Roman"/>
          <w:sz w:val="22"/>
          <w:szCs w:val="22"/>
        </w:rPr>
        <w:t>check report.</w:t>
      </w:r>
    </w:p>
    <w:p w:rsidRPr="00B7788F" w:rsidR="00DB5652" w:rsidP="3821F046" w:rsidRDefault="00DB5652" w14:paraId="0F55AFF5" w14:textId="49E8592F">
      <w:pPr>
        <w:pStyle w:val="Normal"/>
        <w:spacing/>
        <w:contextualSpacing/>
      </w:pPr>
      <w:r w:rsidR="555E6564">
        <w:drawing>
          <wp:inline wp14:editId="03417E71" wp14:anchorId="2882C8CB">
            <wp:extent cx="4572000" cy="3467100"/>
            <wp:effectExtent l="0" t="0" r="0" b="0"/>
            <wp:docPr id="1322981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b1a5baa0c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3821F046" w:rsidRDefault="00DB5652" w14:paraId="328CA533" w14:textId="7C0A3DDF">
      <w:pPr>
        <w:pStyle w:val="Normal"/>
        <w:spacing/>
        <w:contextualSpacing/>
      </w:pPr>
      <w:r w:rsidR="555E6564">
        <w:drawing>
          <wp:inline wp14:editId="76DBF5F0" wp14:anchorId="01B65010">
            <wp:extent cx="5705475" cy="439797"/>
            <wp:effectExtent l="0" t="0" r="0" b="0"/>
            <wp:docPr id="1296961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2fe5a582b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3821F046" w:rsidRDefault="00DB5652" w14:paraId="75B70F3E" w14:textId="1AFF9081">
      <w:pPr>
        <w:pStyle w:val="Normal"/>
        <w:spacing/>
        <w:contextualSpacing/>
      </w:pPr>
      <w:r w:rsidR="32A3D643">
        <w:drawing>
          <wp:inline wp14:editId="52A362CC" wp14:anchorId="66D189A3">
            <wp:extent cx="4572000" cy="2914650"/>
            <wp:effectExtent l="0" t="0" r="0" b="0"/>
            <wp:docPr id="1446449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defd43a1c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1F046" w:rsidP="3821F046" w:rsidRDefault="3821F046" w14:paraId="02978BF4" w14:textId="6E967EEE">
      <w:pPr>
        <w:pStyle w:val="Normal"/>
        <w:spacing/>
        <w:contextualSpacing/>
      </w:pP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726280430" w:id="30"/>
      <w:bookmarkStart w:name="_Toc190184513" w:id="31"/>
      <w:bookmarkStart w:name="_Toc102040763" w:id="32"/>
      <w:r w:rsidR="000202DE">
        <w:rPr/>
        <w:t>Functional Testing</w:t>
      </w:r>
      <w:bookmarkEnd w:id="30"/>
      <w:bookmarkEnd w:id="31"/>
      <w:bookmarkEnd w:id="32"/>
    </w:p>
    <w:p w:rsidR="40F9D2A3" w:rsidP="3821F046" w:rsidRDefault="40F9D2A3" w14:paraId="091EEF58" w14:textId="7FCBF79C">
      <w:pPr>
        <w:pStyle w:val="Normal"/>
        <w:spacing/>
        <w:contextualSpacing/>
        <w:rPr>
          <w:sz w:val="22"/>
          <w:szCs w:val="22"/>
        </w:rPr>
      </w:pPr>
      <w:r w:rsidRPr="3821F046" w:rsidR="40F9D2A3">
        <w:rPr>
          <w:sz w:val="22"/>
          <w:szCs w:val="22"/>
        </w:rPr>
        <w:t xml:space="preserve">After manually checking the code, no </w:t>
      </w:r>
      <w:r w:rsidRPr="3821F046" w:rsidR="40F9D2A3">
        <w:rPr>
          <w:sz w:val="22"/>
          <w:szCs w:val="22"/>
        </w:rPr>
        <w:t>additional</w:t>
      </w:r>
      <w:r w:rsidRPr="3821F046" w:rsidR="40F9D2A3">
        <w:rPr>
          <w:sz w:val="22"/>
          <w:szCs w:val="22"/>
        </w:rPr>
        <w:t xml:space="preserve"> refactoring was required.</w:t>
      </w:r>
    </w:p>
    <w:p w:rsidR="3821F046" w:rsidP="3821F046" w:rsidRDefault="3821F046" w14:paraId="0FFCE4B0" w14:textId="4E0D175E">
      <w:pPr>
        <w:pStyle w:val="Normal"/>
        <w:spacing/>
        <w:contextualSpacing/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</w:pPr>
      <w:bookmarkStart w:name="_Toc1256172566" w:id="33"/>
      <w:bookmarkStart w:name="_Toc1705881728" w:id="34"/>
      <w:bookmarkStart w:name="_Toc102040764" w:id="35"/>
      <w:r w:rsidRPr="00B7788F">
        <w:t>Summary</w:t>
      </w:r>
      <w:bookmarkEnd w:id="33"/>
      <w:bookmarkEnd w:id="34"/>
      <w:bookmarkEnd w:id="35"/>
    </w:p>
    <w:p w:rsidRPr="00B7788F" w:rsidR="00E4044A" w:rsidP="00D47759" w:rsidRDefault="00E4044A" w14:paraId="09582ED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588A9409" w:rsidP="3821F046" w:rsidRDefault="588A9409" w14:paraId="498908E2" w14:textId="29378915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  <w:r w:rsidRPr="6758C88C" w:rsidR="588A9409">
        <w:rPr>
          <w:rFonts w:eastAsia="Times New Roman"/>
          <w:sz w:val="22"/>
          <w:szCs w:val="22"/>
        </w:rPr>
        <w:t xml:space="preserve">To create a secure application, I first used a self-signed certificate that only I would use for testing. I then updated my </w:t>
      </w:r>
      <w:r w:rsidRPr="6758C88C" w:rsidR="588A9409">
        <w:rPr>
          <w:rFonts w:eastAsia="Times New Roman"/>
          <w:sz w:val="22"/>
          <w:szCs w:val="22"/>
        </w:rPr>
        <w:t>application.properties</w:t>
      </w:r>
      <w:r w:rsidRPr="6758C88C" w:rsidR="588A9409">
        <w:rPr>
          <w:rFonts w:eastAsia="Times New Roman"/>
          <w:sz w:val="22"/>
          <w:szCs w:val="22"/>
        </w:rPr>
        <w:t xml:space="preserve"> file to use </w:t>
      </w:r>
      <w:r w:rsidRPr="6758C88C" w:rsidR="588A9409">
        <w:rPr>
          <w:rFonts w:eastAsia="Times New Roman"/>
          <w:sz w:val="22"/>
          <w:szCs w:val="22"/>
        </w:rPr>
        <w:t>all of</w:t>
      </w:r>
      <w:r w:rsidRPr="6758C88C" w:rsidR="588A9409">
        <w:rPr>
          <w:rFonts w:eastAsia="Times New Roman"/>
          <w:sz w:val="22"/>
          <w:szCs w:val="22"/>
        </w:rPr>
        <w:t xml:space="preserve"> the properties that my certificate contains. </w:t>
      </w:r>
      <w:r w:rsidRPr="6758C88C" w:rsidR="0A4D96E1">
        <w:rPr>
          <w:rFonts w:eastAsia="Times New Roman"/>
          <w:sz w:val="22"/>
          <w:szCs w:val="22"/>
        </w:rPr>
        <w:t xml:space="preserve">I also made sure the application runs on 8443 for security. According to the vulnerability assessment process flow chart, I </w:t>
      </w:r>
      <w:r w:rsidRPr="6758C88C" w:rsidR="1953F782">
        <w:rPr>
          <w:rFonts w:eastAsia="Times New Roman"/>
          <w:sz w:val="22"/>
          <w:szCs w:val="22"/>
        </w:rPr>
        <w:t>maintained</w:t>
      </w:r>
      <w:r w:rsidRPr="6758C88C" w:rsidR="1953F782">
        <w:rPr>
          <w:rFonts w:eastAsia="Times New Roman"/>
          <w:sz w:val="22"/>
          <w:szCs w:val="22"/>
        </w:rPr>
        <w:t xml:space="preserve"> secure API interactions, used cryptography effectively, and </w:t>
      </w:r>
      <w:r w:rsidRPr="6758C88C" w:rsidR="1953F782">
        <w:rPr>
          <w:rFonts w:eastAsia="Times New Roman"/>
          <w:sz w:val="22"/>
          <w:szCs w:val="22"/>
        </w:rPr>
        <w:t>follo</w:t>
      </w:r>
      <w:r w:rsidRPr="6758C88C" w:rsidR="1953F782">
        <w:rPr>
          <w:rFonts w:eastAsia="Times New Roman"/>
          <w:sz w:val="22"/>
          <w:szCs w:val="22"/>
        </w:rPr>
        <w:t>wed secure coding practices and patterns.</w:t>
      </w:r>
    </w:p>
    <w:p w:rsidR="006E3003" w:rsidP="00D47759" w:rsidRDefault="006E3003" w14:paraId="4C02CC3C" w14:textId="77777777">
      <w:pPr>
        <w:contextualSpacing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02040765" w:id="37"/>
      <w:r w:rsidRPr="00844A5D">
        <w:t>Industry Standard Best Practices</w:t>
      </w:r>
      <w:bookmarkEnd w:id="36"/>
      <w:bookmarkEnd w:id="37"/>
    </w:p>
    <w:p w:rsidR="620D193F" w:rsidP="00D47759" w:rsidRDefault="620D193F" w14:paraId="266CC060" w14:textId="29545586">
      <w:pPr>
        <w:contextualSpacing/>
        <w:rPr>
          <w:rFonts w:eastAsia="Times New Roman"/>
          <w:sz w:val="22"/>
          <w:szCs w:val="22"/>
        </w:rPr>
      </w:pPr>
    </w:p>
    <w:p w:rsidR="056CE43E" w:rsidP="6758C88C" w:rsidRDefault="056CE43E" w14:paraId="50F972D6" w14:textId="5918ACE6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6758C88C" w:rsidR="056CE43E">
        <w:rPr>
          <w:rFonts w:eastAsia="Times New Roman"/>
          <w:sz w:val="22"/>
          <w:szCs w:val="22"/>
        </w:rPr>
        <w:t xml:space="preserve">I made sure I followed industry standard best practices by following the vulnerability assessment process flow chart, referring to Java security standards, and simply following the requirements set for the application. </w:t>
      </w: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8E9AC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02F2AEFA"/>
    <w:rsid w:val="048E7F5B"/>
    <w:rsid w:val="056CE43E"/>
    <w:rsid w:val="0A4D96E1"/>
    <w:rsid w:val="0AF5747D"/>
    <w:rsid w:val="10BD1302"/>
    <w:rsid w:val="11A1E2E7"/>
    <w:rsid w:val="1953F782"/>
    <w:rsid w:val="195DB78F"/>
    <w:rsid w:val="1D0F6407"/>
    <w:rsid w:val="1FA2FC07"/>
    <w:rsid w:val="1FCCF913"/>
    <w:rsid w:val="2168C974"/>
    <w:rsid w:val="21A142C2"/>
    <w:rsid w:val="236039E6"/>
    <w:rsid w:val="275A6BDC"/>
    <w:rsid w:val="2B242F60"/>
    <w:rsid w:val="2CB369A1"/>
    <w:rsid w:val="2E5D5C8F"/>
    <w:rsid w:val="2F43C643"/>
    <w:rsid w:val="30A2BF11"/>
    <w:rsid w:val="329BBDBD"/>
    <w:rsid w:val="32A3D643"/>
    <w:rsid w:val="3322AB25"/>
    <w:rsid w:val="347D29E8"/>
    <w:rsid w:val="35D35E7F"/>
    <w:rsid w:val="35E60A95"/>
    <w:rsid w:val="37361AD9"/>
    <w:rsid w:val="3821F046"/>
    <w:rsid w:val="3AE22101"/>
    <w:rsid w:val="3BC013C1"/>
    <w:rsid w:val="4007FAAC"/>
    <w:rsid w:val="401E1AB0"/>
    <w:rsid w:val="40D4B0BD"/>
    <w:rsid w:val="40F9D2A3"/>
    <w:rsid w:val="417B61DD"/>
    <w:rsid w:val="44136985"/>
    <w:rsid w:val="44868A18"/>
    <w:rsid w:val="454174DB"/>
    <w:rsid w:val="47F056AF"/>
    <w:rsid w:val="48E6DAA8"/>
    <w:rsid w:val="4A82AB09"/>
    <w:rsid w:val="4BF02D26"/>
    <w:rsid w:val="4E510242"/>
    <w:rsid w:val="4EFDEB6C"/>
    <w:rsid w:val="5018F677"/>
    <w:rsid w:val="5042C719"/>
    <w:rsid w:val="51391587"/>
    <w:rsid w:val="51CDBB7F"/>
    <w:rsid w:val="555E6564"/>
    <w:rsid w:val="563F3A8F"/>
    <w:rsid w:val="56954D80"/>
    <w:rsid w:val="588A9409"/>
    <w:rsid w:val="5A02075A"/>
    <w:rsid w:val="5B587107"/>
    <w:rsid w:val="5B95489A"/>
    <w:rsid w:val="5DD73C14"/>
    <w:rsid w:val="5F532D27"/>
    <w:rsid w:val="604FE896"/>
    <w:rsid w:val="613BD1DB"/>
    <w:rsid w:val="620D193F"/>
    <w:rsid w:val="6292A5E1"/>
    <w:rsid w:val="65BCF82B"/>
    <w:rsid w:val="66342124"/>
    <w:rsid w:val="6758C88C"/>
    <w:rsid w:val="681DCBB2"/>
    <w:rsid w:val="69DDBFCF"/>
    <w:rsid w:val="69EDBCD2"/>
    <w:rsid w:val="6A15040F"/>
    <w:rsid w:val="6C6F9D07"/>
    <w:rsid w:val="6D4E6B20"/>
    <w:rsid w:val="7101F37A"/>
    <w:rsid w:val="748053AE"/>
    <w:rsid w:val="783D8A15"/>
    <w:rsid w:val="7A11E5F5"/>
    <w:rsid w:val="7AA95D77"/>
    <w:rsid w:val="7B436918"/>
    <w:rsid w:val="7C567870"/>
    <w:rsid w:val="7E4D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2dbe43ee7a364449" /><Relationship Type="http://schemas.openxmlformats.org/officeDocument/2006/relationships/image" Target="/media/image3.png" Id="Rb100b4bef55849b4" /><Relationship Type="http://schemas.openxmlformats.org/officeDocument/2006/relationships/image" Target="/media/image4.png" Id="R166418cc8ed9457b" /><Relationship Type="http://schemas.openxmlformats.org/officeDocument/2006/relationships/image" Target="/media/image5.png" Id="R477a8edc017b48eb" /><Relationship Type="http://schemas.openxmlformats.org/officeDocument/2006/relationships/image" Target="/media/image7.png" Id="Rceeb1a5baa0c4eba" /><Relationship Type="http://schemas.openxmlformats.org/officeDocument/2006/relationships/image" Target="/media/image8.png" Id="R6e52fe5a582b494e" /><Relationship Type="http://schemas.openxmlformats.org/officeDocument/2006/relationships/image" Target="/media/image9.png" Id="Rcfedefd43a1c421b" /><Relationship Type="http://schemas.openxmlformats.org/officeDocument/2006/relationships/image" Target="/media/imagea.png" Id="R7104c549487b40f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20a8b-52eb-4126-a6fb-608e9018ab23}"/>
      </w:docPartPr>
      <w:docPartBody>
        <w:p w14:paraId="78624E0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Filev-Mihalak, Emmanuela</lastModifiedBy>
  <revision>53</revision>
  <dcterms:created xsi:type="dcterms:W3CDTF">2022-04-20T12:43:00.0000000Z</dcterms:created>
  <dcterms:modified xsi:type="dcterms:W3CDTF">2023-04-16T18:07:01.0588798Z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