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COMPANY EVENT BRIEF</w:t>
      </w:r>
    </w:p>
    <w:p>
      <w:pPr>
        <w:jc w:val="center"/>
      </w:pPr>
      <w:r>
        <w:rPr>
          <w:b/>
        </w:rPr>
        <w:t>Meridian Solutions Ltd — Annual Leadership Summit 2026</w:t>
      </w:r>
    </w:p>
    <w:p/>
    <w:p>
      <w:pPr>
        <w:pStyle w:val="Heading1"/>
      </w:pPr>
      <w:r>
        <w:t>1. Event Overview</w:t>
      </w:r>
    </w:p>
    <w:tbl>
      <w:tblPr>
        <w:tblStyle w:val="TableGrid"/>
        <w:tblW w:type="auto" w:w="0"/>
        <w:tblLook w:firstColumn="1" w:firstRow="1" w:lastColumn="0" w:lastRow="0" w:noHBand="0" w:noVBand="1" w:val="04A0"/>
      </w:tblPr>
      <w:tblGrid>
        <w:gridCol w:w="4320"/>
        <w:gridCol w:w="4320"/>
      </w:tblGrid>
      <w:tr>
        <w:tc>
          <w:tcPr>
            <w:tcW w:type="dxa" w:w="4320"/>
          </w:tcPr>
          <w:p>
            <w:r>
              <w:rPr>
                <w:b/>
              </w:rPr>
              <w:t>Event Name</w:t>
            </w:r>
          </w:p>
        </w:tc>
        <w:tc>
          <w:tcPr>
            <w:tcW w:type="dxa" w:w="4320"/>
          </w:tcPr>
          <w:p>
            <w:r>
              <w:t>Annual Leadership Summit 2026</w:t>
            </w:r>
          </w:p>
        </w:tc>
      </w:tr>
      <w:tr>
        <w:tc>
          <w:tcPr>
            <w:tcW w:type="dxa" w:w="4320"/>
          </w:tcPr>
          <w:p>
            <w:r>
              <w:rPr>
                <w:b/>
              </w:rPr>
              <w:t>Organising Company</w:t>
            </w:r>
          </w:p>
        </w:tc>
        <w:tc>
          <w:tcPr>
            <w:tcW w:type="dxa" w:w="4320"/>
          </w:tcPr>
          <w:p>
            <w:r>
              <w:t>Meridian Solutions Ltd</w:t>
            </w:r>
          </w:p>
        </w:tc>
      </w:tr>
      <w:tr>
        <w:tc>
          <w:tcPr>
            <w:tcW w:type="dxa" w:w="4320"/>
          </w:tcPr>
          <w:p>
            <w:r>
              <w:rPr>
                <w:b/>
              </w:rPr>
              <w:t>Event Type</w:t>
            </w:r>
          </w:p>
        </w:tc>
        <w:tc>
          <w:tcPr>
            <w:tcW w:type="dxa" w:w="4320"/>
          </w:tcPr>
          <w:p>
            <w:r>
              <w:t>Corporate Conference &amp; Awards Dinner</w:t>
            </w:r>
          </w:p>
        </w:tc>
      </w:tr>
      <w:tr>
        <w:tc>
          <w:tcPr>
            <w:tcW w:type="dxa" w:w="4320"/>
          </w:tcPr>
          <w:p>
            <w:r>
              <w:rPr>
                <w:b/>
              </w:rPr>
              <w:t>Proposed Date</w:t>
            </w:r>
          </w:p>
        </w:tc>
        <w:tc>
          <w:tcPr>
            <w:tcW w:type="dxa" w:w="4320"/>
          </w:tcPr>
          <w:p>
            <w:r>
              <w:t>14th October 2026</w:t>
            </w:r>
          </w:p>
        </w:tc>
      </w:tr>
      <w:tr>
        <w:tc>
          <w:tcPr>
            <w:tcW w:type="dxa" w:w="4320"/>
          </w:tcPr>
          <w:p>
            <w:r>
              <w:rPr>
                <w:b/>
              </w:rPr>
              <w:t>Event Time</w:t>
            </w:r>
          </w:p>
        </w:tc>
        <w:tc>
          <w:tcPr>
            <w:tcW w:type="dxa" w:w="4320"/>
          </w:tcPr>
          <w:p>
            <w:r>
              <w:t>09:00 – 21:00 (full day including evening dinner)</w:t>
            </w:r>
          </w:p>
        </w:tc>
      </w:tr>
      <w:tr>
        <w:tc>
          <w:tcPr>
            <w:tcW w:type="dxa" w:w="4320"/>
          </w:tcPr>
          <w:p>
            <w:r>
              <w:rPr>
                <w:b/>
              </w:rPr>
              <w:t>Duration</w:t>
            </w:r>
          </w:p>
        </w:tc>
        <w:tc>
          <w:tcPr>
            <w:tcW w:type="dxa" w:w="4320"/>
          </w:tcPr>
          <w:p>
            <w:r>
              <w:t>1 day (with optional overnight accommodation)</w:t>
            </w:r>
          </w:p>
        </w:tc>
      </w:tr>
      <w:tr>
        <w:tc>
          <w:tcPr>
            <w:tcW w:type="dxa" w:w="4320"/>
          </w:tcPr>
          <w:p>
            <w:r>
              <w:rPr>
                <w:b/>
              </w:rPr>
              <w:t>Primary City</w:t>
            </w:r>
          </w:p>
        </w:tc>
        <w:tc>
          <w:tcPr>
            <w:tcW w:type="dxa" w:w="4320"/>
          </w:tcPr>
          <w:p>
            <w:r>
              <w:t>Manchester</w:t>
            </w:r>
          </w:p>
        </w:tc>
      </w:tr>
    </w:tbl>
    <w:p/>
    <w:p>
      <w:pPr>
        <w:pStyle w:val="Heading1"/>
      </w:pPr>
      <w:r>
        <w:t>2. Attendance &amp; Capacity</w:t>
      </w:r>
    </w:p>
    <w:tbl>
      <w:tblPr>
        <w:tblStyle w:val="TableGrid"/>
        <w:tblW w:type="auto" w:w="0"/>
        <w:tblLook w:firstColumn="1" w:firstRow="1" w:lastColumn="0" w:lastRow="0" w:noHBand="0" w:noVBand="1" w:val="04A0"/>
      </w:tblPr>
      <w:tblGrid>
        <w:gridCol w:w="4320"/>
        <w:gridCol w:w="4320"/>
      </w:tblGrid>
      <w:tr>
        <w:tc>
          <w:tcPr>
            <w:tcW w:type="dxa" w:w="4320"/>
          </w:tcPr>
          <w:p>
            <w:r>
              <w:rPr>
                <w:b/>
              </w:rPr>
              <w:t>Total Attendees</w:t>
            </w:r>
          </w:p>
        </w:tc>
        <w:tc>
          <w:tcPr>
            <w:tcW w:type="dxa" w:w="4320"/>
          </w:tcPr>
          <w:p>
            <w:r>
              <w:t>180 delegates</w:t>
            </w:r>
          </w:p>
        </w:tc>
      </w:tr>
      <w:tr>
        <w:tc>
          <w:tcPr>
            <w:tcW w:type="dxa" w:w="4320"/>
          </w:tcPr>
          <w:p>
            <w:r>
              <w:rPr>
                <w:b/>
              </w:rPr>
              <w:t>Breakdown</w:t>
            </w:r>
          </w:p>
        </w:tc>
        <w:tc>
          <w:tcPr>
            <w:tcW w:type="dxa" w:w="4320"/>
          </w:tcPr>
          <w:p>
            <w:r>
              <w:t>Senior Leadership (40), Middle Management (80), External Partners (60)</w:t>
            </w:r>
          </w:p>
        </w:tc>
      </w:tr>
      <w:tr>
        <w:tc>
          <w:tcPr>
            <w:tcW w:type="dxa" w:w="4320"/>
          </w:tcPr>
          <w:p>
            <w:r>
              <w:rPr>
                <w:b/>
              </w:rPr>
              <w:t>Dietary Requirements</w:t>
            </w:r>
          </w:p>
        </w:tc>
        <w:tc>
          <w:tcPr>
            <w:tcW w:type="dxa" w:w="4320"/>
          </w:tcPr>
          <w:p>
            <w:r>
              <w:t>Vegetarian (30), Vegan (15), Halal (20), Gluten-Free (10)</w:t>
            </w:r>
          </w:p>
        </w:tc>
      </w:tr>
      <w:tr>
        <w:tc>
          <w:tcPr>
            <w:tcW w:type="dxa" w:w="4320"/>
          </w:tcPr>
          <w:p>
            <w:r>
              <w:rPr>
                <w:b/>
              </w:rPr>
              <w:t>Accessibility Needs</w:t>
            </w:r>
          </w:p>
        </w:tc>
        <w:tc>
          <w:tcPr>
            <w:tcW w:type="dxa" w:w="4320"/>
          </w:tcPr>
          <w:p>
            <w:r>
              <w:t>Wheelchair access required for 3 attendees</w:t>
            </w:r>
          </w:p>
        </w:tc>
      </w:tr>
    </w:tbl>
    <w:p/>
    <w:p>
      <w:pPr>
        <w:pStyle w:val="Heading1"/>
      </w:pPr>
      <w:r>
        <w:t>3. Budget</w:t>
      </w:r>
    </w:p>
    <w:tbl>
      <w:tblPr>
        <w:tblStyle w:val="TableGrid"/>
        <w:tblW w:type="auto" w:w="0"/>
        <w:tblLook w:firstColumn="1" w:firstRow="1" w:lastColumn="0" w:lastRow="0" w:noHBand="0" w:noVBand="1" w:val="04A0"/>
      </w:tblPr>
      <w:tblGrid>
        <w:gridCol w:w="4320"/>
        <w:gridCol w:w="4320"/>
      </w:tblGrid>
      <w:tr>
        <w:tc>
          <w:tcPr>
            <w:tcW w:type="dxa" w:w="4320"/>
          </w:tcPr>
          <w:p>
            <w:r>
              <w:rPr>
                <w:b/>
              </w:rPr>
              <w:t>Total Budget</w:t>
            </w:r>
          </w:p>
        </w:tc>
        <w:tc>
          <w:tcPr>
            <w:tcW w:type="dxa" w:w="4320"/>
          </w:tcPr>
          <w:p>
            <w:r>
              <w:t>£45,000</w:t>
            </w:r>
          </w:p>
        </w:tc>
      </w:tr>
      <w:tr>
        <w:tc>
          <w:tcPr>
            <w:tcW w:type="dxa" w:w="4320"/>
          </w:tcPr>
          <w:p>
            <w:r>
              <w:rPr>
                <w:b/>
              </w:rPr>
              <w:t>Venue Hire</w:t>
            </w:r>
          </w:p>
        </w:tc>
        <w:tc>
          <w:tcPr>
            <w:tcW w:type="dxa" w:w="4320"/>
          </w:tcPr>
          <w:p>
            <w:r>
              <w:t>£12,000 – £18,000</w:t>
            </w:r>
          </w:p>
        </w:tc>
      </w:tr>
      <w:tr>
        <w:tc>
          <w:tcPr>
            <w:tcW w:type="dxa" w:w="4320"/>
          </w:tcPr>
          <w:p>
            <w:r>
              <w:rPr>
                <w:b/>
              </w:rPr>
              <w:t>Catering (lunch, coffee breaks, dinner)</w:t>
            </w:r>
          </w:p>
        </w:tc>
        <w:tc>
          <w:tcPr>
            <w:tcW w:type="dxa" w:w="4320"/>
          </w:tcPr>
          <w:p>
            <w:r>
              <w:t>£10,000 – £14,000</w:t>
            </w:r>
          </w:p>
        </w:tc>
      </w:tr>
      <w:tr>
        <w:tc>
          <w:tcPr>
            <w:tcW w:type="dxa" w:w="4320"/>
          </w:tcPr>
          <w:p>
            <w:r>
              <w:rPr>
                <w:b/>
              </w:rPr>
              <w:t>Hotel Accommodation (optional block booking)</w:t>
            </w:r>
          </w:p>
        </w:tc>
        <w:tc>
          <w:tcPr>
            <w:tcW w:type="dxa" w:w="4320"/>
          </w:tcPr>
          <w:p>
            <w:r>
              <w:t>£8,000 – £12,000</w:t>
            </w:r>
          </w:p>
        </w:tc>
      </w:tr>
      <w:tr>
        <w:tc>
          <w:tcPr>
            <w:tcW w:type="dxa" w:w="4320"/>
          </w:tcPr>
          <w:p>
            <w:r>
              <w:rPr>
                <w:b/>
              </w:rPr>
              <w:t>Welfare &amp; Miscellaneous</w:t>
            </w:r>
          </w:p>
        </w:tc>
        <w:tc>
          <w:tcPr>
            <w:tcW w:type="dxa" w:w="4320"/>
          </w:tcPr>
          <w:p>
            <w:r>
              <w:t>£3,000</w:t>
            </w:r>
          </w:p>
        </w:tc>
      </w:tr>
    </w:tbl>
    <w:p/>
    <w:p>
      <w:pPr>
        <w:pStyle w:val="Heading1"/>
      </w:pPr>
      <w:r>
        <w:t>4. Venue Requirements</w:t>
      </w:r>
    </w:p>
    <w:p>
      <w:pPr>
        <w:pStyle w:val="ListBullet"/>
      </w:pPr>
      <w:r>
        <w:t>Main plenary hall with capacity for 180 seated theatre-style</w:t>
      </w:r>
    </w:p>
    <w:p>
      <w:pPr>
        <w:pStyle w:val="ListBullet"/>
      </w:pPr>
      <w:r>
        <w:t>Minimum 3 breakout rooms for 30-40 people each</w:t>
      </w:r>
    </w:p>
    <w:p>
      <w:pPr>
        <w:pStyle w:val="ListBullet"/>
      </w:pPr>
      <w:r>
        <w:t>Professional AV equipment: projectors, microphones, PA system, live-streaming capability</w:t>
      </w:r>
    </w:p>
    <w:p>
      <w:pPr>
        <w:pStyle w:val="ListBullet"/>
      </w:pPr>
      <w:r>
        <w:t>High-speed WiFi throughout the venue</w:t>
      </w:r>
    </w:p>
    <w:p>
      <w:pPr>
        <w:pStyle w:val="ListBullet"/>
      </w:pPr>
      <w:r>
        <w:t>On-site catering facilities or approved external caterer</w:t>
      </w:r>
    </w:p>
    <w:p>
      <w:pPr>
        <w:pStyle w:val="ListBullet"/>
      </w:pPr>
      <w:r>
        <w:t>Dedicated registration/reception area</w:t>
      </w:r>
    </w:p>
    <w:p>
      <w:pPr>
        <w:pStyle w:val="ListBullet"/>
      </w:pPr>
      <w:r>
        <w:t>Wheelchair accessibility throughout</w:t>
      </w:r>
    </w:p>
    <w:p>
      <w:pPr>
        <w:pStyle w:val="ListBullet"/>
      </w:pPr>
      <w:r>
        <w:t>Secure parking for minimum 80 vehicles</w:t>
      </w:r>
    </w:p>
    <w:p>
      <w:pPr>
        <w:pStyle w:val="ListBullet"/>
      </w:pPr>
      <w:r>
        <w:t>Outdoor or foyer space for networking reception</w:t>
      </w:r>
    </w:p>
    <w:p>
      <w:pPr>
        <w:pStyle w:val="ListBullet"/>
      </w:pPr>
      <w:r>
        <w:t>On-site technical support staff</w:t>
      </w:r>
    </w:p>
    <w:p/>
    <w:p>
      <w:pPr>
        <w:pStyle w:val="Heading1"/>
      </w:pPr>
      <w:r>
        <w:t>5. Hotel &amp; Accommodation</w:t>
      </w:r>
    </w:p>
    <w:p>
      <w:r>
        <w:t>We require a block booking of 60 twin/double rooms for the night of 14th October 2026. The preferred option is accommodation within the same venue or within walking distance (max 10 minutes). Rooms should include breakfast on 15th October 2026.</w:t>
      </w:r>
    </w:p>
    <w:p/>
    <w:p>
      <w:pPr>
        <w:pStyle w:val="Heading1"/>
      </w:pPr>
      <w:r>
        <w:t>6. Catering Requirements</w:t>
      </w:r>
    </w:p>
    <w:p>
      <w:pPr>
        <w:pStyle w:val="ListBullet"/>
      </w:pPr>
      <w:r>
        <w:t>Morning arrival tea/coffee and pastries (08:30 – 09:00)</w:t>
      </w:r>
    </w:p>
    <w:p>
      <w:pPr>
        <w:pStyle w:val="ListBullet"/>
      </w:pPr>
      <w:r>
        <w:t>Mid-morning coffee break with biscuits (11:00 – 11:20)</w:t>
      </w:r>
    </w:p>
    <w:p>
      <w:pPr>
        <w:pStyle w:val="ListBullet"/>
      </w:pPr>
      <w:r>
        <w:t>Working lunch — buffet style (13:00 – 14:00)</w:t>
      </w:r>
    </w:p>
    <w:p>
      <w:pPr>
        <w:pStyle w:val="ListBullet"/>
      </w:pPr>
      <w:r>
        <w:t>Afternoon tea/coffee break (15:30 – 15:50)</w:t>
      </w:r>
    </w:p>
    <w:p>
      <w:pPr>
        <w:pStyle w:val="ListBullet"/>
      </w:pPr>
      <w:r>
        <w:t>Evening awards dinner — 3-course sit-down meal (18:30 – 21:00)</w:t>
      </w:r>
    </w:p>
    <w:p>
      <w:pPr>
        <w:pStyle w:val="ListBullet"/>
      </w:pPr>
      <w:r>
        <w:t>Evening drinks reception with canapes (17:30 – 18:30)</w:t>
      </w:r>
    </w:p>
    <w:p>
      <w:pPr>
        <w:pStyle w:val="ListBullet"/>
      </w:pPr>
      <w:r>
        <w:t>All dietary requirements must be clearly labelled and catered for</w:t>
      </w:r>
    </w:p>
    <w:p/>
    <w:p>
      <w:pPr>
        <w:pStyle w:val="Heading1"/>
      </w:pPr>
      <w:r>
        <w:t>7. Special Requirements &amp; Notes</w:t>
      </w:r>
    </w:p>
    <w:p>
      <w:pPr>
        <w:pStyle w:val="ListBullet"/>
      </w:pPr>
      <w:r>
        <w:t>Hybrid event capability: live-streaming for up to 50 remote attendees</w:t>
      </w:r>
    </w:p>
    <w:p>
      <w:pPr>
        <w:pStyle w:val="ListBullet"/>
      </w:pPr>
      <w:r>
        <w:t>Awards ceremony setup in the evening: stage, podium, awards backdrop banner</w:t>
      </w:r>
    </w:p>
    <w:p>
      <w:pPr>
        <w:pStyle w:val="ListBullet"/>
      </w:pPr>
      <w:r>
        <w:t>Event branding: venue must allow company branding (banners, pop-up stands)</w:t>
      </w:r>
    </w:p>
    <w:p>
      <w:pPr>
        <w:pStyle w:val="ListBullet"/>
      </w:pPr>
      <w:r>
        <w:t>Photography and videography permitted throughout</w:t>
      </w:r>
    </w:p>
    <w:p>
      <w:pPr>
        <w:pStyle w:val="ListBullet"/>
      </w:pPr>
      <w:r>
        <w:t>Preferred venue: city-centre location with good transport links (near Piccadilly or Victoria station)</w:t>
      </w:r>
    </w:p>
    <w:p>
      <w:pPr>
        <w:pStyle w:val="ListBullet"/>
      </w:pPr>
      <w:r>
        <w:t>Shortlisted venues should ideally have hosted similar corporate events in the past 12 months</w:t>
      </w:r>
    </w:p>
    <w:p/>
    <w:p>
      <w:pPr>
        <w:pStyle w:val="Heading1"/>
      </w:pPr>
      <w:r>
        <w:t>8. Point of Contact</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Sarah Thompson</w:t>
            </w:r>
          </w:p>
        </w:tc>
      </w:tr>
      <w:tr>
        <w:tc>
          <w:tcPr>
            <w:tcW w:type="dxa" w:w="4320"/>
          </w:tcPr>
          <w:p>
            <w:r>
              <w:rPr>
                <w:b/>
              </w:rPr>
              <w:t>Title</w:t>
            </w:r>
          </w:p>
        </w:tc>
        <w:tc>
          <w:tcPr>
            <w:tcW w:type="dxa" w:w="4320"/>
          </w:tcPr>
          <w:p>
            <w:r>
              <w:t>Head of People &amp; Culture</w:t>
            </w:r>
          </w:p>
        </w:tc>
      </w:tr>
      <w:tr>
        <w:tc>
          <w:tcPr>
            <w:tcW w:type="dxa" w:w="4320"/>
          </w:tcPr>
          <w:p>
            <w:r>
              <w:rPr>
                <w:b/>
              </w:rPr>
              <w:t>Email</w:t>
            </w:r>
          </w:p>
        </w:tc>
        <w:tc>
          <w:tcPr>
            <w:tcW w:type="dxa" w:w="4320"/>
          </w:tcPr>
          <w:p>
            <w:r>
              <w:t>sarah.thompson@meridiansolutions.co.uk</w:t>
            </w:r>
          </w:p>
        </w:tc>
      </w:tr>
      <w:tr>
        <w:tc>
          <w:tcPr>
            <w:tcW w:type="dxa" w:w="4320"/>
          </w:tcPr>
          <w:p>
            <w:r>
              <w:rPr>
                <w:b/>
              </w:rPr>
              <w:t>Phone</w:t>
            </w:r>
          </w:p>
        </w:tc>
        <w:tc>
          <w:tcPr>
            <w:tcW w:type="dxa" w:w="4320"/>
          </w:tcPr>
          <w:p>
            <w:r>
              <w:t>+44 161 555 0192</w:t>
            </w:r>
          </w:p>
        </w:tc>
      </w:tr>
    </w:tbl>
    <w:p/>
    <w:p>
      <w:pPr>
        <w:jc w:val="center"/>
      </w:pPr>
      <w:r>
        <w:t>Document prepared: June 2026 | Confidential — Meridian Solutions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