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odelo-de-datos-arte-odontológico"/>
    <w:p>
      <w:pPr>
        <w:pStyle w:val="Heading1"/>
      </w:pPr>
      <w:r>
        <w:t xml:space="preserve">Modelo de datos — Arte Odontológico</w:t>
      </w:r>
    </w:p>
    <w:p>
      <w:pPr>
        <w:pStyle w:val="FirstParagraph"/>
      </w:pPr>
      <w:r>
        <w:t xml:space="preserve">Versión del 6 de octubre de 2026 · MySQL 8.0 · motor InnoDB · codificación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.</w:t>
      </w:r>
      <w:r>
        <w:br/>
      </w:r>
      <w:r>
        <w:t xml:space="preserve">Fuente de verdad: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 Cambios para bases existentes: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.</w:t>
      </w:r>
    </w:p>
    <w:bookmarkStart w:id="23" w:name="diagrama-entidad-relación"/>
    <w:p>
      <w:pPr>
        <w:pStyle w:val="Heading2"/>
      </w:pPr>
      <w:r>
        <w:t xml:space="preserve">Diagrama entidad-relación</w:t>
      </w:r>
    </w:p>
    <w:p>
      <w:pPr>
        <w:pStyle w:val="CaptionedFigure"/>
      </w:pPr>
      <w:r>
        <w:drawing>
          <wp:inline>
            <wp:extent cx="5334000" cy="7715662"/>
            <wp:effectExtent b="0" l="0" r="0" t="0"/>
            <wp:docPr descr="Diagrama entidad-relación" title="" id="21" name="Picture"/>
            <a:graphic>
              <a:graphicData uri="http://schemas.openxmlformats.org/drawingml/2006/picture">
                <pic:pic>
                  <pic:nvPicPr>
                    <pic:cNvPr descr="diagrama-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15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</w:t>
      </w:r>
    </w:p>
    <w:p>
      <w:pPr>
        <w:pStyle w:val="BodyText"/>
      </w:pPr>
      <w:r>
        <w:t xml:space="preserve">El diagrama se genera desde</w:t>
      </w:r>
      <w:r>
        <w:t xml:space="preserve"> </w:t>
      </w:r>
      <w:r>
        <w:rPr>
          <w:rStyle w:val="VerbatimChar"/>
        </w:rPr>
        <w:t xml:space="preserve">diagrama-er.mmd</w:t>
      </w:r>
      <w:r>
        <w:t xml:space="preserve"> </w:t>
      </w:r>
      <w:r>
        <w:t xml:space="preserve">(Mermaid).</w:t>
      </w:r>
    </w:p>
    <w:p>
      <w:pPr>
        <w:pStyle w:val="BodyText"/>
      </w:pPr>
      <w:r>
        <w:rPr>
          <w:bCs/>
          <w:b/>
        </w:rPr>
        <w:t xml:space="preserve">Cómo leerlo:</w:t>
      </w:r>
      <w:r>
        <w:t xml:space="preserve"> </w:t>
      </w:r>
      <w:r>
        <w:t xml:space="preserve">- Una cita pertenece a una hora publicada (franja), y cada franja es de un especialista en la sede.</w:t>
      </w:r>
      <w:r>
        <w:t xml:space="preserve"> </w:t>
      </w:r>
      <w:r>
        <w:t xml:space="preserve">- La cita puede o no estar ligada a un usuario: quien agenda sin cuenta queda registrado con sus datos dentro de la cita.</w:t>
      </w:r>
      <w:r>
        <w:t xml:space="preserve"> </w:t>
      </w:r>
      <w:r>
        <w:t xml:space="preserve">- La historia clínica solo existe para pacientes con usuario.</w:t>
      </w:r>
    </w:p>
    <w:bookmarkEnd w:id="23"/>
    <w:bookmarkStart w:id="33" w:name="tablas"/>
    <w:p>
      <w:pPr>
        <w:pStyle w:val="Heading2"/>
      </w:pPr>
      <w:r>
        <w:t xml:space="preserve">Tablas</w:t>
      </w:r>
    </w:p>
    <w:bookmarkStart w:id="24" w:name="usuarios"/>
    <w:p>
      <w:pPr>
        <w:pStyle w:val="Heading3"/>
      </w:pPr>
      <w:r>
        <w:rPr>
          <w:rStyle w:val="VerbatimChar"/>
        </w:rPr>
        <w:t xml:space="preserve">usuarios</w:t>
      </w:r>
    </w:p>
    <w:p>
      <w:pPr>
        <w:pStyle w:val="FirstParagraph"/>
      </w:pPr>
      <w:r>
        <w:t xml:space="preserve">Secretaria (rol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) y pacientes con cuenta (rol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) en una sola tabla. El rol lo fija el servidor; nunca viene del cliente.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nombre_completo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dígitos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ingreso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indicativo (57…)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contrasena_hash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paciente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administrador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desactivada = no puede ingresar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debe_cambiar_contrasena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mientras use la clave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autorizacion_datos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fecha_autorizacion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version_politica_datos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Prueba de la autorización (Ley 1581 de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autorizacion_registrada_por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que recogió la autorización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que creó la cuenta</w:t>
            </w:r>
          </w:p>
        </w:tc>
      </w:tr>
    </w:tbl>
    <w:bookmarkEnd w:id="24"/>
    <w:bookmarkStart w:id="25" w:name="servicios-especialidades"/>
    <w:p>
      <w:pPr>
        <w:pStyle w:val="Heading3"/>
      </w:pPr>
      <w:r>
        <w:rPr>
          <w:rStyle w:val="VerbatimChar"/>
        </w:rPr>
        <w:t xml:space="preserve">servicios</w:t>
      </w:r>
      <w:r>
        <w:t xml:space="preserve"> </w:t>
      </w:r>
      <w:r>
        <w:t xml:space="preserve">(especialidades)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VARCHAR(40)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estable (sirve al frontend para el ícono)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inactivas no se ofrecen al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duracion_minutos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Heredada; el sistema ya no la usa</w:t>
            </w:r>
          </w:p>
        </w:tc>
      </w:tr>
    </w:tbl>
    <w:bookmarkEnd w:id="25"/>
    <w:bookmarkStart w:id="26" w:name="X3d8397084e5b86f3b36a9c346bcb3875e887fb4"/>
    <w:p>
      <w:pPr>
        <w:pStyle w:val="Heading3"/>
      </w:pP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</w:p>
    <w:p>
      <w:pPr>
        <w:pStyle w:val="FirstParagraph"/>
      </w:pPr>
      <w:r>
        <w:t xml:space="preserve">Odontólogos que atienden. No tienen usuario. La tabla intermedia (llave primaria compuesta) permite que un especialista atienda varias especialidades.</w:t>
      </w:r>
    </w:p>
    <w:bookmarkEnd w:id="26"/>
    <w:bookmarkStart w:id="27" w:name="sedes"/>
    <w:p>
      <w:pPr>
        <w:pStyle w:val="Heading3"/>
      </w:pPr>
      <w:r>
        <w:rPr>
          <w:rStyle w:val="VerbatimChar"/>
        </w:rPr>
        <w:t xml:space="preserve">sedes</w:t>
      </w:r>
    </w:p>
    <w:p>
      <w:pPr>
        <w:pStyle w:val="FirstParagraph"/>
      </w:pPr>
      <w:r>
        <w:t xml:space="preserve">Una fila activa: Rivera (Carrera 7 No. 3-61). La tabla se conserva por si el consultorio abre otra sede.</w:t>
      </w:r>
    </w:p>
    <w:bookmarkEnd w:id="27"/>
    <w:bookmarkStart w:id="28" w:name="franjas_horarias"/>
    <w:p>
      <w:pPr>
        <w:pStyle w:val="Heading3"/>
      </w:pPr>
      <w:r>
        <w:rPr>
          <w:rStyle w:val="VerbatimChar"/>
        </w:rPr>
        <w:t xml:space="preserve">franjas_horarias</w:t>
      </w:r>
    </w:p>
    <w:p>
      <w:pPr>
        <w:pStyle w:val="FirstParagraph"/>
      </w:pPr>
      <w:r>
        <w:t xml:space="preserve">Cada fila es una hora que la secretaria publicó a mano para un especialista.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especialista_id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hora_inicio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local del consultorio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cuando la secretaria la quita (no se borra si alguna cita antigua la referencia)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(</w:t>
            </w:r>
            <w:r>
              <w:rPr>
                <w:rStyle w:val="VerbatimChar"/>
              </w:rPr>
              <w:t xml:space="preserve">especialista_id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hora_inicio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especialista no publica dos veces la misma hora</w:t>
            </w:r>
          </w:p>
        </w:tc>
      </w:tr>
    </w:tbl>
    <w:p>
      <w:pPr>
        <w:pStyle w:val="BodyText"/>
      </w:pPr>
      <w:r>
        <w:t xml:space="preserve">Una franja está</w:t>
      </w:r>
      <w:r>
        <w:t xml:space="preserve"> </w:t>
      </w:r>
      <w:r>
        <w:rPr>
          <w:bCs/>
          <w:b/>
        </w:rPr>
        <w:t xml:space="preserve">libre</w:t>
      </w:r>
      <w:r>
        <w:t xml:space="preserve"> </w:t>
      </w:r>
      <w:r>
        <w:t xml:space="preserve">si está activa, todavía no pasó y no tiene una cita viva.</w:t>
      </w:r>
    </w:p>
    <w:bookmarkEnd w:id="28"/>
    <w:bookmarkStart w:id="29" w:name="citas"/>
    <w:p>
      <w:pPr>
        <w:pStyle w:val="Heading3"/>
      </w:pPr>
      <w:r>
        <w:rPr>
          <w:rStyle w:val="VerbatimChar"/>
        </w:rPr>
        <w:t xml:space="preserve">citas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opcional: solo si agendó un paciente con su sesión, o se vinculó al crearle la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franja_id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y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atendida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no_asistio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, reservado)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nombre_paciente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documento_paciente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telefono_paciente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correo_paciente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de quien agenda; el correo es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autorizacion_datos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fecha_autorizacion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version_politica_datos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dada al agendar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codigo_gestion_hash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del código del enlace</w:t>
            </w:r>
            <w:r>
              <w:t xml:space="preserve"> </w:t>
            </w:r>
            <w:r>
              <w:t xml:space="preserve">“</w:t>
            </w:r>
            <w:r>
              <w:t xml:space="preserve">Gestionar mi cita</w:t>
            </w:r>
            <w:r>
              <w:t xml:space="preserve">”</w:t>
            </w:r>
            <w:r>
              <w:t xml:space="preserve"> </w:t>
            </w:r>
            <w:r>
              <w:t xml:space="preserve">(UNIQUE)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reprogramaciones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que hizo el paciente (máximo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cancelada_por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franja_ocupada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Columna generada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franja_id</w:t>
            </w:r>
            <w:r>
              <w:t xml:space="preserve"> </w:t>
            </w:r>
            <w:r>
              <w:t xml:space="preserve">si la cita no está cancelada, NULL si lo está. Su índice único garantiza que una hora tenga una sola cita viva, aun con peticiones simultáneas</w:t>
            </w:r>
          </w:p>
        </w:tc>
      </w:tr>
    </w:tbl>
    <w:bookmarkEnd w:id="29"/>
    <w:bookmarkStart w:id="30" w:name="notificaciones"/>
    <w:p>
      <w:pPr>
        <w:pStyle w:val="Heading3"/>
      </w:pPr>
      <w:r>
        <w:rPr>
          <w:rStyle w:val="VerbatimChar"/>
        </w:rPr>
        <w:t xml:space="preserve">notificaciones</w:t>
      </w:r>
    </w:p>
    <w:p>
      <w:pPr>
        <w:pStyle w:val="FirstParagraph"/>
      </w:pPr>
      <w:r>
        <w:t xml:space="preserve">Bitácora de mensajes de WhatsApp: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),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,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 </w:t>
      </w:r>
      <w:r>
        <w:t xml:space="preserve">(texto enviado o por enviar) y</w:t>
      </w:r>
      <w:r>
        <w:t xml:space="preserve"> </w:t>
      </w:r>
      <w:r>
        <w:rPr>
          <w:rStyle w:val="VerbatimChar"/>
        </w:rPr>
        <w:t xml:space="preserve">detalle</w:t>
      </w:r>
      <w:r>
        <w:t xml:space="preserve"> </w:t>
      </w:r>
      <w:r>
        <w:t xml:space="preserve">(id del proveedor o error).</w:t>
      </w:r>
    </w:p>
    <w:bookmarkEnd w:id="30"/>
    <w:bookmarkStart w:id="31" w:name="historia_clinica"/>
    <w:p>
      <w:pPr>
        <w:pStyle w:val="Heading3"/>
      </w:pPr>
      <w:r>
        <w:rPr>
          <w:rStyle w:val="VerbatimChar"/>
        </w:rPr>
        <w:t xml:space="preserve">historia_clinica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 (solo pacientes con cuenta)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fecha_atencion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puede ser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especialista_id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procedimiento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corrige_a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historia_clinica: la entrada que esta corrige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creado_por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creado_en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 y momento</w:t>
            </w:r>
          </w:p>
        </w:tc>
      </w:tr>
    </w:tbl>
    <w:p>
      <w:pPr>
        <w:pStyle w:val="BodyText"/>
      </w:pPr>
      <w:r>
        <w:t xml:space="preserve">No se actualiza ni se borra (Resolución 1995 de 1999). Las llaves foráneas usan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hacia el paciente y la entrada corregida.</w:t>
      </w:r>
    </w:p>
    <w:bookmarkEnd w:id="31"/>
    <w:bookmarkStart w:id="32" w:name="vista-v_agenda"/>
    <w:p>
      <w:pPr>
        <w:pStyle w:val="Heading3"/>
      </w:pPr>
      <w:r>
        <w:t xml:space="preserve">Vista</w:t>
      </w:r>
      <w:r>
        <w:t xml:space="preserve"> </w:t>
      </w:r>
      <w:r>
        <w:rPr>
          <w:rStyle w:val="VerbatimChar"/>
        </w:rPr>
        <w:t xml:space="preserve">v_agenda</w:t>
      </w:r>
    </w:p>
    <w:p>
      <w:pPr>
        <w:pStyle w:val="FirstParagraph"/>
      </w:pPr>
      <w:r>
        <w:t xml:space="preserve">Une citas, especialidad, especialista y sede para consultas de la agenda.</w:t>
      </w:r>
    </w:p>
    <w:bookmarkEnd w:id="32"/>
    <w:bookmarkEnd w:id="33"/>
    <w:bookmarkStart w:id="34" w:name="decisiones-de-diseño"/>
    <w:p>
      <w:pPr>
        <w:pStyle w:val="Heading2"/>
      </w:pPr>
      <w:r>
        <w:t xml:space="preserve">Decisiones de diseño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Datos de quien agenda dentro de la cita</w:t>
      </w:r>
      <w:r>
        <w:t xml:space="preserve"> </w:t>
      </w:r>
      <w:r>
        <w:t xml:space="preserve">(y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): permite agendar sin cuenta sin llenar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de registros de personas que quizá nunca asistan.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Columna generada para la doble reserva</w:t>
      </w:r>
      <w:r>
        <w:t xml:space="preserve">: la regla queda en el motor y no depende de que el código la recuerde.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Desactivar en vez de borrar</w:t>
      </w:r>
      <w:r>
        <w:t xml:space="preserve"> </w:t>
      </w:r>
      <w:r>
        <w:t xml:space="preserve">franjas, especialistas y especialidades: conserva la integridad de las citas antiguas.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Normalización:</w:t>
      </w:r>
      <w:r>
        <w:t xml:space="preserve"> </w:t>
      </w:r>
      <w:r>
        <w:t xml:space="preserve">tercera forma normal. La excepción deliberada son los datos de contacto copiados en la cita, que son la</w:t>
      </w:r>
      <w:r>
        <w:t xml:space="preserve"> </w:t>
      </w:r>
      <w:r>
        <w:t xml:space="preserve">“</w:t>
      </w:r>
      <w:r>
        <w:t xml:space="preserve">foto</w:t>
      </w:r>
      <w:r>
        <w:t xml:space="preserve">”</w:t>
      </w:r>
      <w:r>
        <w:t xml:space="preserve"> </w:t>
      </w:r>
      <w:r>
        <w:t xml:space="preserve">de lo que la persona escribió al agendar.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2026-10-06T18:22:08Z</dcterms:created>
  <dcterms:modified xsi:type="dcterms:W3CDTF">2026-10-06T18:22:08Z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