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888888"/>
          <w:sz w:val="20"/>
          <w:szCs w:val="20"/>
        </w:rPr>
        <w:drawing>
          <wp:inline distB="0" distT="0" distL="0" distR="0">
            <wp:extent cx="6855852" cy="855241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852" cy="855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88888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1f4e79"/>
          <w:sz w:val="52"/>
          <w:szCs w:val="52"/>
        </w:rPr>
        <w:drawing>
          <wp:inline distB="0" distT="0" distL="0" distR="0">
            <wp:extent cx="6858000" cy="24453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report presents a structured analysis of the Superstore Sales Power BI dashboard. The dashboard provides a comprehensive, single-page view of the company’s retail performance, drawing on transactional order data to surface trends in revenue, profitability, regional performance, and product-level margins. The report explains what each visual in the dashboard measures, what questions it is designed to answer, and what business decisions it should inform.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2. About the Dataset</w:t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underlying data source is the Sample Superstore dataset, a widely recognized retail transaction dataset. It captures order-level records across the United States and is structured around the following core fields: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revenue generated per order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tracking,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 margin after cost of goods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Profitability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 rate applied at order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Margin impact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the order was 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Time-series trending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High-level product grouping (3 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 mix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product type (17 sub-categories)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Granular margin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regional grouping (East, West, Central, South)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Geographic benchmarking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state-level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Geographic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type (Consumer, Corporate, Home 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segmentation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3. Dashboard Structure</w:t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report consists of a single page (Page 1) containing nine visual components displayed on a 1,280 × 720 canvas using the Innovate theme. The visuals are organized to give a top-level summary view before drilling into category, regional, and product-level detail.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3.1  Key Performance Indicators (KPI Cards)</w:t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Two card visuals appear prominently on the dashboard, each surfacing a single headline figure: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Sales — the sum of all revenue across the entire dataset. This is the primary business volume indicator.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Profit — the sum of net profit across all orders. This figure, read alongside Total Sales, gives a quick read on overall margin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These two cards are the first numbers a reader should reference. A large gap between Sales and Profit signals cost or discount pressure and would warrant further investigation into the charts below.</w:t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3.2  Sales by Category (Donut Chart)</w:t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donut chart breaks down total sales across the three product categories. It answers the question: where is the bulk of revenue coming from? Each segment of the donut represents one category’s proportional contribution to overall sales. A category with a large revenue share but poor profitability (visible in other visuals) would be a strategic concern.</w:t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3.3  Sales &amp; Profit Over Time (Line Chart)</w:t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line chart plots both Sales and Profit on a shared time axis, navigable at the Year and Month level. This is the dashboard’s primary trend indicator. Key things to look for include: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profit is growing proportionally with sales, or lagging — which would indicate rising costs or increasing discounts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spikes: retail typically shows peaks around Q4. A sharp increase in sales without a corresponding profit increase in the same period points to heavy promotional discounting.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 between the two lines at any point in time is a signal for management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3.4  Discount vs. Profit (Scatter Chart)</w:t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is arguably the most analytically significant visual in the report. Each point on the scatter plot represents a transaction, positioned by its discount rate (X-axis) and resulting profit (Y-axis). </w:t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downward-sloping pattern from left to right confirms that higher discounts correlate with lower or negative profit — a common and costly retail dynamic. Points appearing in the lower-right quadrant (high discount, negative profit) represent loss-making orders. Management should use this chart to set discount ceiling policies, particularly for categories or sub-categories where the margin is already thin.</w:t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3.5  Sales &amp; Profit by Region (Column Chart)</w:t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grouped column chart compares total Sales and Profit side by side across the four US regions: East, West, Central, and South. This visual answers: which regions are performing well on both volume and margin, and which are volume-heavy but unprofitable?</w:t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region with high sales but a small profit column is a margin problem. A region with both metrics low may be an untapped opportunity or a territory with structural cost challenges.</w:t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3.6  Profit by Sub-Category (Bar Chart)</w:t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horizontal bar chart ranks all sub-categories by total profit. It is the most granular profitability view in the dashboard and surfaces the specific products driving or destroying margin.</w:t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Sub-categories with negative bars (profit below zero) are selling at a net loss — typically the result of excessive discounting or unfavorable cost structures. These items require either a pricing correction or a review of their position in the product portfolio. High-profit sub-categories should be protected and potentially expanded.</w:t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3.7  Profit by State (Geographic Map)</w:t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bubble map visualizes profit at the state level, with bubble size representing the magnitude of profit and color coding indicating product category. This allows geographic patterns to emerge at a glance — for example, whether certain states are systematically unprofitable regardless of category, or whether specific categories underperform in particular regions.</w:t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States with large negative profit bubbles should be flagged for a root-cause review of local pricing, freight costs, or promotional activity.</w:t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4. Business Questions This Dashboard Answers</w:t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 to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our total revenue and profit right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 Cards (Visuals 6 &amp;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product category generates the most sales?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Donut Chart (Visual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sales and profits growing over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 Chart (Visual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discounting hurting our profitability?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Scatter Chart (Visual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regions are most and least profitable?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Chart (Visual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specific products are losing money?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 — Sub-Category (Visual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there geographic clusters of underperformance?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(Visual 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1f4e79" w:space="4" w:sz="8" w:val="single"/>
        </w:pBdr>
        <w:rPr/>
      </w:pPr>
      <w:r w:rsidDel="00000000" w:rsidR="00000000" w:rsidRPr="00000000">
        <w:rPr>
          <w:rtl w:val="0"/>
        </w:rPr>
        <w:t xml:space="preserve">5. Recommended Actions</w:t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Based on the analytical framework embedded in this dashboard, the following areas warrant priority review:</w:t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Policy Review: The scatter chart (Discount vs. Profit) should be used to establish a maximum allowable discount threshold per category. Orders beyond that threshold consistently generate losses.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Sub-Category Rationalization: Any sub-category showing a negative profit bar should be subject to a formal margin review. If cost reduction is not feasible, pricing adjustments or product discontinuation should be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Strategy: Regions or states with high sales volume but low profit margins should be audited for local cost drivers — including logistics, local promotions, and returns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bookmarkStart w:colFirst="0" w:colLast="0" w:name="_heading=h.v091n1xy4oc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Planning: Time-series trends in the line chart should inform inventory and staffing plans for peak periods, ensuring that sales volume increases in those periods are accompanied by disciplined margin management.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color="1f4e79" w:space="1" w:sz="6" w:val="single"/>
      </w:pBdr>
      <w:tabs>
        <w:tab w:val="right" w:leader="none" w:pos="9026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bottom w:color="1f4e79" w:space="1" w:sz="6" w:val="single"/>
      </w:pBdr>
      <w:spacing w:after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6kNwXpOY+NMMMXoMhhv20ixFA==">CgMxLjAyDmgudjA5MW4xeHk0b2NpOAByITEwdV9NMURJdzg1ZVlaTU55bVFSblFleW1ybHJ3c0NQQw==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