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233D" w:rsidRPr="00C2233D" w:rsidRDefault="00C2233D" w:rsidP="00C2233D">
      <w:pPr>
        <w:rPr>
          <w:b/>
          <w:bCs/>
        </w:rPr>
      </w:pPr>
      <w:r w:rsidRPr="00C2233D">
        <w:rPr>
          <w:b/>
          <w:bCs/>
        </w:rPr>
        <w:t>Plan d'Affaires pour le Projet de Porte</w:t>
      </w:r>
      <w:r w:rsidRPr="00C2233D">
        <w:rPr>
          <w:b/>
          <w:bCs/>
        </w:rPr>
        <w:noBreakHyphen/>
        <w:t>Monnaie Électronique (e</w:t>
      </w:r>
      <w:r w:rsidRPr="00C2233D">
        <w:rPr>
          <w:b/>
          <w:bCs/>
        </w:rPr>
        <w:noBreakHyphen/>
      </w:r>
      <w:proofErr w:type="spellStart"/>
      <w:r w:rsidRPr="00C2233D">
        <w:rPr>
          <w:b/>
          <w:bCs/>
        </w:rPr>
        <w:t>wallet</w:t>
      </w:r>
      <w:proofErr w:type="spellEnd"/>
      <w:r w:rsidRPr="00C2233D">
        <w:rPr>
          <w:b/>
          <w:bCs/>
        </w:rPr>
        <w:t>) en République Démocratique du Congo (RDC)</w:t>
      </w:r>
    </w:p>
    <w:p w:rsidR="00C2233D" w:rsidRPr="00C2233D" w:rsidRDefault="00C2233D" w:rsidP="00C2233D">
      <w:pPr>
        <w:rPr>
          <w:b/>
          <w:bCs/>
        </w:rPr>
      </w:pPr>
      <w:r w:rsidRPr="00C2233D">
        <w:rPr>
          <w:b/>
          <w:bCs/>
        </w:rPr>
        <w:t>1. Résumé exécutif</w:t>
      </w:r>
    </w:p>
    <w:p w:rsidR="00C2233D" w:rsidRPr="00C2233D" w:rsidRDefault="00C2233D" w:rsidP="00C2233D">
      <w:r w:rsidRPr="00C2233D">
        <w:t xml:space="preserve">Le présent document expose un </w:t>
      </w:r>
      <w:r w:rsidRPr="00C2233D">
        <w:rPr>
          <w:b/>
          <w:bCs/>
        </w:rPr>
        <w:t>plan d'affaires détaillé</w:t>
      </w:r>
      <w:r w:rsidRPr="00C2233D">
        <w:t xml:space="preserve"> pour la création d'un </w:t>
      </w:r>
      <w:r w:rsidRPr="00C2233D">
        <w:rPr>
          <w:b/>
          <w:bCs/>
        </w:rPr>
        <w:t>porte</w:t>
      </w:r>
      <w:r w:rsidRPr="00C2233D">
        <w:rPr>
          <w:b/>
          <w:bCs/>
        </w:rPr>
        <w:noBreakHyphen/>
        <w:t>monnaie électronique (e</w:t>
      </w:r>
      <w:r w:rsidRPr="00C2233D">
        <w:rPr>
          <w:b/>
          <w:bCs/>
        </w:rPr>
        <w:noBreakHyphen/>
      </w:r>
      <w:proofErr w:type="spellStart"/>
      <w:r w:rsidRPr="00C2233D">
        <w:rPr>
          <w:b/>
          <w:bCs/>
        </w:rPr>
        <w:t>wallet</w:t>
      </w:r>
      <w:proofErr w:type="spellEnd"/>
      <w:r w:rsidRPr="00C2233D">
        <w:rPr>
          <w:b/>
          <w:bCs/>
        </w:rPr>
        <w:t>)</w:t>
      </w:r>
      <w:r w:rsidRPr="00C2233D">
        <w:t xml:space="preserve"> en République Démocratique du Congo (RDC). Le projet vise à offrir une solution de paiement digitale inclusive et sécurisée, permettant aux utilisateurs d’effectuer des dépôts et retraits, des transferts peer</w:t>
      </w:r>
      <w:r w:rsidRPr="00C2233D">
        <w:noBreakHyphen/>
        <w:t>to</w:t>
      </w:r>
      <w:r w:rsidRPr="00C2233D">
        <w:noBreakHyphen/>
        <w:t>peer (P2P), des paiements de biens et services, de la micro</w:t>
      </w:r>
      <w:r w:rsidRPr="00C2233D">
        <w:noBreakHyphen/>
        <w:t>épargne et du micro</w:t>
      </w:r>
      <w:r w:rsidRPr="00C2233D">
        <w:noBreakHyphen/>
        <w:t>crédit via une application mobile et un réseau d’agents. Ce service se destine aussi bien aux particuliers qu'aux petites et moyennes entreprises (PME), aux indépendants, aux administrations publiques et à la diaspora congolaise.</w:t>
      </w:r>
    </w:p>
    <w:p w:rsidR="00C2233D" w:rsidRPr="00C2233D" w:rsidRDefault="00C2233D" w:rsidP="00C2233D">
      <w:r w:rsidRPr="00C2233D">
        <w:t>Le contexte socio</w:t>
      </w:r>
      <w:r w:rsidRPr="00C2233D">
        <w:noBreakHyphen/>
        <w:t xml:space="preserve">économique justifie pleinement ce projet : en 2018, </w:t>
      </w:r>
      <w:r w:rsidRPr="00C2233D">
        <w:rPr>
          <w:b/>
          <w:bCs/>
        </w:rPr>
        <w:t>seulement 8 % des adultes congolais détenaient un compte bancaire et le taux d’inclusion financière était de 33,7 %</w:t>
      </w:r>
      <w:hyperlink r:id="rId5" w:anchor=":~:text=Financial%20Inclusion" w:tgtFrame="_blank" w:history="1">
        <w:r w:rsidRPr="00C2233D">
          <w:rPr>
            <w:rStyle w:val="Lienhypertexte"/>
          </w:rPr>
          <w:t>mfw4a.org</w:t>
        </w:r>
      </w:hyperlink>
      <w:r w:rsidRPr="00C2233D">
        <w:t xml:space="preserve">. Plus de </w:t>
      </w:r>
      <w:r w:rsidRPr="00C2233D">
        <w:rPr>
          <w:b/>
          <w:bCs/>
        </w:rPr>
        <w:t>25 millions d’adultes</w:t>
      </w:r>
      <w:r w:rsidRPr="00C2233D">
        <w:t xml:space="preserve"> restent exclus des services financiers formels</w:t>
      </w:r>
      <w:hyperlink r:id="rId6" w:anchor=":~:text=Financial%20Inclusion" w:tgtFrame="_blank" w:history="1">
        <w:r w:rsidRPr="00C2233D">
          <w:rPr>
            <w:rStyle w:val="Lienhypertexte"/>
          </w:rPr>
          <w:t>mfw4a.org</w:t>
        </w:r>
      </w:hyperlink>
      <w:r w:rsidRPr="00C2233D">
        <w:t xml:space="preserve">, tandis que l’adoption du mobile money explose : les abonnements ont bondi de </w:t>
      </w:r>
      <w:r w:rsidRPr="00C2233D">
        <w:rPr>
          <w:b/>
          <w:bCs/>
        </w:rPr>
        <w:t>6,59 millions à 21,67 millions</w:t>
      </w:r>
      <w:r w:rsidRPr="00C2233D">
        <w:t xml:space="preserve"> entre 2020 et le troisième trimestre 2023, soit une </w:t>
      </w:r>
      <w:r w:rsidRPr="00C2233D">
        <w:rPr>
          <w:b/>
          <w:bCs/>
        </w:rPr>
        <w:t>hausse de 228,8 %</w:t>
      </w:r>
      <w:r w:rsidRPr="00C2233D">
        <w:drawing>
          <wp:inline distT="0" distB="0" distL="0" distR="0">
            <wp:extent cx="5760720" cy="4320540"/>
            <wp:effectExtent l="0" t="0" r="0" b="3810"/>
            <wp:docPr id="2008443609"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r w:rsidRPr="00C2233D">
        <w:t xml:space="preserve">ecofinagency.com. Parallèlement, la RDC comptait </w:t>
      </w:r>
      <w:r w:rsidRPr="00C2233D">
        <w:rPr>
          <w:b/>
          <w:bCs/>
        </w:rPr>
        <w:t>53,36 millions de connexions mobiles</w:t>
      </w:r>
      <w:r w:rsidRPr="00C2233D">
        <w:t xml:space="preserve"> en 2024 (51,4 % de la population) et </w:t>
      </w:r>
      <w:r w:rsidRPr="00C2233D">
        <w:rPr>
          <w:b/>
          <w:bCs/>
        </w:rPr>
        <w:t>28,31 millions d’internautes</w:t>
      </w:r>
      <w:r w:rsidRPr="00C2233D">
        <w:t xml:space="preserve"> (27,2 % de </w:t>
      </w:r>
      <w:r w:rsidRPr="00C2233D">
        <w:lastRenderedPageBreak/>
        <w:t>pénétration)</w:t>
      </w:r>
      <w:hyperlink r:id="rId8" w:anchor=":~:text=According%20to%20Datareportal%2C%20the%20Democratic,App%20Usage%20in%20Africa%20Survey" w:tgtFrame="_blank" w:history="1">
        <w:r w:rsidRPr="00C2233D">
          <w:rPr>
            <w:rStyle w:val="Lienhypertexte"/>
          </w:rPr>
          <w:t>geopoll.com</w:t>
        </w:r>
      </w:hyperlink>
      <w:r w:rsidRPr="00C2233D">
        <w:t xml:space="preserve">, signalant un marché numérique en plein essor. Malgré cela, seuls </w:t>
      </w:r>
      <w:r w:rsidRPr="00C2233D">
        <w:rPr>
          <w:b/>
          <w:bCs/>
        </w:rPr>
        <w:t>7,7 % des Congolais possèdent un compte mobile money et 18 % de ces comptes sont actifs</w:t>
      </w:r>
      <w:hyperlink r:id="rId9" w:anchor=":~:text=Financial%20Inclusion" w:tgtFrame="_blank" w:history="1">
        <w:r w:rsidRPr="00C2233D">
          <w:rPr>
            <w:rStyle w:val="Lienhypertexte"/>
          </w:rPr>
          <w:t>mfw4a.org</w:t>
        </w:r>
      </w:hyperlink>
      <w:r w:rsidRPr="00C2233D">
        <w:t>, laissant un vaste potentiel inexploité.</w:t>
      </w:r>
    </w:p>
    <w:p w:rsidR="00C2233D" w:rsidRPr="00C2233D" w:rsidRDefault="00C2233D" w:rsidP="00C2233D">
      <w:r w:rsidRPr="00C2233D">
        <w:t>Notre e</w:t>
      </w:r>
      <w:r w:rsidRPr="00C2233D">
        <w:noBreakHyphen/>
      </w:r>
      <w:proofErr w:type="spellStart"/>
      <w:r w:rsidRPr="00C2233D">
        <w:t>wallet</w:t>
      </w:r>
      <w:proofErr w:type="spellEnd"/>
      <w:r w:rsidRPr="00C2233D">
        <w:t xml:space="preserve"> ambitionne de combler ce déficit en proposant une plateforme numérique conviviale et hautement sécurisée. L'objectif est de mobiliser progressivement plus de 5 millions d’utilisateurs actifs en cinq ans, avec un réseau de plus de 10 000 agents, en offrant des services à des tarifs compétitifs et en nouant des partenariats avec les banques, opérateurs télécoms, institutions publiques et entreprises. Les projections financières montrent qu’avec un taux de croissance annuel moyen de 100 % des utilisateurs et un revenu moyen de 0,15 USD par transaction, l'entreprise pourrait générer un chiffre d’affaires cumulé de plusieurs dizaines de millions de dollars sur dix ans. Outre les gains financiers, le projet apportera une contribution majeure à l’inclusion financière, à la formalisation de l’économie et à la sécurité des transactions.</w:t>
      </w:r>
    </w:p>
    <w:p w:rsidR="00C2233D" w:rsidRPr="00C2233D" w:rsidRDefault="00C2233D" w:rsidP="00C2233D">
      <w:pPr>
        <w:rPr>
          <w:b/>
          <w:bCs/>
        </w:rPr>
      </w:pPr>
      <w:r w:rsidRPr="00C2233D">
        <w:rPr>
          <w:b/>
          <w:bCs/>
        </w:rPr>
        <w:t>2. Présentation du promoteur et de l’entreprise</w:t>
      </w:r>
    </w:p>
    <w:p w:rsidR="00C2233D" w:rsidRPr="00C2233D" w:rsidRDefault="00C2233D" w:rsidP="00C2233D">
      <w:pPr>
        <w:rPr>
          <w:b/>
          <w:bCs/>
        </w:rPr>
      </w:pPr>
      <w:r w:rsidRPr="00C2233D">
        <w:rPr>
          <w:b/>
          <w:bCs/>
        </w:rPr>
        <w:t>2.1 Profil du porteur de projet</w:t>
      </w:r>
    </w:p>
    <w:p w:rsidR="00C2233D" w:rsidRPr="00C2233D" w:rsidRDefault="00C2233D" w:rsidP="00C2233D">
      <w:r w:rsidRPr="00C2233D">
        <w:t xml:space="preserve">Le porteur du projet est un entrepreneur congolais disposant d’une expérience de plus de dix ans dans le secteur bancaire et des télécommunications. Diplômé en </w:t>
      </w:r>
      <w:r w:rsidRPr="00C2233D">
        <w:rPr>
          <w:b/>
          <w:bCs/>
        </w:rPr>
        <w:t>ingénierie informatique et en gestion financière</w:t>
      </w:r>
      <w:r w:rsidRPr="00C2233D">
        <w:t>, il a travaillé comme consultant en transformation digitale pour plusieurs banques de la sous</w:t>
      </w:r>
      <w:r w:rsidRPr="00C2233D">
        <w:noBreakHyphen/>
        <w:t>région. Il est également cofondateur d’une start</w:t>
      </w:r>
      <w:r w:rsidRPr="00C2233D">
        <w:noBreakHyphen/>
        <w:t>up de paiements mobiles en Afrique de l’Ouest, ce qui lui confère une compréhension approfondie des enjeux techniques, réglementaires et marketing liés aux services financiers numériques. Sa vision pour ce projet est de fournir une infrastructure inclusive qui favorise l’autonomie économique des populations exclues et soutient la digitalisation de l’économie congolaise.</w:t>
      </w:r>
    </w:p>
    <w:p w:rsidR="00C2233D" w:rsidRPr="00C2233D" w:rsidRDefault="00C2233D" w:rsidP="00C2233D">
      <w:pPr>
        <w:rPr>
          <w:b/>
          <w:bCs/>
        </w:rPr>
      </w:pPr>
      <w:r w:rsidRPr="00C2233D">
        <w:rPr>
          <w:b/>
          <w:bCs/>
        </w:rPr>
        <w:t>2.2 Équipe et organisation</w:t>
      </w:r>
    </w:p>
    <w:p w:rsidR="00C2233D" w:rsidRPr="00C2233D" w:rsidRDefault="00C2233D" w:rsidP="00C2233D">
      <w:r w:rsidRPr="00C2233D">
        <w:t>Le projet sera porté par une équipe pluridisciplinaire comprenant :</w:t>
      </w:r>
    </w:p>
    <w:p w:rsidR="00C2233D" w:rsidRPr="00C2233D" w:rsidRDefault="00C2233D" w:rsidP="00C2233D">
      <w:pPr>
        <w:numPr>
          <w:ilvl w:val="0"/>
          <w:numId w:val="1"/>
        </w:numPr>
      </w:pPr>
      <w:r w:rsidRPr="00C2233D">
        <w:rPr>
          <w:b/>
          <w:bCs/>
        </w:rPr>
        <w:t>Directeur général (CEO)</w:t>
      </w:r>
      <w:r w:rsidRPr="00C2233D">
        <w:t> : responsable de la stratégie globale et des relations institutionnelles.</w:t>
      </w:r>
    </w:p>
    <w:p w:rsidR="00C2233D" w:rsidRPr="00C2233D" w:rsidRDefault="00C2233D" w:rsidP="00C2233D">
      <w:pPr>
        <w:numPr>
          <w:ilvl w:val="0"/>
          <w:numId w:val="1"/>
        </w:numPr>
      </w:pPr>
      <w:r w:rsidRPr="00C2233D">
        <w:rPr>
          <w:b/>
          <w:bCs/>
        </w:rPr>
        <w:t>Directeur technique (CTO)</w:t>
      </w:r>
      <w:r w:rsidRPr="00C2233D">
        <w:t> : chargé du développement de la plateforme, de la sécurité informatique et des infrastructures cloud.</w:t>
      </w:r>
    </w:p>
    <w:p w:rsidR="00C2233D" w:rsidRPr="00C2233D" w:rsidRDefault="00C2233D" w:rsidP="00C2233D">
      <w:pPr>
        <w:numPr>
          <w:ilvl w:val="0"/>
          <w:numId w:val="1"/>
        </w:numPr>
      </w:pPr>
      <w:r w:rsidRPr="00C2233D">
        <w:rPr>
          <w:b/>
          <w:bCs/>
        </w:rPr>
        <w:t>Directeur des opérations (COO)</w:t>
      </w:r>
      <w:r w:rsidRPr="00C2233D">
        <w:t> : supervise la mise en place du réseau d’agents, la logistique et la gestion des points de service.</w:t>
      </w:r>
    </w:p>
    <w:p w:rsidR="00C2233D" w:rsidRPr="00C2233D" w:rsidRDefault="00C2233D" w:rsidP="00C2233D">
      <w:pPr>
        <w:numPr>
          <w:ilvl w:val="0"/>
          <w:numId w:val="1"/>
        </w:numPr>
      </w:pPr>
      <w:r w:rsidRPr="00C2233D">
        <w:rPr>
          <w:b/>
          <w:bCs/>
        </w:rPr>
        <w:t>Directeur financier (CFO)</w:t>
      </w:r>
      <w:r w:rsidRPr="00C2233D">
        <w:t> : responsable des projections financières, des budgets, des relations avec les investisseurs et de la conformité fiscale.</w:t>
      </w:r>
    </w:p>
    <w:p w:rsidR="00C2233D" w:rsidRPr="00C2233D" w:rsidRDefault="00C2233D" w:rsidP="00C2233D">
      <w:pPr>
        <w:numPr>
          <w:ilvl w:val="0"/>
          <w:numId w:val="1"/>
        </w:numPr>
      </w:pPr>
      <w:r w:rsidRPr="00C2233D">
        <w:rPr>
          <w:b/>
          <w:bCs/>
        </w:rPr>
        <w:t>Directeur de la conformité (CCO)</w:t>
      </w:r>
      <w:r w:rsidRPr="00C2233D">
        <w:t> : assure le respect des normes KYC/AML, la protection des données et la veille réglementaire.</w:t>
      </w:r>
    </w:p>
    <w:p w:rsidR="00C2233D" w:rsidRPr="00C2233D" w:rsidRDefault="00C2233D" w:rsidP="00C2233D">
      <w:pPr>
        <w:numPr>
          <w:ilvl w:val="0"/>
          <w:numId w:val="1"/>
        </w:numPr>
      </w:pPr>
      <w:r w:rsidRPr="00C2233D">
        <w:rPr>
          <w:b/>
          <w:bCs/>
        </w:rPr>
        <w:lastRenderedPageBreak/>
        <w:t>Responsable marketing et communication</w:t>
      </w:r>
      <w:r w:rsidRPr="00C2233D">
        <w:t> : développe la stratégie de marque, coordonne les campagnes publicitaires, gère les partenariats et les réseaux sociaux.</w:t>
      </w:r>
    </w:p>
    <w:p w:rsidR="00C2233D" w:rsidRPr="00C2233D" w:rsidRDefault="00C2233D" w:rsidP="00C2233D">
      <w:pPr>
        <w:numPr>
          <w:ilvl w:val="0"/>
          <w:numId w:val="1"/>
        </w:numPr>
      </w:pPr>
      <w:r w:rsidRPr="00C2233D">
        <w:rPr>
          <w:b/>
          <w:bCs/>
        </w:rPr>
        <w:t xml:space="preserve">Équipe développement mobile et </w:t>
      </w:r>
      <w:proofErr w:type="spellStart"/>
      <w:r w:rsidRPr="00C2233D">
        <w:rPr>
          <w:b/>
          <w:bCs/>
        </w:rPr>
        <w:t>back</w:t>
      </w:r>
      <w:r w:rsidRPr="00C2233D">
        <w:rPr>
          <w:b/>
          <w:bCs/>
        </w:rPr>
        <w:noBreakHyphen/>
        <w:t>end</w:t>
      </w:r>
      <w:proofErr w:type="spellEnd"/>
      <w:r w:rsidRPr="00C2233D">
        <w:t> : développe et maintient l’application mobile (Android/iOS), les API et le back</w:t>
      </w:r>
      <w:r w:rsidRPr="00C2233D">
        <w:noBreakHyphen/>
        <w:t>office.</w:t>
      </w:r>
    </w:p>
    <w:p w:rsidR="00C2233D" w:rsidRPr="00C2233D" w:rsidRDefault="00C2233D" w:rsidP="00C2233D">
      <w:pPr>
        <w:numPr>
          <w:ilvl w:val="0"/>
          <w:numId w:val="1"/>
        </w:numPr>
      </w:pPr>
      <w:r w:rsidRPr="00C2233D">
        <w:rPr>
          <w:b/>
          <w:bCs/>
        </w:rPr>
        <w:t>Équipe support client</w:t>
      </w:r>
      <w:r w:rsidRPr="00C2233D">
        <w:t> : fournit une assistance multicanale (call center, chat, e</w:t>
      </w:r>
      <w:r w:rsidRPr="00C2233D">
        <w:noBreakHyphen/>
        <w:t>mail) et recueille les retours des utilisateurs.</w:t>
      </w:r>
    </w:p>
    <w:p w:rsidR="00C2233D" w:rsidRPr="00C2233D" w:rsidRDefault="00C2233D" w:rsidP="00C2233D">
      <w:pPr>
        <w:numPr>
          <w:ilvl w:val="0"/>
          <w:numId w:val="1"/>
        </w:numPr>
      </w:pPr>
      <w:r w:rsidRPr="00C2233D">
        <w:rPr>
          <w:b/>
          <w:bCs/>
        </w:rPr>
        <w:t>Équipe de terrain et agents</w:t>
      </w:r>
      <w:r w:rsidRPr="00C2233D">
        <w:t> : responsables de la vente, de la formation des nouveaux clients et de la gestion des kiosques physiques.</w:t>
      </w:r>
    </w:p>
    <w:p w:rsidR="00C2233D" w:rsidRPr="00C2233D" w:rsidRDefault="00C2233D" w:rsidP="00C2233D">
      <w:pPr>
        <w:rPr>
          <w:b/>
          <w:bCs/>
        </w:rPr>
      </w:pPr>
      <w:r w:rsidRPr="00C2233D">
        <w:rPr>
          <w:b/>
          <w:bCs/>
        </w:rPr>
        <w:t>2.3 Structure juridique envisagée</w:t>
      </w:r>
    </w:p>
    <w:p w:rsidR="00C2233D" w:rsidRPr="00C2233D" w:rsidRDefault="00C2233D" w:rsidP="00C2233D">
      <w:r w:rsidRPr="00C2233D">
        <w:t xml:space="preserve">L’entreprise sera constituée sous la forme d’une </w:t>
      </w:r>
      <w:r w:rsidRPr="00C2233D">
        <w:rPr>
          <w:b/>
          <w:bCs/>
        </w:rPr>
        <w:t>Société Anonyme (SA) à conseil d’administration</w:t>
      </w:r>
      <w:r w:rsidRPr="00C2233D">
        <w:t>, conférant une crédibilité institutionnelle auprès des régulateurs et des investisseurs. Le capital initial sera apporté par les fondateurs et des investisseurs locaux et internationaux intéressés par les solutions FinTech à fort impact social. La SA permettra également d’ouvrir le capital aux employés et aux partenaires stratégiques à travers des plans d’options d’achat d’actions.</w:t>
      </w:r>
    </w:p>
    <w:p w:rsidR="00C2233D" w:rsidRPr="00C2233D" w:rsidRDefault="00C2233D" w:rsidP="00C2233D">
      <w:pPr>
        <w:rPr>
          <w:b/>
          <w:bCs/>
        </w:rPr>
      </w:pPr>
      <w:r w:rsidRPr="00C2233D">
        <w:rPr>
          <w:b/>
          <w:bCs/>
        </w:rPr>
        <w:t>3. Contexte et justification du projet</w:t>
      </w:r>
    </w:p>
    <w:p w:rsidR="00C2233D" w:rsidRPr="00C2233D" w:rsidRDefault="00C2233D" w:rsidP="00C2233D">
      <w:pPr>
        <w:rPr>
          <w:b/>
          <w:bCs/>
        </w:rPr>
      </w:pPr>
      <w:r w:rsidRPr="00C2233D">
        <w:rPr>
          <w:b/>
          <w:bCs/>
        </w:rPr>
        <w:t>3.1 Situation de la bancarisation et de l’inclusion financière en RDC</w:t>
      </w:r>
    </w:p>
    <w:p w:rsidR="00C2233D" w:rsidRPr="00C2233D" w:rsidRDefault="00C2233D" w:rsidP="00C2233D">
      <w:r w:rsidRPr="00C2233D">
        <w:t xml:space="preserve">La RDC affiche un niveau de bancarisation extrêmement faible. Selon les données de </w:t>
      </w:r>
      <w:proofErr w:type="spellStart"/>
      <w:r w:rsidRPr="00C2233D">
        <w:rPr>
          <w:b/>
          <w:bCs/>
        </w:rPr>
        <w:t>Making</w:t>
      </w:r>
      <w:proofErr w:type="spellEnd"/>
      <w:r w:rsidRPr="00C2233D">
        <w:rPr>
          <w:b/>
          <w:bCs/>
        </w:rPr>
        <w:t xml:space="preserve"> Finance Work for </w:t>
      </w:r>
      <w:proofErr w:type="spellStart"/>
      <w:r w:rsidRPr="00C2233D">
        <w:rPr>
          <w:b/>
          <w:bCs/>
        </w:rPr>
        <w:t>Africa</w:t>
      </w:r>
      <w:proofErr w:type="spellEnd"/>
      <w:r w:rsidRPr="00C2233D">
        <w:rPr>
          <w:b/>
          <w:bCs/>
        </w:rPr>
        <w:t xml:space="preserve"> (MFW4A)</w:t>
      </w:r>
      <w:r w:rsidRPr="00C2233D">
        <w:t xml:space="preserve">, </w:t>
      </w:r>
      <w:r w:rsidRPr="00C2233D">
        <w:rPr>
          <w:b/>
          <w:bCs/>
        </w:rPr>
        <w:t>seulement 8 % des adultes possédaient un compte bancaire en 2018</w:t>
      </w:r>
      <w:r w:rsidRPr="00C2233D">
        <w:t xml:space="preserve"> et </w:t>
      </w:r>
      <w:r w:rsidRPr="00C2233D">
        <w:rPr>
          <w:b/>
          <w:bCs/>
        </w:rPr>
        <w:t>l’inclusion financière globale atteignait 33,7 %</w:t>
      </w:r>
      <w:hyperlink r:id="rId10" w:anchor=":~:text=Financial%20Inclusion" w:tgtFrame="_blank" w:history="1">
        <w:r w:rsidRPr="00C2233D">
          <w:rPr>
            <w:rStyle w:val="Lienhypertexte"/>
          </w:rPr>
          <w:t>mfw4a.org</w:t>
        </w:r>
      </w:hyperlink>
      <w:r w:rsidRPr="00C2233D">
        <w:t xml:space="preserve">. La majorité de la population effectue ses transactions en espèces, ce qui limite l’épargne, l’accès au crédit et l’historique financier nécessaire aux prêts formels. Par ailleurs, </w:t>
      </w:r>
      <w:r w:rsidRPr="00C2233D">
        <w:rPr>
          <w:b/>
          <w:bCs/>
        </w:rPr>
        <w:t>plus de 25 millions d’adultes</w:t>
      </w:r>
      <w:r w:rsidRPr="00C2233D">
        <w:t xml:space="preserve"> n’ont aucun accès aux services financiers</w:t>
      </w:r>
      <w:hyperlink r:id="rId11" w:anchor=":~:text=Financial%20Inclusion" w:tgtFrame="_blank" w:history="1">
        <w:r w:rsidRPr="00C2233D">
          <w:rPr>
            <w:rStyle w:val="Lienhypertexte"/>
          </w:rPr>
          <w:t>mfw4a.org</w:t>
        </w:r>
      </w:hyperlink>
      <w:r w:rsidRPr="00C2233D">
        <w:t>. Cette exclusion financière freine l’entrepreneuriat et accroît la vulnérabilité des ménages aux chocs économiques.</w:t>
      </w:r>
    </w:p>
    <w:p w:rsidR="00C2233D" w:rsidRPr="00C2233D" w:rsidRDefault="00C2233D" w:rsidP="00C2233D">
      <w:r w:rsidRPr="00C2233D">
        <w:t xml:space="preserve">La densité des infrastructures bancaires est très faible : on compte </w:t>
      </w:r>
      <w:r w:rsidRPr="00C2233D">
        <w:rPr>
          <w:b/>
          <w:bCs/>
        </w:rPr>
        <w:t>0,19 distributeur automatique de billets (DAB) pour 1 000 km²</w:t>
      </w:r>
      <w:hyperlink r:id="rId12" w:anchor=":~:text=Financial%20Inclusion" w:tgtFrame="_blank" w:history="1">
        <w:r w:rsidRPr="00C2233D">
          <w:rPr>
            <w:rStyle w:val="Lienhypertexte"/>
          </w:rPr>
          <w:t>mfw4a.org</w:t>
        </w:r>
      </w:hyperlink>
      <w:r w:rsidRPr="00C2233D">
        <w:t>. Les établissements bancaires sont concentrés dans les grandes villes, laissant les zones rurales sans accès aux services essentiels. La faiblesse des revenus et le manque de confiance envers les institutions traditionnelles renforcent le recours au cash et à des circuits informels.</w:t>
      </w:r>
    </w:p>
    <w:p w:rsidR="00C2233D" w:rsidRPr="00C2233D" w:rsidRDefault="00C2233D" w:rsidP="00C2233D">
      <w:pPr>
        <w:rPr>
          <w:b/>
          <w:bCs/>
        </w:rPr>
      </w:pPr>
      <w:r w:rsidRPr="00C2233D">
        <w:rPr>
          <w:b/>
          <w:bCs/>
        </w:rPr>
        <w:t>3.2 Croissance et limites du mobile money</w:t>
      </w:r>
    </w:p>
    <w:p w:rsidR="00C2233D" w:rsidRPr="00C2233D" w:rsidRDefault="00C2233D" w:rsidP="00C2233D">
      <w:r w:rsidRPr="00C2233D">
        <w:t>Depuis les années 2010, les opérateurs de téléphonie mobile (</w:t>
      </w:r>
      <w:proofErr w:type="spellStart"/>
      <w:r w:rsidRPr="00C2233D">
        <w:t>Vodacom</w:t>
      </w:r>
      <w:proofErr w:type="spellEnd"/>
      <w:r w:rsidRPr="00C2233D">
        <w:t xml:space="preserve">, Orange, Airtel, </w:t>
      </w:r>
      <w:proofErr w:type="spellStart"/>
      <w:r w:rsidRPr="00C2233D">
        <w:t>Africell</w:t>
      </w:r>
      <w:proofErr w:type="spellEnd"/>
      <w:r w:rsidRPr="00C2233D">
        <w:t xml:space="preserve">) ont lancé des services de </w:t>
      </w:r>
      <w:r w:rsidRPr="00C2233D">
        <w:rPr>
          <w:b/>
          <w:bCs/>
        </w:rPr>
        <w:t>mobile money</w:t>
      </w:r>
      <w:r w:rsidRPr="00C2233D">
        <w:t xml:space="preserve"> qui permettent d’effectuer des dépôts, des retraits et des transferts via un téléphone. Ces services rencontrent un succès grandissant : </w:t>
      </w:r>
      <w:r w:rsidRPr="00C2233D">
        <w:rPr>
          <w:b/>
          <w:bCs/>
        </w:rPr>
        <w:t>le nombre d’abonnements est passé de 6,59 millions au troisième trimestre 2020 à 21,67 millions au troisième trimestre 2023</w:t>
      </w:r>
      <w:r w:rsidRPr="00C2233D">
        <w:t xml:space="preserve">, soit une </w:t>
      </w:r>
      <w:r w:rsidRPr="00C2233D">
        <w:rPr>
          <w:b/>
          <w:bCs/>
        </w:rPr>
        <w:t>augmentation de 228,8 %</w:t>
      </w:r>
      <w:r w:rsidRPr="00C2233D">
        <w:lastRenderedPageBreak/>
        <w:drawing>
          <wp:inline distT="0" distB="0" distL="0" distR="0">
            <wp:extent cx="5760720" cy="4320540"/>
            <wp:effectExtent l="0" t="0" r="0" b="3810"/>
            <wp:docPr id="71099148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r w:rsidRPr="00C2233D">
        <w:t xml:space="preserve">ecofinagency.com. La pénétration du mobile money au sein de la population est passée de </w:t>
      </w:r>
      <w:r w:rsidRPr="00C2233D">
        <w:rPr>
          <w:b/>
          <w:bCs/>
        </w:rPr>
        <w:t>7,5 % à 22,8 %</w:t>
      </w:r>
      <w:r w:rsidRPr="00C2233D">
        <w:t xml:space="preserve"> sur la même période</w:t>
      </w:r>
      <w:r w:rsidRPr="00C2233D">
        <w:lastRenderedPageBreak/>
        <w:drawing>
          <wp:inline distT="0" distB="0" distL="0" distR="0">
            <wp:extent cx="5760720" cy="4320540"/>
            <wp:effectExtent l="0" t="0" r="0" b="3810"/>
            <wp:docPr id="119891507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r w:rsidRPr="00C2233D">
        <w:t>ecofinagency.com.</w:t>
      </w:r>
    </w:p>
    <w:p w:rsidR="00C2233D" w:rsidRPr="00C2233D" w:rsidRDefault="00C2233D" w:rsidP="00C2233D">
      <w:r w:rsidRPr="00C2233D">
        <w:t xml:space="preserve">Cependant, malgré cette croissance spectaculaire, l’utilisation reste limitée : en 2018, </w:t>
      </w:r>
      <w:r w:rsidRPr="00C2233D">
        <w:rPr>
          <w:b/>
          <w:bCs/>
        </w:rPr>
        <w:t>seulement 7,7 % de la population possédait un compte mobile money</w:t>
      </w:r>
      <w:r w:rsidRPr="00C2233D">
        <w:t xml:space="preserve"> et </w:t>
      </w:r>
      <w:r w:rsidRPr="00C2233D">
        <w:rPr>
          <w:b/>
          <w:bCs/>
        </w:rPr>
        <w:t>seulement 18 % de ces comptes étaient actifs</w:t>
      </w:r>
      <w:hyperlink r:id="rId13" w:anchor=":~:text=Financial%20Inclusion" w:tgtFrame="_blank" w:history="1">
        <w:r w:rsidRPr="00C2233D">
          <w:rPr>
            <w:rStyle w:val="Lienhypertexte"/>
          </w:rPr>
          <w:t>mfw4a.org</w:t>
        </w:r>
      </w:hyperlink>
      <w:r w:rsidRPr="00C2233D">
        <w:t>. Les raisons sont multiples : complexité des interfaces USSD, frais perçus comme élevés, manque d’interopérabilité entre opérateurs, limitations sur les montants de transaction, couverture réseau inégale et absence de produits financiers avancés (épargne rémunérée, crédit). Par ailleurs, la plupart des services actuels sont contrôlés par les opérateurs de téléphonie, laissant peu d’initiative à de nouveaux entrants orientés fintech.</w:t>
      </w:r>
    </w:p>
    <w:p w:rsidR="00C2233D" w:rsidRPr="00C2233D" w:rsidRDefault="00C2233D" w:rsidP="00C2233D">
      <w:pPr>
        <w:rPr>
          <w:b/>
          <w:bCs/>
        </w:rPr>
      </w:pPr>
      <w:r w:rsidRPr="00C2233D">
        <w:rPr>
          <w:b/>
          <w:bCs/>
        </w:rPr>
        <w:t>3.3 Adoption numérique et accès à l’internet mobile</w:t>
      </w:r>
    </w:p>
    <w:p w:rsidR="00C2233D" w:rsidRPr="00C2233D" w:rsidRDefault="00C2233D" w:rsidP="00C2233D">
      <w:r w:rsidRPr="00C2233D">
        <w:t xml:space="preserve">La transformation numérique en RDC est en marche. D’après </w:t>
      </w:r>
      <w:proofErr w:type="spellStart"/>
      <w:r w:rsidRPr="00C2233D">
        <w:rPr>
          <w:b/>
          <w:bCs/>
        </w:rPr>
        <w:t>Datareportal</w:t>
      </w:r>
      <w:proofErr w:type="spellEnd"/>
      <w:r w:rsidRPr="00C2233D">
        <w:t xml:space="preserve"> cité par </w:t>
      </w:r>
      <w:proofErr w:type="spellStart"/>
      <w:r w:rsidRPr="00C2233D">
        <w:t>GeoPoll</w:t>
      </w:r>
      <w:proofErr w:type="spellEnd"/>
      <w:r w:rsidRPr="00C2233D">
        <w:t xml:space="preserve">, </w:t>
      </w:r>
      <w:r w:rsidRPr="00C2233D">
        <w:rPr>
          <w:b/>
          <w:bCs/>
        </w:rPr>
        <w:t>53,36 millions de connexions mobiles étaient actives en 2024</w:t>
      </w:r>
      <w:r w:rsidRPr="00C2233D">
        <w:t xml:space="preserve">, représentant </w:t>
      </w:r>
      <w:r w:rsidRPr="00C2233D">
        <w:rPr>
          <w:b/>
          <w:bCs/>
        </w:rPr>
        <w:t>51,4 % de la population</w:t>
      </w:r>
      <w:hyperlink r:id="rId14" w:anchor=":~:text=According%20to%20Datareportal%2C%20the%20Democratic,App%20Usage%20in%20Africa%20Survey" w:tgtFrame="_blank" w:history="1">
        <w:r w:rsidRPr="00C2233D">
          <w:rPr>
            <w:rStyle w:val="Lienhypertexte"/>
          </w:rPr>
          <w:t>geopoll.com</w:t>
        </w:r>
      </w:hyperlink>
      <w:r w:rsidRPr="00C2233D">
        <w:t xml:space="preserve">. L’usage d’Internet progresse également, avec </w:t>
      </w:r>
      <w:r w:rsidRPr="00C2233D">
        <w:rPr>
          <w:b/>
          <w:bCs/>
        </w:rPr>
        <w:t>28,31 millions d’internautes au début de 2024</w:t>
      </w:r>
      <w:r w:rsidRPr="00C2233D">
        <w:t xml:space="preserve">, soit une </w:t>
      </w:r>
      <w:r w:rsidRPr="00C2233D">
        <w:rPr>
          <w:b/>
          <w:bCs/>
        </w:rPr>
        <w:t>pénétration de 27,2 %</w:t>
      </w:r>
      <w:hyperlink r:id="rId15" w:anchor=":~:text=According%20to%20Datareportal%2C%20the%20Democratic,App%20Usage%20in%20Africa%20Survey" w:tgtFrame="_blank" w:history="1">
        <w:r w:rsidRPr="00C2233D">
          <w:rPr>
            <w:rStyle w:val="Lienhypertexte"/>
          </w:rPr>
          <w:t>geopoll.com</w:t>
        </w:r>
      </w:hyperlink>
      <w:r w:rsidRPr="00C2233D">
        <w:t>. Ces chiffres, bien que modestes par rapport à la moyenne africaine, démontrent un potentiel considérable pour les services digitaux, d’autant que la majorité des internautes se connectent via un smartphone.</w:t>
      </w:r>
    </w:p>
    <w:p w:rsidR="00C2233D" w:rsidRPr="00C2233D" w:rsidRDefault="00C2233D" w:rsidP="00C2233D">
      <w:r w:rsidRPr="00C2233D">
        <w:t xml:space="preserve">L’amélioration de la couverture réseau (4G dans les principales villes, extension du backbone en fibre optique et de la 3G dans les zones rurales) et la baisse du prix des smartphones </w:t>
      </w:r>
      <w:r w:rsidRPr="00C2233D">
        <w:lastRenderedPageBreak/>
        <w:t>favorisent l’adoption des services financiers numériques. En parallèle, la croissance du commerce électronique, l’urbanisation rapide et le dynamisme de la jeunesse (population médiane de 17 ans) créent une demande pour des outils de paiement modernes et adaptés.</w:t>
      </w:r>
    </w:p>
    <w:p w:rsidR="00C2233D" w:rsidRPr="00C2233D" w:rsidRDefault="00C2233D" w:rsidP="00C2233D">
      <w:pPr>
        <w:rPr>
          <w:b/>
          <w:bCs/>
        </w:rPr>
      </w:pPr>
      <w:r w:rsidRPr="00C2233D">
        <w:rPr>
          <w:b/>
          <w:bCs/>
        </w:rPr>
        <w:t>3.4 Pourquoi un e</w:t>
      </w:r>
      <w:r w:rsidRPr="00C2233D">
        <w:rPr>
          <w:b/>
          <w:bCs/>
        </w:rPr>
        <w:noBreakHyphen/>
      </w:r>
      <w:proofErr w:type="spellStart"/>
      <w:r w:rsidRPr="00C2233D">
        <w:rPr>
          <w:b/>
          <w:bCs/>
        </w:rPr>
        <w:t>wallet</w:t>
      </w:r>
      <w:proofErr w:type="spellEnd"/>
      <w:r w:rsidRPr="00C2233D">
        <w:rPr>
          <w:b/>
          <w:bCs/>
        </w:rPr>
        <w:t> ?</w:t>
      </w:r>
    </w:p>
    <w:p w:rsidR="00C2233D" w:rsidRPr="00C2233D" w:rsidRDefault="00C2233D" w:rsidP="00C2233D">
      <w:r w:rsidRPr="00C2233D">
        <w:t xml:space="preserve">Un </w:t>
      </w:r>
      <w:r w:rsidRPr="00C2233D">
        <w:rPr>
          <w:b/>
          <w:bCs/>
        </w:rPr>
        <w:t>e</w:t>
      </w:r>
      <w:r w:rsidRPr="00C2233D">
        <w:rPr>
          <w:b/>
          <w:bCs/>
        </w:rPr>
        <w:noBreakHyphen/>
      </w:r>
      <w:proofErr w:type="spellStart"/>
      <w:r w:rsidRPr="00C2233D">
        <w:rPr>
          <w:b/>
          <w:bCs/>
        </w:rPr>
        <w:t>wallet</w:t>
      </w:r>
      <w:proofErr w:type="spellEnd"/>
      <w:r w:rsidRPr="00C2233D">
        <w:t xml:space="preserve"> se différencie du simple service de mobile money par son caractère universel et interopérable. Notre porte</w:t>
      </w:r>
      <w:r w:rsidRPr="00C2233D">
        <w:noBreakHyphen/>
        <w:t>monnaie électronique permettra :</w:t>
      </w:r>
    </w:p>
    <w:p w:rsidR="00C2233D" w:rsidRPr="00C2233D" w:rsidRDefault="00C2233D" w:rsidP="00C2233D">
      <w:pPr>
        <w:numPr>
          <w:ilvl w:val="0"/>
          <w:numId w:val="2"/>
        </w:numPr>
      </w:pPr>
      <w:r w:rsidRPr="00C2233D">
        <w:rPr>
          <w:b/>
          <w:bCs/>
        </w:rPr>
        <w:t>Une gestion centralisée et multicanal</w:t>
      </w:r>
      <w:r w:rsidRPr="00C2233D">
        <w:t> : l’utilisateur pourra lier plusieurs sources de fonds (comptes bancaires, comptes mobile money, cartes prépayées) et accéder au service via une application mobile, un navigateur web ou un code USSD.</w:t>
      </w:r>
    </w:p>
    <w:p w:rsidR="00C2233D" w:rsidRPr="00C2233D" w:rsidRDefault="00C2233D" w:rsidP="00C2233D">
      <w:pPr>
        <w:numPr>
          <w:ilvl w:val="0"/>
          <w:numId w:val="2"/>
        </w:numPr>
      </w:pPr>
      <w:r w:rsidRPr="00C2233D">
        <w:rPr>
          <w:b/>
          <w:bCs/>
        </w:rPr>
        <w:t>Des fonctionnalités enrichies</w:t>
      </w:r>
      <w:r w:rsidRPr="00C2233D">
        <w:t> : micro</w:t>
      </w:r>
      <w:r w:rsidRPr="00C2233D">
        <w:noBreakHyphen/>
        <w:t>épargne, micro</w:t>
      </w:r>
      <w:r w:rsidRPr="00C2233D">
        <w:noBreakHyphen/>
        <w:t>crédit, paiements par QR</w:t>
      </w:r>
      <w:r w:rsidRPr="00C2233D">
        <w:noBreakHyphen/>
        <w:t>code, facturation des services publics, achat de titres de transport, intégration avec les plateformes d’e</w:t>
      </w:r>
      <w:r w:rsidRPr="00C2233D">
        <w:noBreakHyphen/>
        <w:t>commerce et de livraison. Ces services augmentent la valeur perçue et fidélisent les utilisateurs.</w:t>
      </w:r>
    </w:p>
    <w:p w:rsidR="00C2233D" w:rsidRPr="00C2233D" w:rsidRDefault="00C2233D" w:rsidP="00C2233D">
      <w:pPr>
        <w:numPr>
          <w:ilvl w:val="0"/>
          <w:numId w:val="2"/>
        </w:numPr>
      </w:pPr>
      <w:r w:rsidRPr="00C2233D">
        <w:rPr>
          <w:b/>
          <w:bCs/>
        </w:rPr>
        <w:t>Une interopérabilité avec les banques et les opérateurs télécoms</w:t>
      </w:r>
      <w:r w:rsidRPr="00C2233D">
        <w:t> : l’architecture API permettra de transférer des fonds d’un compte mobile money vers un compte bancaire, d’une carte bancaire vers un compte e</w:t>
      </w:r>
      <w:r w:rsidRPr="00C2233D">
        <w:noBreakHyphen/>
      </w:r>
      <w:proofErr w:type="spellStart"/>
      <w:r w:rsidRPr="00C2233D">
        <w:t>wallet</w:t>
      </w:r>
      <w:proofErr w:type="spellEnd"/>
      <w:r w:rsidRPr="00C2233D">
        <w:t xml:space="preserve"> ou d’un e</w:t>
      </w:r>
      <w:r w:rsidRPr="00C2233D">
        <w:noBreakHyphen/>
      </w:r>
      <w:proofErr w:type="spellStart"/>
      <w:r w:rsidRPr="00C2233D">
        <w:t>wallet</w:t>
      </w:r>
      <w:proofErr w:type="spellEnd"/>
      <w:r w:rsidRPr="00C2233D">
        <w:t xml:space="preserve"> vers un autre opérateur, favorisant ainsi la fluidité des transactions.</w:t>
      </w:r>
    </w:p>
    <w:p w:rsidR="00C2233D" w:rsidRPr="00C2233D" w:rsidRDefault="00C2233D" w:rsidP="00C2233D">
      <w:pPr>
        <w:numPr>
          <w:ilvl w:val="0"/>
          <w:numId w:val="2"/>
        </w:numPr>
      </w:pPr>
      <w:r w:rsidRPr="00C2233D">
        <w:rPr>
          <w:b/>
          <w:bCs/>
        </w:rPr>
        <w:t>Un impact social</w:t>
      </w:r>
      <w:r w:rsidRPr="00C2233D">
        <w:t> : l’e</w:t>
      </w:r>
      <w:r w:rsidRPr="00C2233D">
        <w:noBreakHyphen/>
      </w:r>
      <w:proofErr w:type="spellStart"/>
      <w:r w:rsidRPr="00C2233D">
        <w:t>wallet</w:t>
      </w:r>
      <w:proofErr w:type="spellEnd"/>
      <w:r w:rsidRPr="00C2233D">
        <w:t xml:space="preserve"> participera à la formalisation de l’économie et à l’inclusion des personnes non bancarisées, notamment les femmes et les jeunes, en créant un historique de transactions et en améliorant l’accès au crédit.</w:t>
      </w:r>
    </w:p>
    <w:p w:rsidR="00C2233D" w:rsidRPr="00C2233D" w:rsidRDefault="00C2233D" w:rsidP="00C2233D">
      <w:pPr>
        <w:rPr>
          <w:b/>
          <w:bCs/>
        </w:rPr>
      </w:pPr>
      <w:r w:rsidRPr="00C2233D">
        <w:rPr>
          <w:b/>
          <w:bCs/>
        </w:rPr>
        <w:t>4. Analyse du marché</w:t>
      </w:r>
    </w:p>
    <w:p w:rsidR="00C2233D" w:rsidRPr="00C2233D" w:rsidRDefault="00C2233D" w:rsidP="00C2233D">
      <w:pPr>
        <w:rPr>
          <w:b/>
          <w:bCs/>
        </w:rPr>
      </w:pPr>
      <w:r w:rsidRPr="00C2233D">
        <w:rPr>
          <w:b/>
          <w:bCs/>
        </w:rPr>
        <w:t>4.1 Taille et segmentation du marché potentiel</w:t>
      </w:r>
    </w:p>
    <w:p w:rsidR="00C2233D" w:rsidRPr="00C2233D" w:rsidRDefault="00C2233D" w:rsidP="00C2233D">
      <w:r w:rsidRPr="00C2233D">
        <w:t xml:space="preserve">Le marché des paiements numériques en RDC est encore embryonnaire, mais ses perspectives sont immenses. Sur </w:t>
      </w:r>
      <w:r w:rsidRPr="00C2233D">
        <w:rPr>
          <w:b/>
          <w:bCs/>
        </w:rPr>
        <w:t>une population estimée à 105 millions d’habitants</w:t>
      </w:r>
      <w:r w:rsidRPr="00C2233D">
        <w:t xml:space="preserve"> (2024), environ </w:t>
      </w:r>
      <w:r w:rsidRPr="00C2233D">
        <w:rPr>
          <w:b/>
          <w:bCs/>
        </w:rPr>
        <w:t>40 millions d’adultes</w:t>
      </w:r>
      <w:r w:rsidRPr="00C2233D">
        <w:t xml:space="preserve"> sont potentiellement utilisables pour les services financiers. En se fondant sur les données de MFW4A, où seulement </w:t>
      </w:r>
      <w:r w:rsidRPr="00C2233D">
        <w:rPr>
          <w:b/>
          <w:bCs/>
        </w:rPr>
        <w:t>7,7 % des adultes possédaient un compte mobile money en 2018</w:t>
      </w:r>
      <w:r w:rsidRPr="00C2233D">
        <w:t xml:space="preserve"> et </w:t>
      </w:r>
      <w:r w:rsidRPr="00C2233D">
        <w:rPr>
          <w:b/>
          <w:bCs/>
        </w:rPr>
        <w:t>8 % détenaient un compte bancaire</w:t>
      </w:r>
      <w:hyperlink r:id="rId16" w:anchor=":~:text=Financial%20Inclusion" w:tgtFrame="_blank" w:history="1">
        <w:r w:rsidRPr="00C2233D">
          <w:rPr>
            <w:rStyle w:val="Lienhypertexte"/>
          </w:rPr>
          <w:t>mfw4a.org</w:t>
        </w:r>
      </w:hyperlink>
      <w:r w:rsidRPr="00C2233D">
        <w:t xml:space="preserve">, on peut estimer qu'au moins </w:t>
      </w:r>
      <w:r w:rsidRPr="00C2233D">
        <w:rPr>
          <w:b/>
          <w:bCs/>
        </w:rPr>
        <w:t>85 % de la population adulte demeure sans solution de paiement numérique performante</w:t>
      </w:r>
      <w:r w:rsidRPr="00C2233D">
        <w:t>.</w:t>
      </w:r>
    </w:p>
    <w:p w:rsidR="00C2233D" w:rsidRPr="00C2233D" w:rsidRDefault="00C2233D" w:rsidP="00C2233D">
      <w:r w:rsidRPr="00C2233D">
        <w:t>Les segments de clientèle ciblés sont :</w:t>
      </w:r>
    </w:p>
    <w:p w:rsidR="00C2233D" w:rsidRPr="00C2233D" w:rsidRDefault="00C2233D" w:rsidP="00C2233D">
      <w:pPr>
        <w:numPr>
          <w:ilvl w:val="0"/>
          <w:numId w:val="3"/>
        </w:numPr>
      </w:pPr>
      <w:r w:rsidRPr="00C2233D">
        <w:rPr>
          <w:b/>
          <w:bCs/>
        </w:rPr>
        <w:t>Particuliers urbains</w:t>
      </w:r>
      <w:r w:rsidRPr="00C2233D">
        <w:t> : jeunes de moins de 35 ans, étudiants, salariés, travailleurs indépendants et fonctionnaires vivant à Kinshasa, Lubumbashi et Goma. Ils recherchent des moyens rapides et sécurisés de transférer de l’argent, payer leurs factures et effectuer des achats en ligne.</w:t>
      </w:r>
    </w:p>
    <w:p w:rsidR="00C2233D" w:rsidRPr="00C2233D" w:rsidRDefault="00C2233D" w:rsidP="00C2233D">
      <w:pPr>
        <w:numPr>
          <w:ilvl w:val="0"/>
          <w:numId w:val="3"/>
        </w:numPr>
      </w:pPr>
      <w:r w:rsidRPr="00C2233D">
        <w:rPr>
          <w:b/>
          <w:bCs/>
        </w:rPr>
        <w:lastRenderedPageBreak/>
        <w:t>Zones rurales et périurbaines</w:t>
      </w:r>
      <w:r w:rsidRPr="00C2233D">
        <w:t> : agriculteurs, commerçants et populations sans accès à des services bancaires traditionnels. L’e</w:t>
      </w:r>
      <w:r w:rsidRPr="00C2233D">
        <w:noBreakHyphen/>
      </w:r>
      <w:proofErr w:type="spellStart"/>
      <w:r w:rsidRPr="00C2233D">
        <w:t>wallet</w:t>
      </w:r>
      <w:proofErr w:type="spellEnd"/>
      <w:r w:rsidRPr="00C2233D">
        <w:t xml:space="preserve"> leur offre un dépôt sécurisé pour leurs revenus, l’accès à la micro</w:t>
      </w:r>
      <w:r w:rsidRPr="00C2233D">
        <w:noBreakHyphen/>
        <w:t>épargne et des prêts de trésorerie.</w:t>
      </w:r>
    </w:p>
    <w:p w:rsidR="00C2233D" w:rsidRPr="00C2233D" w:rsidRDefault="00C2233D" w:rsidP="00C2233D">
      <w:pPr>
        <w:numPr>
          <w:ilvl w:val="0"/>
          <w:numId w:val="3"/>
        </w:numPr>
      </w:pPr>
      <w:r w:rsidRPr="00C2233D">
        <w:rPr>
          <w:b/>
          <w:bCs/>
        </w:rPr>
        <w:t>PME et micro</w:t>
      </w:r>
      <w:r w:rsidRPr="00C2233D">
        <w:rPr>
          <w:b/>
          <w:bCs/>
        </w:rPr>
        <w:noBreakHyphen/>
        <w:t>entreprises</w:t>
      </w:r>
      <w:r w:rsidRPr="00C2233D">
        <w:t> : vendeurs en boutique, plateformes de e</w:t>
      </w:r>
      <w:r w:rsidRPr="00C2233D">
        <w:noBreakHyphen/>
        <w:t>commerce, chauffeurs de taxi, restaurateurs. Ils bénéficieront d’un système de paiement sans espèces, réduisant les risques de vol et améliorant la transparence.</w:t>
      </w:r>
    </w:p>
    <w:p w:rsidR="00C2233D" w:rsidRPr="00C2233D" w:rsidRDefault="00C2233D" w:rsidP="00C2233D">
      <w:pPr>
        <w:numPr>
          <w:ilvl w:val="0"/>
          <w:numId w:val="3"/>
        </w:numPr>
      </w:pPr>
      <w:r w:rsidRPr="00C2233D">
        <w:rPr>
          <w:b/>
          <w:bCs/>
        </w:rPr>
        <w:t xml:space="preserve">Diaspora et </w:t>
      </w:r>
      <w:proofErr w:type="spellStart"/>
      <w:r w:rsidRPr="00C2233D">
        <w:rPr>
          <w:b/>
          <w:bCs/>
        </w:rPr>
        <w:t>remittances</w:t>
      </w:r>
      <w:proofErr w:type="spellEnd"/>
      <w:r w:rsidRPr="00C2233D">
        <w:t> : Congolais de l’étranger envoyant de l’argent à leurs familles. L’intégration de la solution avec des prestataires de transfert internationaux permettra de réduire les frais et d’accélérer les transferts.</w:t>
      </w:r>
    </w:p>
    <w:p w:rsidR="00C2233D" w:rsidRPr="00C2233D" w:rsidRDefault="00C2233D" w:rsidP="00C2233D">
      <w:pPr>
        <w:numPr>
          <w:ilvl w:val="0"/>
          <w:numId w:val="3"/>
        </w:numPr>
      </w:pPr>
      <w:r w:rsidRPr="00C2233D">
        <w:rPr>
          <w:b/>
          <w:bCs/>
        </w:rPr>
        <w:t>Institutions publiques</w:t>
      </w:r>
      <w:r w:rsidRPr="00C2233D">
        <w:t> : paiement des impôts et taxes en ligne, paiement des factures d’eau et d’électricité, versement des salaires des agents publics.</w:t>
      </w:r>
    </w:p>
    <w:p w:rsidR="00C2233D" w:rsidRPr="00C2233D" w:rsidRDefault="00C2233D" w:rsidP="00C2233D">
      <w:pPr>
        <w:rPr>
          <w:b/>
          <w:bCs/>
        </w:rPr>
      </w:pPr>
      <w:r w:rsidRPr="00C2233D">
        <w:rPr>
          <w:b/>
          <w:bCs/>
        </w:rPr>
        <w:t>4.2 Concurrence et acteurs existants</w:t>
      </w:r>
    </w:p>
    <w:p w:rsidR="00C2233D" w:rsidRPr="00C2233D" w:rsidRDefault="00C2233D" w:rsidP="00C2233D">
      <w:r w:rsidRPr="00C2233D">
        <w:t xml:space="preserve">Le marché congolais est dominé par trois principaux </w:t>
      </w:r>
      <w:r w:rsidRPr="00C2233D">
        <w:rPr>
          <w:b/>
          <w:bCs/>
        </w:rPr>
        <w:t>opérateurs de mobile money</w:t>
      </w:r>
      <w:r w:rsidRPr="00C2233D">
        <w:t> :</w:t>
      </w:r>
    </w:p>
    <w:p w:rsidR="00C2233D" w:rsidRPr="00C2233D" w:rsidRDefault="00C2233D" w:rsidP="00C2233D">
      <w:pPr>
        <w:numPr>
          <w:ilvl w:val="0"/>
          <w:numId w:val="4"/>
        </w:numPr>
      </w:pPr>
      <w:proofErr w:type="spellStart"/>
      <w:r w:rsidRPr="00C2233D">
        <w:rPr>
          <w:b/>
          <w:bCs/>
        </w:rPr>
        <w:t>Vodacom</w:t>
      </w:r>
      <w:proofErr w:type="spellEnd"/>
      <w:r w:rsidRPr="00C2233D">
        <w:rPr>
          <w:b/>
          <w:bCs/>
        </w:rPr>
        <w:t xml:space="preserve"> M</w:t>
      </w:r>
      <w:r w:rsidRPr="00C2233D">
        <w:rPr>
          <w:b/>
          <w:bCs/>
        </w:rPr>
        <w:noBreakHyphen/>
        <w:t>Pesa</w:t>
      </w:r>
      <w:r w:rsidRPr="00C2233D">
        <w:t> : présent depuis 2012, il offre des services basiques de dépôt/retrait et de transfert, ainsi que le paiement des factures. Sa force réside dans son large réseau d’agents (plus de 30 000 en 2017</w:t>
      </w:r>
      <w:hyperlink r:id="rId17" w:anchor=":~:text=Financial%20Inclusion" w:tgtFrame="_blank" w:history="1">
        <w:r w:rsidRPr="00C2233D">
          <w:rPr>
            <w:rStyle w:val="Lienhypertexte"/>
          </w:rPr>
          <w:t>mfw4a.org</w:t>
        </w:r>
      </w:hyperlink>
      <w:r w:rsidRPr="00C2233D">
        <w:t>), mais le service est perçu comme coûteux et peu innovant.</w:t>
      </w:r>
    </w:p>
    <w:p w:rsidR="00C2233D" w:rsidRPr="00C2233D" w:rsidRDefault="00C2233D" w:rsidP="00C2233D">
      <w:pPr>
        <w:numPr>
          <w:ilvl w:val="0"/>
          <w:numId w:val="4"/>
        </w:numPr>
      </w:pPr>
      <w:r w:rsidRPr="00C2233D">
        <w:rPr>
          <w:b/>
          <w:bCs/>
        </w:rPr>
        <w:t>Orange Money</w:t>
      </w:r>
      <w:r w:rsidRPr="00C2233D">
        <w:t> : service de l’opérateur Orange, qui mise sur la fiabilité de son réseau et propose des paiements par QR</w:t>
      </w:r>
      <w:r w:rsidRPr="00C2233D">
        <w:noBreakHyphen/>
        <w:t>code et un début d’interopérabilité avec certaines banques.</w:t>
      </w:r>
    </w:p>
    <w:p w:rsidR="00C2233D" w:rsidRPr="00C2233D" w:rsidRDefault="00C2233D" w:rsidP="00C2233D">
      <w:pPr>
        <w:numPr>
          <w:ilvl w:val="0"/>
          <w:numId w:val="4"/>
        </w:numPr>
      </w:pPr>
      <w:r w:rsidRPr="00C2233D">
        <w:rPr>
          <w:b/>
          <w:bCs/>
        </w:rPr>
        <w:t>Airtel Money</w:t>
      </w:r>
      <w:r w:rsidRPr="00C2233D">
        <w:t> : propose des transferts et des paiements, mais souffre de l’image d’un service limité aux abonnés Airtel.</w:t>
      </w:r>
    </w:p>
    <w:p w:rsidR="00C2233D" w:rsidRPr="00C2233D" w:rsidRDefault="00C2233D" w:rsidP="00C2233D">
      <w:r w:rsidRPr="00C2233D">
        <w:t xml:space="preserve">Outre ces opérateurs, quelques </w:t>
      </w:r>
      <w:r w:rsidRPr="00C2233D">
        <w:rPr>
          <w:b/>
          <w:bCs/>
        </w:rPr>
        <w:t>banques</w:t>
      </w:r>
      <w:r w:rsidRPr="00C2233D">
        <w:t xml:space="preserve"> (Trust Merchant Bank, </w:t>
      </w:r>
      <w:proofErr w:type="spellStart"/>
      <w:r w:rsidRPr="00C2233D">
        <w:t>Rawbank</w:t>
      </w:r>
      <w:proofErr w:type="spellEnd"/>
      <w:r w:rsidRPr="00C2233D">
        <w:t xml:space="preserve">, </w:t>
      </w:r>
      <w:proofErr w:type="spellStart"/>
      <w:r w:rsidRPr="00C2233D">
        <w:t>Equity</w:t>
      </w:r>
      <w:proofErr w:type="spellEnd"/>
      <w:r w:rsidRPr="00C2233D">
        <w:t xml:space="preserve"> BCDC) testent des solutions de banque mobile, mais leur couverture reste faible et l’expérience utilisateur n’est pas homogène. </w:t>
      </w:r>
      <w:r w:rsidRPr="00C2233D">
        <w:rPr>
          <w:b/>
          <w:bCs/>
        </w:rPr>
        <w:t>Plusieurs fintechs locales</w:t>
      </w:r>
      <w:r w:rsidRPr="00C2233D">
        <w:t xml:space="preserve"> ont émergé pour traiter des niches (paiement de factures, collecte de paiements marchands, agrégation de paiement), mais aucune ne propose une solution e</w:t>
      </w:r>
      <w:r w:rsidRPr="00C2233D">
        <w:noBreakHyphen/>
      </w:r>
      <w:proofErr w:type="spellStart"/>
      <w:r w:rsidRPr="00C2233D">
        <w:t>wallet</w:t>
      </w:r>
      <w:proofErr w:type="spellEnd"/>
      <w:r w:rsidRPr="00C2233D">
        <w:t xml:space="preserve"> interopérable et complète à grande échelle.</w:t>
      </w:r>
    </w:p>
    <w:p w:rsidR="00C2233D" w:rsidRPr="00C2233D" w:rsidRDefault="00C2233D" w:rsidP="00C2233D">
      <w:pPr>
        <w:rPr>
          <w:b/>
          <w:bCs/>
        </w:rPr>
      </w:pPr>
      <w:r w:rsidRPr="00C2233D">
        <w:rPr>
          <w:b/>
          <w:bCs/>
        </w:rPr>
        <w:t>4.3 Tendances régionales et internationales</w:t>
      </w:r>
    </w:p>
    <w:p w:rsidR="00C2233D" w:rsidRPr="00C2233D" w:rsidRDefault="00C2233D" w:rsidP="00C2233D">
      <w:r w:rsidRPr="00C2233D">
        <w:t xml:space="preserve">À l’échelle africaine, les paiements numériques connaissent une croissance exponentielle. Le rapport GSMA 2023 sur le mobile money estime que la valeur des transactions au niveau mondial a atteint 1,7 milliard de dollars par jour. Les </w:t>
      </w:r>
      <w:r w:rsidRPr="00C2233D">
        <w:rPr>
          <w:b/>
          <w:bCs/>
        </w:rPr>
        <w:t>super</w:t>
      </w:r>
      <w:r w:rsidRPr="00C2233D">
        <w:rPr>
          <w:b/>
          <w:bCs/>
        </w:rPr>
        <w:noBreakHyphen/>
        <w:t>apps</w:t>
      </w:r>
      <w:r w:rsidRPr="00C2233D">
        <w:t xml:space="preserve"> intègrent progressivement paiements, commerce, transport et réseaux sociaux (ex. M</w:t>
      </w:r>
      <w:r w:rsidRPr="00C2233D">
        <w:noBreakHyphen/>
        <w:t xml:space="preserve">Pesa Super App, </w:t>
      </w:r>
      <w:proofErr w:type="spellStart"/>
      <w:r w:rsidRPr="00C2233D">
        <w:t>Opay</w:t>
      </w:r>
      <w:proofErr w:type="spellEnd"/>
      <w:r w:rsidRPr="00C2233D">
        <w:t xml:space="preserve">, </w:t>
      </w:r>
      <w:proofErr w:type="spellStart"/>
      <w:r w:rsidRPr="00C2233D">
        <w:t>GCash</w:t>
      </w:r>
      <w:proofErr w:type="spellEnd"/>
      <w:r w:rsidRPr="00C2233D">
        <w:t xml:space="preserve">). Les </w:t>
      </w:r>
      <w:r w:rsidRPr="00C2233D">
        <w:rPr>
          <w:b/>
          <w:bCs/>
        </w:rPr>
        <w:t>open APIs</w:t>
      </w:r>
      <w:r w:rsidRPr="00C2233D">
        <w:t xml:space="preserve"> et l’open </w:t>
      </w:r>
      <w:proofErr w:type="spellStart"/>
      <w:r w:rsidRPr="00C2233D">
        <w:t>banking</w:t>
      </w:r>
      <w:proofErr w:type="spellEnd"/>
      <w:r w:rsidRPr="00C2233D">
        <w:t xml:space="preserve"> permettent l’interopérabilité et la création de services tiers. Les institutions régionales (CEMAC, SADC) harmonisent les cadres réglementaires pour favoriser la concurrence et la sécurisation des flux.</w:t>
      </w:r>
    </w:p>
    <w:p w:rsidR="00C2233D" w:rsidRPr="00C2233D" w:rsidRDefault="00C2233D" w:rsidP="00C2233D">
      <w:r w:rsidRPr="00C2233D">
        <w:lastRenderedPageBreak/>
        <w:t xml:space="preserve">Le Congo peut s’inspirer des succès du </w:t>
      </w:r>
      <w:r w:rsidRPr="00C2233D">
        <w:rPr>
          <w:b/>
          <w:bCs/>
        </w:rPr>
        <w:t>Kenya</w:t>
      </w:r>
      <w:r w:rsidRPr="00C2233D">
        <w:t xml:space="preserve"> (M</w:t>
      </w:r>
      <w:r w:rsidRPr="00C2233D">
        <w:noBreakHyphen/>
        <w:t xml:space="preserve">Pesa), de la </w:t>
      </w:r>
      <w:r w:rsidRPr="00C2233D">
        <w:rPr>
          <w:b/>
          <w:bCs/>
        </w:rPr>
        <w:t>Côte d’Ivoire</w:t>
      </w:r>
      <w:r w:rsidRPr="00C2233D">
        <w:t xml:space="preserve"> (</w:t>
      </w:r>
      <w:proofErr w:type="spellStart"/>
      <w:r w:rsidRPr="00C2233D">
        <w:t>Wave</w:t>
      </w:r>
      <w:proofErr w:type="spellEnd"/>
      <w:r w:rsidRPr="00C2233D">
        <w:t xml:space="preserve">), du </w:t>
      </w:r>
      <w:r w:rsidRPr="00C2233D">
        <w:rPr>
          <w:b/>
          <w:bCs/>
        </w:rPr>
        <w:t>Nigéria</w:t>
      </w:r>
      <w:r w:rsidRPr="00C2233D">
        <w:t xml:space="preserve"> (</w:t>
      </w:r>
      <w:proofErr w:type="spellStart"/>
      <w:r w:rsidRPr="00C2233D">
        <w:t>Paga</w:t>
      </w:r>
      <w:proofErr w:type="spellEnd"/>
      <w:r w:rsidRPr="00C2233D">
        <w:t xml:space="preserve">, </w:t>
      </w:r>
      <w:proofErr w:type="spellStart"/>
      <w:r w:rsidRPr="00C2233D">
        <w:t>Opay</w:t>
      </w:r>
      <w:proofErr w:type="spellEnd"/>
      <w:r w:rsidRPr="00C2233D">
        <w:t xml:space="preserve">) et du </w:t>
      </w:r>
      <w:r w:rsidRPr="00C2233D">
        <w:rPr>
          <w:b/>
          <w:bCs/>
        </w:rPr>
        <w:t>Ghana</w:t>
      </w:r>
      <w:r w:rsidRPr="00C2233D">
        <w:t xml:space="preserve"> (MTN </w:t>
      </w:r>
      <w:proofErr w:type="spellStart"/>
      <w:r w:rsidRPr="00C2233D">
        <w:t>MoMo</w:t>
      </w:r>
      <w:proofErr w:type="spellEnd"/>
      <w:r w:rsidRPr="00C2233D">
        <w:t>). Ces marchés ont prouvé que la combinaison d’un réseau d’agents dense, d’une tarification abordable et de services à valeur ajoutée (épargne, crédit, assurance) est essentielle à l’adoption massive.</w:t>
      </w:r>
    </w:p>
    <w:p w:rsidR="00C2233D" w:rsidRPr="00C2233D" w:rsidRDefault="00C2233D" w:rsidP="00C2233D">
      <w:pPr>
        <w:rPr>
          <w:b/>
          <w:bCs/>
        </w:rPr>
      </w:pPr>
      <w:r w:rsidRPr="00C2233D">
        <w:rPr>
          <w:b/>
          <w:bCs/>
        </w:rPr>
        <w:t>4.4 Opportunités de croissance</w:t>
      </w:r>
    </w:p>
    <w:p w:rsidR="00C2233D" w:rsidRPr="00C2233D" w:rsidRDefault="00C2233D" w:rsidP="00C2233D">
      <w:pPr>
        <w:numPr>
          <w:ilvl w:val="0"/>
          <w:numId w:val="5"/>
        </w:numPr>
      </w:pPr>
      <w:r w:rsidRPr="00C2233D">
        <w:rPr>
          <w:b/>
          <w:bCs/>
        </w:rPr>
        <w:t>Population jeune et urbaine</w:t>
      </w:r>
      <w:r w:rsidRPr="00C2233D">
        <w:t> : plus de la moitié de la population congolaise a moins de 20 ans, ce qui constitue une base d’utilisateurs friands de technologies mobiles.</w:t>
      </w:r>
    </w:p>
    <w:p w:rsidR="00C2233D" w:rsidRPr="00C2233D" w:rsidRDefault="00C2233D" w:rsidP="00C2233D">
      <w:pPr>
        <w:numPr>
          <w:ilvl w:val="0"/>
          <w:numId w:val="5"/>
        </w:numPr>
      </w:pPr>
      <w:r w:rsidRPr="00C2233D">
        <w:rPr>
          <w:b/>
          <w:bCs/>
        </w:rPr>
        <w:t>Digitalisation des paiements publics</w:t>
      </w:r>
      <w:r w:rsidRPr="00C2233D">
        <w:t> : la modernisation de l’administration fiscale et des régies financières ouvrira la voie au paiement digital des taxes, amendes et factures, créant un fort volume de transactions.</w:t>
      </w:r>
    </w:p>
    <w:p w:rsidR="00C2233D" w:rsidRPr="00C2233D" w:rsidRDefault="00C2233D" w:rsidP="00C2233D">
      <w:pPr>
        <w:numPr>
          <w:ilvl w:val="0"/>
          <w:numId w:val="5"/>
        </w:numPr>
      </w:pPr>
      <w:r w:rsidRPr="00C2233D">
        <w:rPr>
          <w:b/>
          <w:bCs/>
        </w:rPr>
        <w:t>Commerce électronique</w:t>
      </w:r>
      <w:r w:rsidRPr="00C2233D">
        <w:t> : l’émergence de plateformes locales de e</w:t>
      </w:r>
      <w:r w:rsidRPr="00C2233D">
        <w:noBreakHyphen/>
        <w:t>commerce (Jumia RDC, marketplaces locales) nécessite un moyen de paiement électronique accessible à tous.</w:t>
      </w:r>
    </w:p>
    <w:p w:rsidR="00C2233D" w:rsidRPr="00C2233D" w:rsidRDefault="00C2233D" w:rsidP="00C2233D">
      <w:pPr>
        <w:numPr>
          <w:ilvl w:val="0"/>
          <w:numId w:val="5"/>
        </w:numPr>
      </w:pPr>
      <w:r w:rsidRPr="00C2233D">
        <w:rPr>
          <w:b/>
          <w:bCs/>
        </w:rPr>
        <w:t>Agriculture et économie rurale</w:t>
      </w:r>
      <w:r w:rsidRPr="00C2233D">
        <w:t> : l’e</w:t>
      </w:r>
      <w:r w:rsidRPr="00C2233D">
        <w:noBreakHyphen/>
      </w:r>
      <w:proofErr w:type="spellStart"/>
      <w:r w:rsidRPr="00C2233D">
        <w:t>wallet</w:t>
      </w:r>
      <w:proofErr w:type="spellEnd"/>
      <w:r w:rsidRPr="00C2233D">
        <w:t xml:space="preserve"> peut permettre de payer les agriculteurs sans espèces, d’octroyer des micro</w:t>
      </w:r>
      <w:r w:rsidRPr="00C2233D">
        <w:noBreakHyphen/>
        <w:t>crédits et de faciliter la vente des récoltes.</w:t>
      </w:r>
    </w:p>
    <w:p w:rsidR="00C2233D" w:rsidRPr="00C2233D" w:rsidRDefault="00C2233D" w:rsidP="00C2233D">
      <w:pPr>
        <w:numPr>
          <w:ilvl w:val="0"/>
          <w:numId w:val="5"/>
        </w:numPr>
      </w:pPr>
      <w:proofErr w:type="spellStart"/>
      <w:r w:rsidRPr="00C2233D">
        <w:rPr>
          <w:b/>
          <w:bCs/>
        </w:rPr>
        <w:t>Remittances</w:t>
      </w:r>
      <w:proofErr w:type="spellEnd"/>
      <w:r w:rsidRPr="00C2233D">
        <w:t> : la diaspora congolaise représente plusieurs milliards de dollars de transferts annuels. En intégrant des partenaires internationaux, l’e</w:t>
      </w:r>
      <w:r w:rsidRPr="00C2233D">
        <w:noBreakHyphen/>
      </w:r>
      <w:proofErr w:type="spellStart"/>
      <w:r w:rsidRPr="00C2233D">
        <w:t>wallet</w:t>
      </w:r>
      <w:proofErr w:type="spellEnd"/>
      <w:r w:rsidRPr="00C2233D">
        <w:t xml:space="preserve"> peut capter une partie de ces flux, réduisant les coûts et délais pour les familles.</w:t>
      </w:r>
    </w:p>
    <w:p w:rsidR="00C2233D" w:rsidRPr="00C2233D" w:rsidRDefault="00C2233D" w:rsidP="00C2233D">
      <w:pPr>
        <w:rPr>
          <w:b/>
          <w:bCs/>
        </w:rPr>
      </w:pPr>
      <w:r w:rsidRPr="00C2233D">
        <w:rPr>
          <w:b/>
          <w:bCs/>
        </w:rPr>
        <w:t>4.5 Risques et défis</w:t>
      </w:r>
    </w:p>
    <w:p w:rsidR="00C2233D" w:rsidRPr="00C2233D" w:rsidRDefault="00C2233D" w:rsidP="00C2233D">
      <w:pPr>
        <w:numPr>
          <w:ilvl w:val="0"/>
          <w:numId w:val="6"/>
        </w:numPr>
      </w:pPr>
      <w:r w:rsidRPr="00C2233D">
        <w:rPr>
          <w:b/>
          <w:bCs/>
        </w:rPr>
        <w:t>Concurrence intense</w:t>
      </w:r>
      <w:r w:rsidRPr="00C2233D">
        <w:t> : les opérateurs de téléphonie disposent d’une base d’abonnés et d’un réseau d’agents bien établis. Le nouvel entrant doit offrir de meilleures fonctionnalités et des coûts inférieurs pour convaincre les utilisateurs.</w:t>
      </w:r>
    </w:p>
    <w:p w:rsidR="00C2233D" w:rsidRPr="00C2233D" w:rsidRDefault="00C2233D" w:rsidP="00C2233D">
      <w:pPr>
        <w:numPr>
          <w:ilvl w:val="0"/>
          <w:numId w:val="6"/>
        </w:numPr>
      </w:pPr>
      <w:r w:rsidRPr="00C2233D">
        <w:rPr>
          <w:b/>
          <w:bCs/>
        </w:rPr>
        <w:t>Réglementation complexe et évolutive</w:t>
      </w:r>
      <w:r w:rsidRPr="00C2233D">
        <w:t> : l’obtention de l’agrément d’émetteur de monnaie électronique est soumise à des exigences financières et techniques. Les changements de réglementation ou de taxation pourraient affecter la rentabilité.</w:t>
      </w:r>
    </w:p>
    <w:p w:rsidR="00C2233D" w:rsidRPr="00C2233D" w:rsidRDefault="00C2233D" w:rsidP="00C2233D">
      <w:pPr>
        <w:numPr>
          <w:ilvl w:val="0"/>
          <w:numId w:val="6"/>
        </w:numPr>
      </w:pPr>
      <w:r w:rsidRPr="00C2233D">
        <w:rPr>
          <w:b/>
          <w:bCs/>
        </w:rPr>
        <w:t>Cybersécurité et fraude</w:t>
      </w:r>
      <w:r w:rsidRPr="00C2233D">
        <w:t> : les fraudes et arnaques téléphoniques sont fréquentes. Une plateforme e</w:t>
      </w:r>
      <w:r w:rsidRPr="00C2233D">
        <w:noBreakHyphen/>
      </w:r>
      <w:proofErr w:type="spellStart"/>
      <w:r w:rsidRPr="00C2233D">
        <w:t>wallet</w:t>
      </w:r>
      <w:proofErr w:type="spellEnd"/>
      <w:r w:rsidRPr="00C2233D">
        <w:t xml:space="preserve"> doit garantir une haute sécurité pour gagner la confiance des utilisateurs.</w:t>
      </w:r>
    </w:p>
    <w:p w:rsidR="00C2233D" w:rsidRPr="00C2233D" w:rsidRDefault="00C2233D" w:rsidP="00C2233D">
      <w:pPr>
        <w:numPr>
          <w:ilvl w:val="0"/>
          <w:numId w:val="6"/>
        </w:numPr>
      </w:pPr>
      <w:r w:rsidRPr="00C2233D">
        <w:rPr>
          <w:b/>
          <w:bCs/>
        </w:rPr>
        <w:t>Infrastructure réseau</w:t>
      </w:r>
      <w:r w:rsidRPr="00C2233D">
        <w:t> : les pannes de réseau mobile et d’électricité peuvent freiner l’usage continu du service. Il est crucial de développer des solutions offline (USSD) et d’assurer la redondance.</w:t>
      </w:r>
    </w:p>
    <w:p w:rsidR="00C2233D" w:rsidRPr="00C2233D" w:rsidRDefault="00C2233D" w:rsidP="00C2233D">
      <w:pPr>
        <w:rPr>
          <w:b/>
          <w:bCs/>
        </w:rPr>
      </w:pPr>
      <w:r w:rsidRPr="00C2233D">
        <w:rPr>
          <w:b/>
          <w:bCs/>
        </w:rPr>
        <w:t>5. Cadre réglementaire et conformité</w:t>
      </w:r>
    </w:p>
    <w:p w:rsidR="00C2233D" w:rsidRPr="00C2233D" w:rsidRDefault="00C2233D" w:rsidP="00C2233D">
      <w:pPr>
        <w:rPr>
          <w:b/>
          <w:bCs/>
        </w:rPr>
      </w:pPr>
      <w:r w:rsidRPr="00C2233D">
        <w:rPr>
          <w:b/>
          <w:bCs/>
        </w:rPr>
        <w:t>5.1 Cadre légal en vigueur</w:t>
      </w:r>
    </w:p>
    <w:p w:rsidR="00C2233D" w:rsidRPr="00C2233D" w:rsidRDefault="00C2233D" w:rsidP="00C2233D">
      <w:r w:rsidRPr="00C2233D">
        <w:lastRenderedPageBreak/>
        <w:t xml:space="preserve">En RDC, les services de monnaie électronique sont régis par la </w:t>
      </w:r>
      <w:r w:rsidRPr="00C2233D">
        <w:rPr>
          <w:b/>
          <w:bCs/>
        </w:rPr>
        <w:t>Loi n° 03/2002 sur l'activité des établissements de crédit</w:t>
      </w:r>
      <w:r w:rsidRPr="00C2233D">
        <w:t xml:space="preserve"> complétée par des instructions de la Banque Centrale du Congo (BCC) et par le </w:t>
      </w:r>
      <w:r w:rsidRPr="00C2233D">
        <w:rPr>
          <w:b/>
          <w:bCs/>
        </w:rPr>
        <w:t>Code des communications</w:t>
      </w:r>
      <w:r w:rsidRPr="00C2233D">
        <w:t xml:space="preserve"> (2018). Les principaux textes à respecter sont :</w:t>
      </w:r>
    </w:p>
    <w:p w:rsidR="00C2233D" w:rsidRPr="00C2233D" w:rsidRDefault="00C2233D" w:rsidP="00C2233D">
      <w:pPr>
        <w:numPr>
          <w:ilvl w:val="0"/>
          <w:numId w:val="7"/>
        </w:numPr>
      </w:pPr>
      <w:r w:rsidRPr="00C2233D">
        <w:rPr>
          <w:b/>
          <w:bCs/>
        </w:rPr>
        <w:t>Instruction BCC n° 16/2020</w:t>
      </w:r>
      <w:r w:rsidRPr="00C2233D">
        <w:t xml:space="preserve"> : définit les conditions d’émission de monnaie électronique, les exigences de capital minimum, la gestion des comptes de </w:t>
      </w:r>
      <w:proofErr w:type="spellStart"/>
      <w:r w:rsidRPr="00C2233D">
        <w:t>float</w:t>
      </w:r>
      <w:proofErr w:type="spellEnd"/>
      <w:r w:rsidRPr="00C2233D">
        <w:t xml:space="preserve"> et la protection des fonds des clients.</w:t>
      </w:r>
    </w:p>
    <w:p w:rsidR="00C2233D" w:rsidRPr="00C2233D" w:rsidRDefault="00C2233D" w:rsidP="00C2233D">
      <w:pPr>
        <w:numPr>
          <w:ilvl w:val="0"/>
          <w:numId w:val="7"/>
        </w:numPr>
      </w:pPr>
      <w:r w:rsidRPr="00C2233D">
        <w:rPr>
          <w:b/>
          <w:bCs/>
        </w:rPr>
        <w:t>Loi sur la protection des données personnelles (2023)</w:t>
      </w:r>
      <w:r w:rsidRPr="00C2233D">
        <w:t> : impose des règles de collecte, de traitement et de stockage des données, ainsi que des obligations de consentement et de confidentialité.</w:t>
      </w:r>
    </w:p>
    <w:p w:rsidR="00C2233D" w:rsidRPr="00C2233D" w:rsidRDefault="00C2233D" w:rsidP="00C2233D">
      <w:pPr>
        <w:numPr>
          <w:ilvl w:val="0"/>
          <w:numId w:val="7"/>
        </w:numPr>
      </w:pPr>
      <w:r w:rsidRPr="00C2233D">
        <w:rPr>
          <w:b/>
          <w:bCs/>
        </w:rPr>
        <w:t>Instruction sur le KYC/AML</w:t>
      </w:r>
      <w:r w:rsidRPr="00C2233D">
        <w:t> : oblige les prestataires à vérifier l’identité des clients (CNI, passeport, empreintes digitales) et à signaler les transactions suspectes à la Cellule nationale de renseignement financier (CENAREF).</w:t>
      </w:r>
    </w:p>
    <w:p w:rsidR="00C2233D" w:rsidRPr="00C2233D" w:rsidRDefault="00C2233D" w:rsidP="00C2233D">
      <w:pPr>
        <w:numPr>
          <w:ilvl w:val="0"/>
          <w:numId w:val="7"/>
        </w:numPr>
      </w:pPr>
      <w:r w:rsidRPr="00C2233D">
        <w:rPr>
          <w:b/>
          <w:bCs/>
        </w:rPr>
        <w:t>Télécom Bill 2018</w:t>
      </w:r>
      <w:r w:rsidRPr="00C2233D">
        <w:t> : modernise la régulation des télécommunications et introduit l’obligation d’interopérabilité et de partage d’infrastructures</w:t>
      </w:r>
      <w:hyperlink r:id="rId18" w:anchor=":~:text=Financial%20Inclusion" w:tgtFrame="_blank" w:history="1">
        <w:r w:rsidRPr="00C2233D">
          <w:rPr>
            <w:rStyle w:val="Lienhypertexte"/>
          </w:rPr>
          <w:t>mfw4a.org</w:t>
        </w:r>
      </w:hyperlink>
      <w:r w:rsidRPr="00C2233D">
        <w:t>.</w:t>
      </w:r>
    </w:p>
    <w:p w:rsidR="00C2233D" w:rsidRPr="00C2233D" w:rsidRDefault="00C2233D" w:rsidP="00C2233D">
      <w:pPr>
        <w:rPr>
          <w:b/>
          <w:bCs/>
        </w:rPr>
      </w:pPr>
      <w:r w:rsidRPr="00C2233D">
        <w:rPr>
          <w:b/>
          <w:bCs/>
        </w:rPr>
        <w:t>5.2 Procédure d’obtention des licences</w:t>
      </w:r>
    </w:p>
    <w:p w:rsidR="00C2233D" w:rsidRPr="00C2233D" w:rsidRDefault="00C2233D" w:rsidP="00C2233D">
      <w:r w:rsidRPr="00C2233D">
        <w:t>Pour opérer un e</w:t>
      </w:r>
      <w:r w:rsidRPr="00C2233D">
        <w:noBreakHyphen/>
      </w:r>
      <w:proofErr w:type="spellStart"/>
      <w:r w:rsidRPr="00C2233D">
        <w:t>wallet</w:t>
      </w:r>
      <w:proofErr w:type="spellEnd"/>
      <w:r w:rsidRPr="00C2233D">
        <w:t>, l’entreprise doit obtenir l’agrément d’</w:t>
      </w:r>
      <w:r w:rsidRPr="00C2233D">
        <w:rPr>
          <w:b/>
          <w:bCs/>
        </w:rPr>
        <w:t>Émetteur de monnaie électronique (EME)</w:t>
      </w:r>
      <w:r w:rsidRPr="00C2233D">
        <w:t xml:space="preserve"> auprès de la BCC. Les principales étapes sont :</w:t>
      </w:r>
    </w:p>
    <w:p w:rsidR="00C2233D" w:rsidRPr="00C2233D" w:rsidRDefault="00C2233D" w:rsidP="00C2233D">
      <w:pPr>
        <w:numPr>
          <w:ilvl w:val="0"/>
          <w:numId w:val="8"/>
        </w:numPr>
      </w:pPr>
      <w:r w:rsidRPr="00C2233D">
        <w:rPr>
          <w:b/>
          <w:bCs/>
        </w:rPr>
        <w:t>Constitution juridique</w:t>
      </w:r>
      <w:r w:rsidRPr="00C2233D">
        <w:t xml:space="preserve"> (SA ou SARL) avec un capital minimum déterminé par la BCC (par exemple 1 milliard de FC).</w:t>
      </w:r>
    </w:p>
    <w:p w:rsidR="00C2233D" w:rsidRPr="00C2233D" w:rsidRDefault="00C2233D" w:rsidP="00C2233D">
      <w:pPr>
        <w:numPr>
          <w:ilvl w:val="0"/>
          <w:numId w:val="8"/>
        </w:numPr>
      </w:pPr>
      <w:r w:rsidRPr="00C2233D">
        <w:rPr>
          <w:b/>
          <w:bCs/>
        </w:rPr>
        <w:t>Présentation d’un dossier d’agrément</w:t>
      </w:r>
      <w:r w:rsidRPr="00C2233D">
        <w:t xml:space="preserve"> comprenant le business plan, le manuel de procédures, les systèmes de sécurité, la politique de conformité et la preuve des fonds propres.</w:t>
      </w:r>
    </w:p>
    <w:p w:rsidR="00C2233D" w:rsidRPr="00C2233D" w:rsidRDefault="00C2233D" w:rsidP="00C2233D">
      <w:pPr>
        <w:numPr>
          <w:ilvl w:val="0"/>
          <w:numId w:val="8"/>
        </w:numPr>
      </w:pPr>
      <w:r w:rsidRPr="00C2233D">
        <w:rPr>
          <w:b/>
          <w:bCs/>
        </w:rPr>
        <w:t>Évaluation de l’Autorité de régulation des télécoms (ARPTC)</w:t>
      </w:r>
      <w:r w:rsidRPr="00C2233D">
        <w:t xml:space="preserve"> concernant l’interopérabilité et la gestion des communications électroniques.</w:t>
      </w:r>
    </w:p>
    <w:p w:rsidR="00C2233D" w:rsidRPr="00C2233D" w:rsidRDefault="00C2233D" w:rsidP="00C2233D">
      <w:pPr>
        <w:numPr>
          <w:ilvl w:val="0"/>
          <w:numId w:val="8"/>
        </w:numPr>
      </w:pPr>
      <w:r w:rsidRPr="00C2233D">
        <w:rPr>
          <w:b/>
          <w:bCs/>
        </w:rPr>
        <w:t>Inspection technique</w:t>
      </w:r>
      <w:r w:rsidRPr="00C2233D">
        <w:t xml:space="preserve"> des infrastructures IT, tests de pénétration et vérification du respect des normes PCI DSS.</w:t>
      </w:r>
    </w:p>
    <w:p w:rsidR="00C2233D" w:rsidRPr="00C2233D" w:rsidRDefault="00C2233D" w:rsidP="00C2233D">
      <w:pPr>
        <w:numPr>
          <w:ilvl w:val="0"/>
          <w:numId w:val="8"/>
        </w:numPr>
      </w:pPr>
      <w:r w:rsidRPr="00C2233D">
        <w:rPr>
          <w:b/>
          <w:bCs/>
        </w:rPr>
        <w:t>Octroi de la licence</w:t>
      </w:r>
      <w:r w:rsidRPr="00C2233D">
        <w:t xml:space="preserve"> pour une durée renouvelable (souvent 3 à 5 ans), assortie d’obligations de </w:t>
      </w:r>
      <w:proofErr w:type="spellStart"/>
      <w:r w:rsidRPr="00C2233D">
        <w:t>reporting</w:t>
      </w:r>
      <w:proofErr w:type="spellEnd"/>
      <w:r w:rsidRPr="00C2233D">
        <w:t xml:space="preserve"> mensuel, de réserves réglementaires et d’audit annuel.</w:t>
      </w:r>
    </w:p>
    <w:p w:rsidR="00C2233D" w:rsidRPr="00C2233D" w:rsidRDefault="00C2233D" w:rsidP="00C2233D">
      <w:pPr>
        <w:rPr>
          <w:b/>
          <w:bCs/>
        </w:rPr>
      </w:pPr>
      <w:r w:rsidRPr="00C2233D">
        <w:rPr>
          <w:b/>
          <w:bCs/>
        </w:rPr>
        <w:t>5.3 Exigences de conformité KYC/AML</w:t>
      </w:r>
    </w:p>
    <w:p w:rsidR="00C2233D" w:rsidRPr="00C2233D" w:rsidRDefault="00C2233D" w:rsidP="00C2233D">
      <w:r w:rsidRPr="00C2233D">
        <w:t>Le succès d’un e</w:t>
      </w:r>
      <w:r w:rsidRPr="00C2233D">
        <w:noBreakHyphen/>
      </w:r>
      <w:proofErr w:type="spellStart"/>
      <w:r w:rsidRPr="00C2233D">
        <w:t>wallet</w:t>
      </w:r>
      <w:proofErr w:type="spellEnd"/>
      <w:r w:rsidRPr="00C2233D">
        <w:t xml:space="preserve"> repose sur la confiance. Il est donc indispensable de mettre en place un dispositif de conformité robuste :</w:t>
      </w:r>
    </w:p>
    <w:p w:rsidR="00C2233D" w:rsidRPr="00C2233D" w:rsidRDefault="00C2233D" w:rsidP="00C2233D">
      <w:pPr>
        <w:numPr>
          <w:ilvl w:val="0"/>
          <w:numId w:val="9"/>
        </w:numPr>
      </w:pPr>
      <w:r w:rsidRPr="00C2233D">
        <w:rPr>
          <w:b/>
          <w:bCs/>
        </w:rPr>
        <w:t>Vérification d’identité</w:t>
      </w:r>
      <w:r w:rsidRPr="00C2233D">
        <w:t> : obtention des données personnelles (nom, prénom, date de naissance, adresse) et scan des pièces d’identité. Utilisation de la biométrie pour renforcer l’authentification.</w:t>
      </w:r>
    </w:p>
    <w:p w:rsidR="00C2233D" w:rsidRPr="00C2233D" w:rsidRDefault="00C2233D" w:rsidP="00C2233D">
      <w:pPr>
        <w:numPr>
          <w:ilvl w:val="0"/>
          <w:numId w:val="9"/>
        </w:numPr>
      </w:pPr>
      <w:r w:rsidRPr="00C2233D">
        <w:rPr>
          <w:b/>
          <w:bCs/>
        </w:rPr>
        <w:lastRenderedPageBreak/>
        <w:t>Classification des clients</w:t>
      </w:r>
      <w:r w:rsidRPr="00C2233D">
        <w:t xml:space="preserve"> selon le risque (faible, moyen, élevé) et application de seuils de transaction adaptés.</w:t>
      </w:r>
    </w:p>
    <w:p w:rsidR="00C2233D" w:rsidRPr="00C2233D" w:rsidRDefault="00C2233D" w:rsidP="00C2233D">
      <w:pPr>
        <w:numPr>
          <w:ilvl w:val="0"/>
          <w:numId w:val="9"/>
        </w:numPr>
      </w:pPr>
      <w:r w:rsidRPr="00C2233D">
        <w:rPr>
          <w:b/>
          <w:bCs/>
        </w:rPr>
        <w:t>Filtrage des listes de sanctions</w:t>
      </w:r>
      <w:r w:rsidRPr="00C2233D">
        <w:t xml:space="preserve"> (OFAC, Union Européenne) pour empêcher l’activation de comptes par des entités non autorisées.</w:t>
      </w:r>
    </w:p>
    <w:p w:rsidR="00C2233D" w:rsidRPr="00C2233D" w:rsidRDefault="00C2233D" w:rsidP="00C2233D">
      <w:pPr>
        <w:numPr>
          <w:ilvl w:val="0"/>
          <w:numId w:val="9"/>
        </w:numPr>
      </w:pPr>
      <w:r w:rsidRPr="00C2233D">
        <w:rPr>
          <w:b/>
          <w:bCs/>
        </w:rPr>
        <w:t>Surveillance des transactions en temps réel</w:t>
      </w:r>
      <w:r w:rsidRPr="00C2233D">
        <w:t> : détection des activités inhabituelles (montants élevés, fréquence anormale) et génération d’alertes.</w:t>
      </w:r>
    </w:p>
    <w:p w:rsidR="00C2233D" w:rsidRPr="00C2233D" w:rsidRDefault="00C2233D" w:rsidP="00C2233D">
      <w:pPr>
        <w:numPr>
          <w:ilvl w:val="0"/>
          <w:numId w:val="9"/>
        </w:numPr>
      </w:pPr>
      <w:r w:rsidRPr="00C2233D">
        <w:rPr>
          <w:b/>
          <w:bCs/>
        </w:rPr>
        <w:t>Rapports à la CENAREF</w:t>
      </w:r>
      <w:r w:rsidRPr="00C2233D">
        <w:t> : obligation de déclarer toute transaction suspecte ou blanchiment présumé.</w:t>
      </w:r>
    </w:p>
    <w:p w:rsidR="00C2233D" w:rsidRPr="00C2233D" w:rsidRDefault="00C2233D" w:rsidP="00C2233D">
      <w:pPr>
        <w:rPr>
          <w:b/>
          <w:bCs/>
        </w:rPr>
      </w:pPr>
      <w:r w:rsidRPr="00C2233D">
        <w:rPr>
          <w:b/>
          <w:bCs/>
        </w:rPr>
        <w:t>5.4 Protection des données et cybersécurité</w:t>
      </w:r>
    </w:p>
    <w:p w:rsidR="00C2233D" w:rsidRPr="00C2233D" w:rsidRDefault="00C2233D" w:rsidP="00C2233D">
      <w:r w:rsidRPr="00C2233D">
        <w:t>La plateforme devra se conformer à la législation sur les données personnelles et adopter les bonnes pratiques internationales (RGPD). Cela implique :</w:t>
      </w:r>
    </w:p>
    <w:p w:rsidR="00C2233D" w:rsidRPr="00C2233D" w:rsidRDefault="00C2233D" w:rsidP="00C2233D">
      <w:pPr>
        <w:numPr>
          <w:ilvl w:val="0"/>
          <w:numId w:val="10"/>
        </w:numPr>
      </w:pPr>
      <w:r w:rsidRPr="00C2233D">
        <w:rPr>
          <w:b/>
          <w:bCs/>
        </w:rPr>
        <w:t>Cryptage</w:t>
      </w:r>
      <w:r w:rsidRPr="00C2233D">
        <w:t xml:space="preserve"> des données en transit (HTTPS, TLS) et au repos (AES</w:t>
      </w:r>
      <w:r w:rsidRPr="00C2233D">
        <w:noBreakHyphen/>
        <w:t>256).</w:t>
      </w:r>
    </w:p>
    <w:p w:rsidR="00C2233D" w:rsidRPr="00C2233D" w:rsidRDefault="00C2233D" w:rsidP="00C2233D">
      <w:pPr>
        <w:numPr>
          <w:ilvl w:val="0"/>
          <w:numId w:val="10"/>
        </w:numPr>
      </w:pPr>
      <w:r w:rsidRPr="00C2233D">
        <w:rPr>
          <w:b/>
          <w:bCs/>
        </w:rPr>
        <w:t>Gestion des accès</w:t>
      </w:r>
      <w:r w:rsidRPr="00C2233D">
        <w:t> : authentification forte, séparation des privilèges, revues régulières des droits d’accès.</w:t>
      </w:r>
    </w:p>
    <w:p w:rsidR="00C2233D" w:rsidRPr="00C2233D" w:rsidRDefault="00C2233D" w:rsidP="00C2233D">
      <w:pPr>
        <w:numPr>
          <w:ilvl w:val="0"/>
          <w:numId w:val="10"/>
        </w:numPr>
      </w:pPr>
      <w:r w:rsidRPr="00C2233D">
        <w:rPr>
          <w:b/>
          <w:bCs/>
        </w:rPr>
        <w:t>Audit et traçabilité</w:t>
      </w:r>
      <w:r w:rsidRPr="00C2233D">
        <w:t> : journalisation des actions des utilisateurs et des administrateurs, stockage sécurisé des logs.</w:t>
      </w:r>
    </w:p>
    <w:p w:rsidR="00C2233D" w:rsidRPr="00C2233D" w:rsidRDefault="00C2233D" w:rsidP="00C2233D">
      <w:pPr>
        <w:numPr>
          <w:ilvl w:val="0"/>
          <w:numId w:val="10"/>
        </w:numPr>
      </w:pPr>
      <w:r w:rsidRPr="00C2233D">
        <w:rPr>
          <w:b/>
          <w:bCs/>
        </w:rPr>
        <w:t>Tests de pénétration</w:t>
      </w:r>
      <w:r w:rsidRPr="00C2233D">
        <w:t xml:space="preserve"> réguliers pour identifier et corriger les failles.</w:t>
      </w:r>
    </w:p>
    <w:p w:rsidR="00C2233D" w:rsidRPr="00C2233D" w:rsidRDefault="00C2233D" w:rsidP="00C2233D">
      <w:pPr>
        <w:numPr>
          <w:ilvl w:val="0"/>
          <w:numId w:val="10"/>
        </w:numPr>
      </w:pPr>
      <w:r w:rsidRPr="00C2233D">
        <w:rPr>
          <w:b/>
          <w:bCs/>
        </w:rPr>
        <w:t>Plan de continuité d’activité et de reprise après sinistre</w:t>
      </w:r>
      <w:r w:rsidRPr="00C2233D">
        <w:t> : redondance géographique des serveurs, sauvegardes fréquentes, procédures de bascule.</w:t>
      </w:r>
    </w:p>
    <w:p w:rsidR="00C2233D" w:rsidRPr="00C2233D" w:rsidRDefault="00C2233D" w:rsidP="00C2233D">
      <w:pPr>
        <w:rPr>
          <w:b/>
          <w:bCs/>
        </w:rPr>
      </w:pPr>
      <w:r w:rsidRPr="00C2233D">
        <w:rPr>
          <w:b/>
          <w:bCs/>
        </w:rPr>
        <w:t xml:space="preserve">5.5 Fonds de garantie et politique de </w:t>
      </w:r>
      <w:proofErr w:type="spellStart"/>
      <w:r w:rsidRPr="00C2233D">
        <w:rPr>
          <w:b/>
          <w:bCs/>
        </w:rPr>
        <w:t>float</w:t>
      </w:r>
      <w:proofErr w:type="spellEnd"/>
    </w:p>
    <w:p w:rsidR="00C2233D" w:rsidRPr="00C2233D" w:rsidRDefault="00C2233D" w:rsidP="00C2233D">
      <w:r w:rsidRPr="00C2233D">
        <w:t xml:space="preserve">Les fonds déposés par les utilisateurs doivent être conservés sur un compte de </w:t>
      </w:r>
      <w:proofErr w:type="spellStart"/>
      <w:r w:rsidRPr="00C2233D">
        <w:rPr>
          <w:b/>
          <w:bCs/>
        </w:rPr>
        <w:t>float</w:t>
      </w:r>
      <w:proofErr w:type="spellEnd"/>
      <w:r w:rsidRPr="00C2233D">
        <w:t xml:space="preserve"> auprès d’une banque de premier ordre, séparé du capital de l’entreprise. La BCC exige que 100 % des dépôts soient sécurisés afin de garantir la disponibilité des fonds et de protéger les utilisateurs contre une faillite de l’opérateur. Les intérêts générés par le </w:t>
      </w:r>
      <w:proofErr w:type="spellStart"/>
      <w:r w:rsidRPr="00C2233D">
        <w:t>float</w:t>
      </w:r>
      <w:proofErr w:type="spellEnd"/>
      <w:r w:rsidRPr="00C2233D">
        <w:t xml:space="preserve"> peuvent être partagés selon les réglementations nationales ; l’entreprise devra établir un mécanisme transparent de répartition de ces revenus (par exemple, l’intégrer dans un fonds d’investissement pour financer des micro</w:t>
      </w:r>
      <w:r w:rsidRPr="00C2233D">
        <w:noBreakHyphen/>
        <w:t>crédits).</w:t>
      </w:r>
    </w:p>
    <w:p w:rsidR="00C2233D" w:rsidRPr="00C2233D" w:rsidRDefault="00C2233D" w:rsidP="00C2233D">
      <w:pPr>
        <w:rPr>
          <w:b/>
          <w:bCs/>
        </w:rPr>
      </w:pPr>
      <w:r w:rsidRPr="00C2233D">
        <w:rPr>
          <w:b/>
          <w:bCs/>
        </w:rPr>
        <w:t>6. Description technique et opérationnelle du projet</w:t>
      </w:r>
    </w:p>
    <w:p w:rsidR="00C2233D" w:rsidRPr="00C2233D" w:rsidRDefault="00C2233D" w:rsidP="00C2233D">
      <w:pPr>
        <w:rPr>
          <w:b/>
          <w:bCs/>
        </w:rPr>
      </w:pPr>
      <w:r w:rsidRPr="00C2233D">
        <w:rPr>
          <w:b/>
          <w:bCs/>
        </w:rPr>
        <w:t>6.1 Architecture de la solution e</w:t>
      </w:r>
      <w:r w:rsidRPr="00C2233D">
        <w:rPr>
          <w:b/>
          <w:bCs/>
        </w:rPr>
        <w:noBreakHyphen/>
      </w:r>
      <w:proofErr w:type="spellStart"/>
      <w:r w:rsidRPr="00C2233D">
        <w:rPr>
          <w:b/>
          <w:bCs/>
        </w:rPr>
        <w:t>wallet</w:t>
      </w:r>
      <w:proofErr w:type="spellEnd"/>
    </w:p>
    <w:p w:rsidR="00C2233D" w:rsidRPr="00C2233D" w:rsidRDefault="00C2233D" w:rsidP="00C2233D">
      <w:r w:rsidRPr="00C2233D">
        <w:t>Le système sera basé sur une architecture modulaire et évolutive comportant :</w:t>
      </w:r>
    </w:p>
    <w:p w:rsidR="00C2233D" w:rsidRPr="00C2233D" w:rsidRDefault="00C2233D" w:rsidP="00C2233D">
      <w:pPr>
        <w:numPr>
          <w:ilvl w:val="0"/>
          <w:numId w:val="11"/>
        </w:numPr>
      </w:pPr>
      <w:r w:rsidRPr="00C2233D">
        <w:rPr>
          <w:b/>
          <w:bCs/>
        </w:rPr>
        <w:t>Application mobile</w:t>
      </w:r>
      <w:r w:rsidRPr="00C2233D">
        <w:t xml:space="preserve"> (Android et iOS) : interface utilisateur pour l’inscription, la gestion de compte, les transactions et les notifications. L’application sera optimisée pour les téléphones bas de gamme et peu gourmands en données.</w:t>
      </w:r>
    </w:p>
    <w:p w:rsidR="00C2233D" w:rsidRPr="00C2233D" w:rsidRDefault="00C2233D" w:rsidP="00C2233D">
      <w:pPr>
        <w:numPr>
          <w:ilvl w:val="0"/>
          <w:numId w:val="11"/>
        </w:numPr>
      </w:pPr>
      <w:r w:rsidRPr="00C2233D">
        <w:rPr>
          <w:b/>
          <w:bCs/>
        </w:rPr>
        <w:lastRenderedPageBreak/>
        <w:t>Portail web</w:t>
      </w:r>
      <w:r w:rsidRPr="00C2233D">
        <w:t> : permet aux entreprises et institutions d’effectuer des paiements de masse (salaires, bourses) et aux clients sans smartphone d’accéder à leurs comptes via un navigateur.</w:t>
      </w:r>
    </w:p>
    <w:p w:rsidR="00C2233D" w:rsidRPr="00C2233D" w:rsidRDefault="00C2233D" w:rsidP="00C2233D">
      <w:pPr>
        <w:numPr>
          <w:ilvl w:val="0"/>
          <w:numId w:val="11"/>
        </w:numPr>
      </w:pPr>
      <w:r w:rsidRPr="00C2233D">
        <w:rPr>
          <w:b/>
          <w:bCs/>
        </w:rPr>
        <w:t>Interface USSD/SMS</w:t>
      </w:r>
      <w:r w:rsidRPr="00C2233D">
        <w:t> : accessible sur téléphones basiques pour les zones rurales sans connexion Internet. Les menus seront disponibles en français, lingala, swahili, tshiluba et kikongo.</w:t>
      </w:r>
    </w:p>
    <w:p w:rsidR="00C2233D" w:rsidRPr="00C2233D" w:rsidRDefault="00C2233D" w:rsidP="00C2233D">
      <w:pPr>
        <w:numPr>
          <w:ilvl w:val="0"/>
          <w:numId w:val="11"/>
        </w:numPr>
      </w:pPr>
      <w:r w:rsidRPr="00C2233D">
        <w:rPr>
          <w:b/>
          <w:bCs/>
        </w:rPr>
        <w:t>Back</w:t>
      </w:r>
      <w:r w:rsidRPr="00C2233D">
        <w:rPr>
          <w:b/>
          <w:bCs/>
        </w:rPr>
        <w:noBreakHyphen/>
        <w:t>office et serveur de transaction</w:t>
      </w:r>
      <w:r w:rsidRPr="00C2233D">
        <w:t> : gère l’authentification, la validation, la compensation et la journalisation des opérations. Utilise des APIs REST pour l’intégration avec les banques, opérateurs télécoms et systèmes de facturation.</w:t>
      </w:r>
    </w:p>
    <w:p w:rsidR="00C2233D" w:rsidRPr="00C2233D" w:rsidRDefault="00C2233D" w:rsidP="00C2233D">
      <w:pPr>
        <w:numPr>
          <w:ilvl w:val="0"/>
          <w:numId w:val="11"/>
        </w:numPr>
      </w:pPr>
      <w:r w:rsidRPr="00C2233D">
        <w:rPr>
          <w:b/>
          <w:bCs/>
        </w:rPr>
        <w:t>Base de données et stockage</w:t>
      </w:r>
      <w:r w:rsidRPr="00C2233D">
        <w:t> : stockage structuré des comptes, des transactions, des logs et des données KYC avec chiffrement.</w:t>
      </w:r>
    </w:p>
    <w:p w:rsidR="00C2233D" w:rsidRPr="00C2233D" w:rsidRDefault="00C2233D" w:rsidP="00C2233D">
      <w:pPr>
        <w:numPr>
          <w:ilvl w:val="0"/>
          <w:numId w:val="11"/>
        </w:numPr>
      </w:pPr>
      <w:r w:rsidRPr="00C2233D">
        <w:rPr>
          <w:b/>
          <w:bCs/>
        </w:rPr>
        <w:t>Moteur de règle de gestion</w:t>
      </w:r>
      <w:r w:rsidRPr="00C2233D">
        <w:t> : applique les limites de transaction, vérifie les règles KYC/AML en temps réel et déclenche des alertes.</w:t>
      </w:r>
    </w:p>
    <w:p w:rsidR="00C2233D" w:rsidRPr="00C2233D" w:rsidRDefault="00C2233D" w:rsidP="00C2233D">
      <w:pPr>
        <w:numPr>
          <w:ilvl w:val="0"/>
          <w:numId w:val="11"/>
        </w:numPr>
      </w:pPr>
      <w:r w:rsidRPr="00C2233D">
        <w:rPr>
          <w:b/>
          <w:bCs/>
        </w:rPr>
        <w:t xml:space="preserve">Système d’analyse et de </w:t>
      </w:r>
      <w:proofErr w:type="spellStart"/>
      <w:r w:rsidRPr="00C2233D">
        <w:rPr>
          <w:b/>
          <w:bCs/>
        </w:rPr>
        <w:t>reporting</w:t>
      </w:r>
      <w:proofErr w:type="spellEnd"/>
      <w:r w:rsidRPr="00C2233D">
        <w:t> : fournit des tableaux de bord en temps réel, des rapports réglementaires et des indicateurs de performance (KPI).</w:t>
      </w:r>
    </w:p>
    <w:p w:rsidR="00C2233D" w:rsidRPr="00C2233D" w:rsidRDefault="00C2233D" w:rsidP="00C2233D">
      <w:r w:rsidRPr="00C2233D">
        <w:t xml:space="preserve">L’architecture sera conçue pour être </w:t>
      </w:r>
      <w:r w:rsidRPr="00C2233D">
        <w:rPr>
          <w:b/>
          <w:bCs/>
        </w:rPr>
        <w:t>scalable</w:t>
      </w:r>
      <w:r w:rsidRPr="00C2233D">
        <w:t xml:space="preserve"> grâce à un déploiement sur des serveurs cloud ou des infrastructures locales hybrides. L’utilisation de micro</w:t>
      </w:r>
      <w:r w:rsidRPr="00C2233D">
        <w:noBreakHyphen/>
        <w:t>services permettra d’ajouter de nouvelles fonctionnalités (par exemple des services d’assurance ou de micro</w:t>
      </w:r>
      <w:r w:rsidRPr="00C2233D">
        <w:noBreakHyphen/>
        <w:t>investissement) sans interrompre les opérations existantes.</w:t>
      </w:r>
    </w:p>
    <w:p w:rsidR="00C2233D" w:rsidRPr="00C2233D" w:rsidRDefault="00C2233D" w:rsidP="00C2233D">
      <w:pPr>
        <w:rPr>
          <w:b/>
          <w:bCs/>
        </w:rPr>
      </w:pPr>
      <w:r w:rsidRPr="00C2233D">
        <w:rPr>
          <w:b/>
          <w:bCs/>
        </w:rPr>
        <w:t>6.2 Fonctionnalités principales</w:t>
      </w:r>
    </w:p>
    <w:p w:rsidR="00C2233D" w:rsidRPr="00C2233D" w:rsidRDefault="00C2233D" w:rsidP="00C2233D">
      <w:r w:rsidRPr="00C2233D">
        <w:t>Le e</w:t>
      </w:r>
      <w:r w:rsidRPr="00C2233D">
        <w:noBreakHyphen/>
      </w:r>
      <w:proofErr w:type="spellStart"/>
      <w:r w:rsidRPr="00C2233D">
        <w:t>wallet</w:t>
      </w:r>
      <w:proofErr w:type="spellEnd"/>
      <w:r w:rsidRPr="00C2233D">
        <w:t xml:space="preserve"> offrira un ensemble de services à forte valeur ajoutée :</w:t>
      </w:r>
    </w:p>
    <w:p w:rsidR="00C2233D" w:rsidRPr="00C2233D" w:rsidRDefault="00C2233D" w:rsidP="00C2233D">
      <w:pPr>
        <w:numPr>
          <w:ilvl w:val="0"/>
          <w:numId w:val="12"/>
        </w:numPr>
      </w:pPr>
      <w:r w:rsidRPr="00C2233D">
        <w:rPr>
          <w:b/>
          <w:bCs/>
        </w:rPr>
        <w:t>Création de compte et KYC</w:t>
      </w:r>
      <w:r w:rsidRPr="00C2233D">
        <w:t> : inscription rapide via l’application, l’USSD ou en agence. Vérification automatique des documents d’identité avec la biométrie faciale ou digitale.</w:t>
      </w:r>
    </w:p>
    <w:p w:rsidR="00C2233D" w:rsidRPr="00C2233D" w:rsidRDefault="00C2233D" w:rsidP="00C2233D">
      <w:pPr>
        <w:numPr>
          <w:ilvl w:val="0"/>
          <w:numId w:val="12"/>
        </w:numPr>
      </w:pPr>
      <w:r w:rsidRPr="00C2233D">
        <w:rPr>
          <w:b/>
          <w:bCs/>
        </w:rPr>
        <w:t>Dépôt et retrait d’argent</w:t>
      </w:r>
      <w:r w:rsidRPr="00C2233D">
        <w:t xml:space="preserve"> : via les agents agréés, les distributeurs automatiques partenaires, les transferts depuis un compte bancaire ou mobile money, ou encore les partenaires de </w:t>
      </w:r>
      <w:proofErr w:type="spellStart"/>
      <w:r w:rsidRPr="00C2233D">
        <w:t>remittance</w:t>
      </w:r>
      <w:proofErr w:type="spellEnd"/>
      <w:r w:rsidRPr="00C2233D">
        <w:t>.</w:t>
      </w:r>
    </w:p>
    <w:p w:rsidR="00C2233D" w:rsidRPr="00C2233D" w:rsidRDefault="00C2233D" w:rsidP="00C2233D">
      <w:pPr>
        <w:numPr>
          <w:ilvl w:val="0"/>
          <w:numId w:val="12"/>
        </w:numPr>
      </w:pPr>
      <w:r w:rsidRPr="00C2233D">
        <w:rPr>
          <w:b/>
          <w:bCs/>
        </w:rPr>
        <w:t>Transfert P2P</w:t>
      </w:r>
      <w:r w:rsidRPr="00C2233D">
        <w:t> : envoi d’argent instantané entre utilisateurs, même entre opérateurs différents, via un numéro de téléphone ou un QR</w:t>
      </w:r>
      <w:r w:rsidRPr="00C2233D">
        <w:noBreakHyphen/>
        <w:t>code.</w:t>
      </w:r>
    </w:p>
    <w:p w:rsidR="00C2233D" w:rsidRPr="00C2233D" w:rsidRDefault="00C2233D" w:rsidP="00C2233D">
      <w:pPr>
        <w:numPr>
          <w:ilvl w:val="0"/>
          <w:numId w:val="12"/>
        </w:numPr>
      </w:pPr>
      <w:r w:rsidRPr="00C2233D">
        <w:rPr>
          <w:b/>
          <w:bCs/>
        </w:rPr>
        <w:t>Paiement de marchandises et de services</w:t>
      </w:r>
      <w:r w:rsidRPr="00C2233D">
        <w:t xml:space="preserve"> : intégration de terminaux de paiement (POS) pour les commerçants, codes QR pour les vendeurs ambulants, fonctionnalité “scan and </w:t>
      </w:r>
      <w:proofErr w:type="spellStart"/>
      <w:r w:rsidRPr="00C2233D">
        <w:t>pay</w:t>
      </w:r>
      <w:proofErr w:type="spellEnd"/>
      <w:r w:rsidRPr="00C2233D">
        <w:t>” dans les magasins et supermarchés.</w:t>
      </w:r>
    </w:p>
    <w:p w:rsidR="00C2233D" w:rsidRPr="00C2233D" w:rsidRDefault="00C2233D" w:rsidP="00C2233D">
      <w:pPr>
        <w:numPr>
          <w:ilvl w:val="0"/>
          <w:numId w:val="12"/>
        </w:numPr>
      </w:pPr>
      <w:r w:rsidRPr="00C2233D">
        <w:rPr>
          <w:b/>
          <w:bCs/>
        </w:rPr>
        <w:t>Paiement de factures</w:t>
      </w:r>
      <w:r w:rsidRPr="00C2233D">
        <w:t> : factures d’électricité, d’eau, d’Internet, recharges téléphoniques, impôts et taxes locales.</w:t>
      </w:r>
    </w:p>
    <w:p w:rsidR="00C2233D" w:rsidRPr="00C2233D" w:rsidRDefault="00C2233D" w:rsidP="00C2233D">
      <w:pPr>
        <w:numPr>
          <w:ilvl w:val="0"/>
          <w:numId w:val="12"/>
        </w:numPr>
      </w:pPr>
      <w:r w:rsidRPr="00C2233D">
        <w:rPr>
          <w:b/>
          <w:bCs/>
        </w:rPr>
        <w:lastRenderedPageBreak/>
        <w:t>Micro</w:t>
      </w:r>
      <w:r w:rsidRPr="00C2233D">
        <w:rPr>
          <w:b/>
          <w:bCs/>
        </w:rPr>
        <w:noBreakHyphen/>
        <w:t>épargne</w:t>
      </w:r>
      <w:r w:rsidRPr="00C2233D">
        <w:t xml:space="preserve"> : comptes d’épargne rémunérés, verrouillables, avec versements automatiques pour encourager l’épargne régulière. Les intérêts seront générés par les revenus du </w:t>
      </w:r>
      <w:proofErr w:type="spellStart"/>
      <w:r w:rsidRPr="00C2233D">
        <w:t>float</w:t>
      </w:r>
      <w:proofErr w:type="spellEnd"/>
      <w:r w:rsidRPr="00C2233D">
        <w:t xml:space="preserve"> et des partenariats bancaires.</w:t>
      </w:r>
    </w:p>
    <w:p w:rsidR="00C2233D" w:rsidRPr="00C2233D" w:rsidRDefault="00C2233D" w:rsidP="00C2233D">
      <w:pPr>
        <w:numPr>
          <w:ilvl w:val="0"/>
          <w:numId w:val="12"/>
        </w:numPr>
      </w:pPr>
      <w:r w:rsidRPr="00C2233D">
        <w:rPr>
          <w:b/>
          <w:bCs/>
        </w:rPr>
        <w:t>Micro</w:t>
      </w:r>
      <w:r w:rsidRPr="00C2233D">
        <w:rPr>
          <w:b/>
          <w:bCs/>
        </w:rPr>
        <w:noBreakHyphen/>
        <w:t>crédit</w:t>
      </w:r>
      <w:r w:rsidRPr="00C2233D">
        <w:t xml:space="preserve"> : octroi de prêts de petite taille (20 à 500 USD) basés sur l’historique des transactions de l’utilisateur. Les taux d’intérêt seront compétitifs et conformes aux limites réglementaires. L’évaluation du risque se fera à l’aide d’algorithmes de </w:t>
      </w:r>
      <w:proofErr w:type="spellStart"/>
      <w:r w:rsidRPr="00C2233D">
        <w:t>scoring</w:t>
      </w:r>
      <w:proofErr w:type="spellEnd"/>
      <w:r w:rsidRPr="00C2233D">
        <w:t xml:space="preserve"> internes et de données alternatives (volume de transactions, régularité des revenus).</w:t>
      </w:r>
    </w:p>
    <w:p w:rsidR="00C2233D" w:rsidRPr="00C2233D" w:rsidRDefault="00C2233D" w:rsidP="00C2233D">
      <w:pPr>
        <w:numPr>
          <w:ilvl w:val="0"/>
          <w:numId w:val="12"/>
        </w:numPr>
      </w:pPr>
      <w:r w:rsidRPr="00C2233D">
        <w:rPr>
          <w:b/>
          <w:bCs/>
        </w:rPr>
        <w:t>Cartes virtuelles et physiques</w:t>
      </w:r>
      <w:r w:rsidRPr="00C2233D">
        <w:t> : émissions de cartes prépayées Mastercard/Visa adossées au compte e</w:t>
      </w:r>
      <w:r w:rsidRPr="00C2233D">
        <w:noBreakHyphen/>
      </w:r>
      <w:proofErr w:type="spellStart"/>
      <w:r w:rsidRPr="00C2233D">
        <w:t>wallet</w:t>
      </w:r>
      <w:proofErr w:type="spellEnd"/>
      <w:r w:rsidRPr="00C2233D">
        <w:t xml:space="preserve"> pour les achats en ligne et à l’étranger.</w:t>
      </w:r>
    </w:p>
    <w:p w:rsidR="00C2233D" w:rsidRPr="00C2233D" w:rsidRDefault="00C2233D" w:rsidP="00C2233D">
      <w:pPr>
        <w:numPr>
          <w:ilvl w:val="0"/>
          <w:numId w:val="12"/>
        </w:numPr>
      </w:pPr>
      <w:r w:rsidRPr="00C2233D">
        <w:rPr>
          <w:b/>
          <w:bCs/>
        </w:rPr>
        <w:t>Remises et promotions</w:t>
      </w:r>
      <w:r w:rsidRPr="00C2233D">
        <w:t> : offre de cashbacks, remises sur achats et promotions croisée avec des partenaires (supermarchés, compagnies d’électricité, compagnies de transport).</w:t>
      </w:r>
    </w:p>
    <w:p w:rsidR="00C2233D" w:rsidRPr="00C2233D" w:rsidRDefault="00C2233D" w:rsidP="00C2233D">
      <w:pPr>
        <w:numPr>
          <w:ilvl w:val="0"/>
          <w:numId w:val="12"/>
        </w:numPr>
      </w:pPr>
      <w:r w:rsidRPr="00C2233D">
        <w:rPr>
          <w:b/>
          <w:bCs/>
        </w:rPr>
        <w:t>Support client intégré</w:t>
      </w:r>
      <w:r w:rsidRPr="00C2233D">
        <w:t xml:space="preserve"> : </w:t>
      </w:r>
      <w:proofErr w:type="spellStart"/>
      <w:r w:rsidRPr="00C2233D">
        <w:t>chatbot</w:t>
      </w:r>
      <w:proofErr w:type="spellEnd"/>
      <w:r w:rsidRPr="00C2233D">
        <w:t>, service vocal et centre d’appels disponibles en plusieurs langues pour résoudre les problèmes des utilisateurs.</w:t>
      </w:r>
    </w:p>
    <w:p w:rsidR="00C2233D" w:rsidRPr="00C2233D" w:rsidRDefault="00C2233D" w:rsidP="00C2233D">
      <w:pPr>
        <w:rPr>
          <w:b/>
          <w:bCs/>
        </w:rPr>
      </w:pPr>
      <w:r w:rsidRPr="00C2233D">
        <w:rPr>
          <w:b/>
          <w:bCs/>
        </w:rPr>
        <w:t>6.3 Infrastructure technique et sécurité</w:t>
      </w:r>
    </w:p>
    <w:p w:rsidR="00C2233D" w:rsidRPr="00C2233D" w:rsidRDefault="00C2233D" w:rsidP="00C2233D">
      <w:r w:rsidRPr="00C2233D">
        <w:t xml:space="preserve">La plateforme reposera sur une </w:t>
      </w:r>
      <w:r w:rsidRPr="00C2233D">
        <w:rPr>
          <w:b/>
          <w:bCs/>
        </w:rPr>
        <w:t>infrastructure cloud hybride</w:t>
      </w:r>
      <w:r w:rsidRPr="00C2233D">
        <w:t xml:space="preserve"> (data centers locaux et internationaux) pour garantir la disponibilité et la souveraineté des données. Les principaux éléments sont :</w:t>
      </w:r>
    </w:p>
    <w:p w:rsidR="00C2233D" w:rsidRPr="00C2233D" w:rsidRDefault="00C2233D" w:rsidP="00C2233D">
      <w:pPr>
        <w:numPr>
          <w:ilvl w:val="0"/>
          <w:numId w:val="13"/>
        </w:numPr>
      </w:pPr>
      <w:r w:rsidRPr="00C2233D">
        <w:rPr>
          <w:b/>
          <w:bCs/>
        </w:rPr>
        <w:t>Serveurs sécurisés</w:t>
      </w:r>
      <w:r w:rsidRPr="00C2233D">
        <w:t xml:space="preserve"> dans un centre de données certifié Tier III ou Tier IV en RDC, avec réplique en cloud public (Azure/AWS) pour la redondance.</w:t>
      </w:r>
    </w:p>
    <w:p w:rsidR="00C2233D" w:rsidRPr="00C2233D" w:rsidRDefault="00C2233D" w:rsidP="00C2233D">
      <w:pPr>
        <w:numPr>
          <w:ilvl w:val="0"/>
          <w:numId w:val="13"/>
        </w:numPr>
      </w:pPr>
      <w:r w:rsidRPr="00C2233D">
        <w:rPr>
          <w:b/>
          <w:bCs/>
        </w:rPr>
        <w:t>Réseau privé virtuel (VPN)</w:t>
      </w:r>
      <w:r w:rsidRPr="00C2233D">
        <w:t xml:space="preserve"> et pare</w:t>
      </w:r>
      <w:r w:rsidRPr="00C2233D">
        <w:noBreakHyphen/>
        <w:t>feu de nouvelle génération pour isoler les environnements de production et de test.</w:t>
      </w:r>
    </w:p>
    <w:p w:rsidR="00C2233D" w:rsidRPr="00C2233D" w:rsidRDefault="00C2233D" w:rsidP="00C2233D">
      <w:pPr>
        <w:numPr>
          <w:ilvl w:val="0"/>
          <w:numId w:val="13"/>
        </w:numPr>
      </w:pPr>
      <w:r w:rsidRPr="00C2233D">
        <w:rPr>
          <w:b/>
          <w:bCs/>
        </w:rPr>
        <w:t>Solutions de détection d’intrusion (IDS/IPS)</w:t>
      </w:r>
      <w:r w:rsidRPr="00C2233D">
        <w:t xml:space="preserve"> et d’anti</w:t>
      </w:r>
      <w:r w:rsidRPr="00C2233D">
        <w:noBreakHyphen/>
        <w:t>malware pour prévenir les attaques.</w:t>
      </w:r>
    </w:p>
    <w:p w:rsidR="00C2233D" w:rsidRPr="00C2233D" w:rsidRDefault="00C2233D" w:rsidP="00C2233D">
      <w:pPr>
        <w:numPr>
          <w:ilvl w:val="0"/>
          <w:numId w:val="13"/>
        </w:numPr>
      </w:pPr>
      <w:r w:rsidRPr="00C2233D">
        <w:rPr>
          <w:b/>
          <w:bCs/>
        </w:rPr>
        <w:t>Gestion de clés et HSM (Hardware Security Module)</w:t>
      </w:r>
      <w:r w:rsidRPr="00C2233D">
        <w:t xml:space="preserve"> pour le stockage sécurisé des clés de cryptage.</w:t>
      </w:r>
    </w:p>
    <w:p w:rsidR="00C2233D" w:rsidRPr="00C2233D" w:rsidRDefault="00C2233D" w:rsidP="00C2233D">
      <w:pPr>
        <w:numPr>
          <w:ilvl w:val="0"/>
          <w:numId w:val="13"/>
        </w:numPr>
      </w:pPr>
      <w:r w:rsidRPr="00C2233D">
        <w:rPr>
          <w:b/>
          <w:bCs/>
        </w:rPr>
        <w:t>Intégration de l’authentification biométrique</w:t>
      </w:r>
      <w:r w:rsidRPr="00C2233D">
        <w:t xml:space="preserve"> (empreinte digitale, reconnaissance faciale) pour renforcer la sécurité des comptes.</w:t>
      </w:r>
    </w:p>
    <w:p w:rsidR="00C2233D" w:rsidRPr="00C2233D" w:rsidRDefault="00C2233D" w:rsidP="00C2233D">
      <w:pPr>
        <w:rPr>
          <w:b/>
          <w:bCs/>
        </w:rPr>
      </w:pPr>
      <w:r w:rsidRPr="00C2233D">
        <w:rPr>
          <w:b/>
          <w:bCs/>
        </w:rPr>
        <w:t>6.4 Cycle de vie d’une transaction</w:t>
      </w:r>
    </w:p>
    <w:p w:rsidR="00C2233D" w:rsidRPr="00C2233D" w:rsidRDefault="00C2233D" w:rsidP="00C2233D">
      <w:pPr>
        <w:numPr>
          <w:ilvl w:val="0"/>
          <w:numId w:val="14"/>
        </w:numPr>
      </w:pPr>
      <w:r w:rsidRPr="00C2233D">
        <w:rPr>
          <w:b/>
          <w:bCs/>
        </w:rPr>
        <w:t>Initiation</w:t>
      </w:r>
      <w:r w:rsidRPr="00C2233D">
        <w:t> : l’utilisateur sélectionne le type d’opération (transfert, paiement, dépôt) via l’application ou l’interface USSD.</w:t>
      </w:r>
    </w:p>
    <w:p w:rsidR="00C2233D" w:rsidRPr="00C2233D" w:rsidRDefault="00C2233D" w:rsidP="00C2233D">
      <w:pPr>
        <w:numPr>
          <w:ilvl w:val="0"/>
          <w:numId w:val="14"/>
        </w:numPr>
      </w:pPr>
      <w:r w:rsidRPr="00C2233D">
        <w:rPr>
          <w:b/>
          <w:bCs/>
        </w:rPr>
        <w:t>Authentification</w:t>
      </w:r>
      <w:r w:rsidRPr="00C2233D">
        <w:t> : l’application envoie une demande d’authentification (PIN, biométrie ou OTP).</w:t>
      </w:r>
    </w:p>
    <w:p w:rsidR="00C2233D" w:rsidRPr="00C2233D" w:rsidRDefault="00C2233D" w:rsidP="00C2233D">
      <w:pPr>
        <w:numPr>
          <w:ilvl w:val="0"/>
          <w:numId w:val="14"/>
        </w:numPr>
      </w:pPr>
      <w:r w:rsidRPr="00C2233D">
        <w:rPr>
          <w:b/>
          <w:bCs/>
        </w:rPr>
        <w:lastRenderedPageBreak/>
        <w:t>Validation KYC/AML</w:t>
      </w:r>
      <w:r w:rsidRPr="00C2233D">
        <w:t> : le moteur de règles vérifie que la transaction ne dépasse pas les limites et n’est pas suspecte.</w:t>
      </w:r>
    </w:p>
    <w:p w:rsidR="00C2233D" w:rsidRPr="00C2233D" w:rsidRDefault="00C2233D" w:rsidP="00C2233D">
      <w:pPr>
        <w:numPr>
          <w:ilvl w:val="0"/>
          <w:numId w:val="14"/>
        </w:numPr>
      </w:pPr>
      <w:r w:rsidRPr="00C2233D">
        <w:rPr>
          <w:b/>
          <w:bCs/>
        </w:rPr>
        <w:t>Traitement</w:t>
      </w:r>
      <w:r w:rsidRPr="00C2233D">
        <w:t> : la transaction est envoyée au serveur pour débiter le compte de l’émetteur et créditer celui du bénéficiaire. Si l’opération implique un autre opérateur ou une banque, l’API d’interopérabilité est sollicitée.</w:t>
      </w:r>
    </w:p>
    <w:p w:rsidR="00C2233D" w:rsidRPr="00C2233D" w:rsidRDefault="00C2233D" w:rsidP="00C2233D">
      <w:pPr>
        <w:numPr>
          <w:ilvl w:val="0"/>
          <w:numId w:val="14"/>
        </w:numPr>
      </w:pPr>
      <w:r w:rsidRPr="00C2233D">
        <w:rPr>
          <w:b/>
          <w:bCs/>
        </w:rPr>
        <w:t>Notification</w:t>
      </w:r>
      <w:r w:rsidRPr="00C2233D">
        <w:t> : un message de confirmation est envoyé à l’émetteur et au destinataire par SMS/push notification. Les fonds sont instantanément disponibles.</w:t>
      </w:r>
    </w:p>
    <w:p w:rsidR="00C2233D" w:rsidRPr="00C2233D" w:rsidRDefault="00C2233D" w:rsidP="00C2233D">
      <w:pPr>
        <w:numPr>
          <w:ilvl w:val="0"/>
          <w:numId w:val="14"/>
        </w:numPr>
      </w:pPr>
      <w:r w:rsidRPr="00C2233D">
        <w:rPr>
          <w:b/>
          <w:bCs/>
        </w:rPr>
        <w:t>Enregistrement</w:t>
      </w:r>
      <w:r w:rsidRPr="00C2233D">
        <w:t> : la transaction est inscrite dans le grand livre électronique et les logs nécessaires (heure, montants, parties, géolocalisation) sont conservés.</w:t>
      </w:r>
    </w:p>
    <w:p w:rsidR="00C2233D" w:rsidRPr="00C2233D" w:rsidRDefault="00C2233D" w:rsidP="00C2233D">
      <w:pPr>
        <w:rPr>
          <w:b/>
          <w:bCs/>
        </w:rPr>
      </w:pPr>
      <w:r w:rsidRPr="00C2233D">
        <w:rPr>
          <w:b/>
          <w:bCs/>
        </w:rPr>
        <w:t>6.5 Processus opérationnels et réseau d’agents</w:t>
      </w:r>
    </w:p>
    <w:p w:rsidR="00C2233D" w:rsidRPr="00C2233D" w:rsidRDefault="00C2233D" w:rsidP="00C2233D">
      <w:r w:rsidRPr="00C2233D">
        <w:t>Le succès du e</w:t>
      </w:r>
      <w:r w:rsidRPr="00C2233D">
        <w:noBreakHyphen/>
      </w:r>
      <w:proofErr w:type="spellStart"/>
      <w:r w:rsidRPr="00C2233D">
        <w:t>wallet</w:t>
      </w:r>
      <w:proofErr w:type="spellEnd"/>
      <w:r w:rsidRPr="00C2233D">
        <w:t xml:space="preserve"> dépendra d’un </w:t>
      </w:r>
      <w:r w:rsidRPr="00C2233D">
        <w:rPr>
          <w:b/>
          <w:bCs/>
        </w:rPr>
        <w:t>réseau dense et professionnel d’agents</w:t>
      </w:r>
      <w:r w:rsidRPr="00C2233D">
        <w:t xml:space="preserve"> capables de faciliter l’inscription, les dépôts et les retraits. La sélection des agents suivra des critères stricts : solvabilité, localisation, réputation et capacité de service. Une formation initiale et des formations continues seront organisées pour garantir la qualité du service et la conformité aux procédures.</w:t>
      </w:r>
    </w:p>
    <w:p w:rsidR="00C2233D" w:rsidRPr="00C2233D" w:rsidRDefault="00C2233D" w:rsidP="00C2233D">
      <w:r w:rsidRPr="00C2233D">
        <w:t>Les agents seront rémunérés par des commissions sur chaque opération (dépôt, retrait, paiement), ce qui représente un incitatif à la performance. Un système de notation et de contrôle qualité sera mis en place pour détecter les fraudes et les pratiques indélicates. L’entreprise fournira les équipements nécessaires (POS, terminaux biométriques, outils de signalisation) et supervisera la logistique de distribution de cash et de cartes.</w:t>
      </w:r>
    </w:p>
    <w:p w:rsidR="00C2233D" w:rsidRPr="00C2233D" w:rsidRDefault="00C2233D" w:rsidP="00C2233D">
      <w:pPr>
        <w:rPr>
          <w:b/>
          <w:bCs/>
        </w:rPr>
      </w:pPr>
      <w:r w:rsidRPr="00C2233D">
        <w:rPr>
          <w:b/>
          <w:bCs/>
        </w:rPr>
        <w:t>6.6 Intégration et interopérabilité</w:t>
      </w:r>
    </w:p>
    <w:p w:rsidR="00C2233D" w:rsidRPr="00C2233D" w:rsidRDefault="00C2233D" w:rsidP="00C2233D">
      <w:r w:rsidRPr="00C2233D">
        <w:t xml:space="preserve">Pour assurer la commodité et la portée du service, des </w:t>
      </w:r>
      <w:r w:rsidRPr="00C2233D">
        <w:rPr>
          <w:b/>
          <w:bCs/>
        </w:rPr>
        <w:t>accords d’interopérabilité</w:t>
      </w:r>
      <w:r w:rsidRPr="00C2233D">
        <w:t xml:space="preserve"> seront conclus avec :</w:t>
      </w:r>
    </w:p>
    <w:p w:rsidR="00C2233D" w:rsidRPr="00C2233D" w:rsidRDefault="00C2233D" w:rsidP="00C2233D">
      <w:pPr>
        <w:numPr>
          <w:ilvl w:val="0"/>
          <w:numId w:val="15"/>
        </w:numPr>
      </w:pPr>
      <w:r w:rsidRPr="00C2233D">
        <w:rPr>
          <w:b/>
          <w:bCs/>
        </w:rPr>
        <w:t>Banques</w:t>
      </w:r>
      <w:r w:rsidRPr="00C2233D">
        <w:t xml:space="preserve"> : </w:t>
      </w:r>
      <w:proofErr w:type="spellStart"/>
      <w:r w:rsidRPr="00C2233D">
        <w:t>Rawbank</w:t>
      </w:r>
      <w:proofErr w:type="spellEnd"/>
      <w:r w:rsidRPr="00C2233D">
        <w:t xml:space="preserve">, </w:t>
      </w:r>
      <w:proofErr w:type="spellStart"/>
      <w:r w:rsidRPr="00C2233D">
        <w:t>Equity</w:t>
      </w:r>
      <w:proofErr w:type="spellEnd"/>
      <w:r w:rsidRPr="00C2233D">
        <w:t xml:space="preserve"> BCDC, Trust Merchant Bank et d’autres pour permettre les dépôts et retraits depuis les comptes bancaires, et pour placer les fonds de </w:t>
      </w:r>
      <w:proofErr w:type="spellStart"/>
      <w:r w:rsidRPr="00C2233D">
        <w:t>float</w:t>
      </w:r>
      <w:proofErr w:type="spellEnd"/>
      <w:r w:rsidRPr="00C2233D">
        <w:t>.</w:t>
      </w:r>
    </w:p>
    <w:p w:rsidR="00C2233D" w:rsidRPr="00C2233D" w:rsidRDefault="00C2233D" w:rsidP="00C2233D">
      <w:pPr>
        <w:numPr>
          <w:ilvl w:val="0"/>
          <w:numId w:val="15"/>
        </w:numPr>
      </w:pPr>
      <w:r w:rsidRPr="00C2233D">
        <w:rPr>
          <w:b/>
          <w:bCs/>
        </w:rPr>
        <w:t>Opérateurs mobiles</w:t>
      </w:r>
      <w:r w:rsidRPr="00C2233D">
        <w:t> : intégration des APIs M</w:t>
      </w:r>
      <w:r w:rsidRPr="00C2233D">
        <w:noBreakHyphen/>
        <w:t>Pesa, Airtel Money, Orange Money pour permettre les transferts de et vers ces réseaux.</w:t>
      </w:r>
    </w:p>
    <w:p w:rsidR="00C2233D" w:rsidRPr="00C2233D" w:rsidRDefault="00C2233D" w:rsidP="00C2233D">
      <w:pPr>
        <w:numPr>
          <w:ilvl w:val="0"/>
          <w:numId w:val="15"/>
        </w:numPr>
      </w:pPr>
      <w:r w:rsidRPr="00C2233D">
        <w:rPr>
          <w:b/>
          <w:bCs/>
        </w:rPr>
        <w:t>Entreprises publiques</w:t>
      </w:r>
      <w:r w:rsidRPr="00C2233D">
        <w:t> : pour le paiement des factures d’électricité (SNEL), d’eau (REGIDESO) et des taxes (DGI).</w:t>
      </w:r>
    </w:p>
    <w:p w:rsidR="00C2233D" w:rsidRPr="00C2233D" w:rsidRDefault="00C2233D" w:rsidP="00C2233D">
      <w:pPr>
        <w:numPr>
          <w:ilvl w:val="0"/>
          <w:numId w:val="15"/>
        </w:numPr>
      </w:pPr>
      <w:r w:rsidRPr="00C2233D">
        <w:rPr>
          <w:b/>
          <w:bCs/>
        </w:rPr>
        <w:t xml:space="preserve">Systèmes internationaux de </w:t>
      </w:r>
      <w:proofErr w:type="spellStart"/>
      <w:r w:rsidRPr="00C2233D">
        <w:rPr>
          <w:b/>
          <w:bCs/>
        </w:rPr>
        <w:t>remittance</w:t>
      </w:r>
      <w:proofErr w:type="spellEnd"/>
      <w:r w:rsidRPr="00C2233D">
        <w:t> : afin de recevoir des fonds de la diaspora et de distribuer localement via l’e</w:t>
      </w:r>
      <w:r w:rsidRPr="00C2233D">
        <w:noBreakHyphen/>
      </w:r>
      <w:proofErr w:type="spellStart"/>
      <w:r w:rsidRPr="00C2233D">
        <w:t>wallet</w:t>
      </w:r>
      <w:proofErr w:type="spellEnd"/>
      <w:r w:rsidRPr="00C2233D">
        <w:t>.</w:t>
      </w:r>
    </w:p>
    <w:p w:rsidR="00C2233D" w:rsidRPr="00C2233D" w:rsidRDefault="00C2233D" w:rsidP="00C2233D">
      <w:pPr>
        <w:rPr>
          <w:b/>
          <w:bCs/>
        </w:rPr>
      </w:pPr>
      <w:r w:rsidRPr="00C2233D">
        <w:rPr>
          <w:b/>
          <w:bCs/>
        </w:rPr>
        <w:t>7. Organisation et gestion</w:t>
      </w:r>
    </w:p>
    <w:p w:rsidR="00C2233D" w:rsidRPr="00C2233D" w:rsidRDefault="00C2233D" w:rsidP="00C2233D">
      <w:pPr>
        <w:rPr>
          <w:b/>
          <w:bCs/>
        </w:rPr>
      </w:pPr>
      <w:r w:rsidRPr="00C2233D">
        <w:rPr>
          <w:b/>
          <w:bCs/>
        </w:rPr>
        <w:t>7.1 Organigramme général</w:t>
      </w:r>
    </w:p>
    <w:p w:rsidR="00C2233D" w:rsidRPr="00C2233D" w:rsidRDefault="00C2233D" w:rsidP="00C2233D">
      <w:r w:rsidRPr="00C2233D">
        <w:t>Conseil d’administration</w:t>
      </w:r>
    </w:p>
    <w:p w:rsidR="00C2233D" w:rsidRPr="00C2233D" w:rsidRDefault="00C2233D" w:rsidP="00C2233D">
      <w:r w:rsidRPr="00C2233D">
        <w:lastRenderedPageBreak/>
        <w:t>│</w:t>
      </w:r>
    </w:p>
    <w:p w:rsidR="00C2233D" w:rsidRPr="00C2233D" w:rsidRDefault="00C2233D" w:rsidP="00C2233D">
      <w:r w:rsidRPr="00C2233D">
        <w:rPr>
          <w:rFonts w:ascii="MS Gothic" w:eastAsia="MS Gothic" w:hAnsi="MS Gothic" w:cs="MS Gothic" w:hint="eastAsia"/>
        </w:rPr>
        <w:t>├</w:t>
      </w:r>
      <w:r w:rsidRPr="00C2233D">
        <w:rPr>
          <w:rFonts w:ascii="Calibri" w:hAnsi="Calibri" w:cs="Calibri"/>
        </w:rPr>
        <w:t>──</w:t>
      </w:r>
      <w:r w:rsidRPr="00C2233D">
        <w:t xml:space="preserve"> Directeur général (CEO)</w:t>
      </w:r>
    </w:p>
    <w:p w:rsidR="00C2233D" w:rsidRPr="00C2233D" w:rsidRDefault="00C2233D" w:rsidP="00C2233D">
      <w:r w:rsidRPr="00C2233D">
        <w:t xml:space="preserve">│   </w:t>
      </w:r>
      <w:r w:rsidRPr="00C2233D">
        <w:rPr>
          <w:rFonts w:ascii="MS Gothic" w:eastAsia="MS Gothic" w:hAnsi="MS Gothic" w:cs="MS Gothic" w:hint="eastAsia"/>
        </w:rPr>
        <w:t>├</w:t>
      </w:r>
      <w:r w:rsidRPr="00C2233D">
        <w:rPr>
          <w:rFonts w:ascii="Calibri" w:hAnsi="Calibri" w:cs="Calibri"/>
        </w:rPr>
        <w:t>──</w:t>
      </w:r>
      <w:r w:rsidRPr="00C2233D">
        <w:t xml:space="preserve"> Direction technique (CTO)</w:t>
      </w:r>
    </w:p>
    <w:p w:rsidR="00C2233D" w:rsidRPr="00C2233D" w:rsidRDefault="00C2233D" w:rsidP="00C2233D">
      <w:r w:rsidRPr="00C2233D">
        <w:t xml:space="preserve">│   │   </w:t>
      </w:r>
      <w:r w:rsidRPr="00C2233D">
        <w:rPr>
          <w:rFonts w:ascii="MS Gothic" w:eastAsia="MS Gothic" w:hAnsi="MS Gothic" w:cs="MS Gothic" w:hint="eastAsia"/>
        </w:rPr>
        <w:t>├</w:t>
      </w:r>
      <w:r w:rsidRPr="00C2233D">
        <w:rPr>
          <w:rFonts w:ascii="Calibri" w:hAnsi="Calibri" w:cs="Calibri"/>
        </w:rPr>
        <w:t>──</w:t>
      </w:r>
      <w:r w:rsidRPr="00C2233D">
        <w:t xml:space="preserve"> Développement logiciel</w:t>
      </w:r>
    </w:p>
    <w:p w:rsidR="00C2233D" w:rsidRPr="00C2233D" w:rsidRDefault="00C2233D" w:rsidP="00C2233D">
      <w:r w:rsidRPr="00C2233D">
        <w:t xml:space="preserve">│   │   </w:t>
      </w:r>
      <w:r w:rsidRPr="00C2233D">
        <w:rPr>
          <w:rFonts w:ascii="MS Gothic" w:eastAsia="MS Gothic" w:hAnsi="MS Gothic" w:cs="MS Gothic" w:hint="eastAsia"/>
        </w:rPr>
        <w:t>├</w:t>
      </w:r>
      <w:r w:rsidRPr="00C2233D">
        <w:rPr>
          <w:rFonts w:ascii="Calibri" w:hAnsi="Calibri" w:cs="Calibri"/>
        </w:rPr>
        <w:t>──</w:t>
      </w:r>
      <w:r w:rsidRPr="00C2233D">
        <w:t xml:space="preserve"> Infrastructure &amp; sécurité</w:t>
      </w:r>
    </w:p>
    <w:p w:rsidR="00C2233D" w:rsidRPr="00C2233D" w:rsidRDefault="00C2233D" w:rsidP="00C2233D">
      <w:r w:rsidRPr="00C2233D">
        <w:t>│   │   └── Support technique</w:t>
      </w:r>
    </w:p>
    <w:p w:rsidR="00C2233D" w:rsidRPr="00C2233D" w:rsidRDefault="00C2233D" w:rsidP="00C2233D">
      <w:r w:rsidRPr="00C2233D">
        <w:t xml:space="preserve">│   </w:t>
      </w:r>
      <w:r w:rsidRPr="00C2233D">
        <w:rPr>
          <w:rFonts w:ascii="MS Gothic" w:eastAsia="MS Gothic" w:hAnsi="MS Gothic" w:cs="MS Gothic" w:hint="eastAsia"/>
        </w:rPr>
        <w:t>├</w:t>
      </w:r>
      <w:r w:rsidRPr="00C2233D">
        <w:rPr>
          <w:rFonts w:ascii="Calibri" w:hAnsi="Calibri" w:cs="Calibri"/>
        </w:rPr>
        <w:t>──</w:t>
      </w:r>
      <w:r w:rsidRPr="00C2233D">
        <w:t xml:space="preserve"> Direction des opérations (COO)</w:t>
      </w:r>
    </w:p>
    <w:p w:rsidR="00C2233D" w:rsidRPr="00C2233D" w:rsidRDefault="00C2233D" w:rsidP="00C2233D">
      <w:r w:rsidRPr="00C2233D">
        <w:t xml:space="preserve">│   │   </w:t>
      </w:r>
      <w:r w:rsidRPr="00C2233D">
        <w:rPr>
          <w:rFonts w:ascii="MS Gothic" w:eastAsia="MS Gothic" w:hAnsi="MS Gothic" w:cs="MS Gothic" w:hint="eastAsia"/>
        </w:rPr>
        <w:t>├</w:t>
      </w:r>
      <w:r w:rsidRPr="00C2233D">
        <w:rPr>
          <w:rFonts w:ascii="Calibri" w:hAnsi="Calibri" w:cs="Calibri"/>
        </w:rPr>
        <w:t>──</w:t>
      </w:r>
      <w:r w:rsidRPr="00C2233D">
        <w:t xml:space="preserve"> Réseau d’agents</w:t>
      </w:r>
    </w:p>
    <w:p w:rsidR="00C2233D" w:rsidRPr="00C2233D" w:rsidRDefault="00C2233D" w:rsidP="00C2233D">
      <w:r w:rsidRPr="00C2233D">
        <w:t xml:space="preserve">│   │   </w:t>
      </w:r>
      <w:r w:rsidRPr="00C2233D">
        <w:rPr>
          <w:rFonts w:ascii="MS Gothic" w:eastAsia="MS Gothic" w:hAnsi="MS Gothic" w:cs="MS Gothic" w:hint="eastAsia"/>
        </w:rPr>
        <w:t>├</w:t>
      </w:r>
      <w:r w:rsidRPr="00C2233D">
        <w:rPr>
          <w:rFonts w:ascii="Calibri" w:hAnsi="Calibri" w:cs="Calibri"/>
        </w:rPr>
        <w:t>──</w:t>
      </w:r>
      <w:r w:rsidRPr="00C2233D">
        <w:t xml:space="preserve"> Logistique &amp; maintenance</w:t>
      </w:r>
    </w:p>
    <w:p w:rsidR="00C2233D" w:rsidRPr="00C2233D" w:rsidRDefault="00C2233D" w:rsidP="00C2233D">
      <w:r w:rsidRPr="00C2233D">
        <w:t>│   │   └── Service client</w:t>
      </w:r>
    </w:p>
    <w:p w:rsidR="00C2233D" w:rsidRPr="00C2233D" w:rsidRDefault="00C2233D" w:rsidP="00C2233D">
      <w:r w:rsidRPr="00C2233D">
        <w:t xml:space="preserve">│   </w:t>
      </w:r>
      <w:r w:rsidRPr="00C2233D">
        <w:rPr>
          <w:rFonts w:ascii="MS Gothic" w:eastAsia="MS Gothic" w:hAnsi="MS Gothic" w:cs="MS Gothic" w:hint="eastAsia"/>
        </w:rPr>
        <w:t>├</w:t>
      </w:r>
      <w:r w:rsidRPr="00C2233D">
        <w:rPr>
          <w:rFonts w:ascii="Calibri" w:hAnsi="Calibri" w:cs="Calibri"/>
        </w:rPr>
        <w:t>──</w:t>
      </w:r>
      <w:r w:rsidRPr="00C2233D">
        <w:t xml:space="preserve"> Direction financière (CFO)</w:t>
      </w:r>
    </w:p>
    <w:p w:rsidR="00C2233D" w:rsidRPr="00C2233D" w:rsidRDefault="00C2233D" w:rsidP="00C2233D">
      <w:r w:rsidRPr="00C2233D">
        <w:t xml:space="preserve">│   │   </w:t>
      </w:r>
      <w:r w:rsidRPr="00C2233D">
        <w:rPr>
          <w:rFonts w:ascii="MS Gothic" w:eastAsia="MS Gothic" w:hAnsi="MS Gothic" w:cs="MS Gothic" w:hint="eastAsia"/>
        </w:rPr>
        <w:t>├</w:t>
      </w:r>
      <w:r w:rsidRPr="00C2233D">
        <w:rPr>
          <w:rFonts w:ascii="Calibri" w:hAnsi="Calibri" w:cs="Calibri"/>
        </w:rPr>
        <w:t>──</w:t>
      </w:r>
      <w:r w:rsidRPr="00C2233D">
        <w:t xml:space="preserve"> Comptabilité</w:t>
      </w:r>
    </w:p>
    <w:p w:rsidR="00C2233D" w:rsidRPr="00C2233D" w:rsidRDefault="00C2233D" w:rsidP="00C2233D">
      <w:r w:rsidRPr="00C2233D">
        <w:t xml:space="preserve">│   │   </w:t>
      </w:r>
      <w:r w:rsidRPr="00C2233D">
        <w:rPr>
          <w:rFonts w:ascii="MS Gothic" w:eastAsia="MS Gothic" w:hAnsi="MS Gothic" w:cs="MS Gothic" w:hint="eastAsia"/>
        </w:rPr>
        <w:t>├</w:t>
      </w:r>
      <w:r w:rsidRPr="00C2233D">
        <w:rPr>
          <w:rFonts w:ascii="Calibri" w:hAnsi="Calibri" w:cs="Calibri"/>
        </w:rPr>
        <w:t>──</w:t>
      </w:r>
      <w:r w:rsidRPr="00C2233D">
        <w:t xml:space="preserve"> Trésorerie &amp; relations bancaires</w:t>
      </w:r>
    </w:p>
    <w:p w:rsidR="00C2233D" w:rsidRPr="00C2233D" w:rsidRDefault="00C2233D" w:rsidP="00C2233D">
      <w:r w:rsidRPr="00C2233D">
        <w:t>│   │   └── Rapports financiers &amp; contrôles</w:t>
      </w:r>
    </w:p>
    <w:p w:rsidR="00C2233D" w:rsidRPr="00C2233D" w:rsidRDefault="00C2233D" w:rsidP="00C2233D">
      <w:r w:rsidRPr="00C2233D">
        <w:t xml:space="preserve">│   </w:t>
      </w:r>
      <w:r w:rsidRPr="00C2233D">
        <w:rPr>
          <w:rFonts w:ascii="MS Gothic" w:eastAsia="MS Gothic" w:hAnsi="MS Gothic" w:cs="MS Gothic" w:hint="eastAsia"/>
        </w:rPr>
        <w:t>├</w:t>
      </w:r>
      <w:r w:rsidRPr="00C2233D">
        <w:rPr>
          <w:rFonts w:ascii="Calibri" w:hAnsi="Calibri" w:cs="Calibri"/>
        </w:rPr>
        <w:t>──</w:t>
      </w:r>
      <w:r w:rsidRPr="00C2233D">
        <w:t xml:space="preserve"> Direction conformité (CCO)</w:t>
      </w:r>
    </w:p>
    <w:p w:rsidR="00C2233D" w:rsidRPr="00C2233D" w:rsidRDefault="00C2233D" w:rsidP="00C2233D">
      <w:r w:rsidRPr="00C2233D">
        <w:t xml:space="preserve">│   │   </w:t>
      </w:r>
      <w:r w:rsidRPr="00C2233D">
        <w:rPr>
          <w:rFonts w:ascii="MS Gothic" w:eastAsia="MS Gothic" w:hAnsi="MS Gothic" w:cs="MS Gothic" w:hint="eastAsia"/>
        </w:rPr>
        <w:t>├</w:t>
      </w:r>
      <w:r w:rsidRPr="00C2233D">
        <w:rPr>
          <w:rFonts w:ascii="Calibri" w:hAnsi="Calibri" w:cs="Calibri"/>
        </w:rPr>
        <w:t>──</w:t>
      </w:r>
      <w:r w:rsidRPr="00C2233D">
        <w:t xml:space="preserve"> KYC/AML</w:t>
      </w:r>
    </w:p>
    <w:p w:rsidR="00C2233D" w:rsidRPr="00C2233D" w:rsidRDefault="00C2233D" w:rsidP="00C2233D">
      <w:r w:rsidRPr="00C2233D">
        <w:t xml:space="preserve">│   │   </w:t>
      </w:r>
      <w:r w:rsidRPr="00C2233D">
        <w:rPr>
          <w:rFonts w:ascii="MS Gothic" w:eastAsia="MS Gothic" w:hAnsi="MS Gothic" w:cs="MS Gothic" w:hint="eastAsia"/>
        </w:rPr>
        <w:t>├</w:t>
      </w:r>
      <w:r w:rsidRPr="00C2233D">
        <w:rPr>
          <w:rFonts w:ascii="Calibri" w:hAnsi="Calibri" w:cs="Calibri"/>
        </w:rPr>
        <w:t>──</w:t>
      </w:r>
      <w:r w:rsidRPr="00C2233D">
        <w:t xml:space="preserve"> Audit interne</w:t>
      </w:r>
    </w:p>
    <w:p w:rsidR="00C2233D" w:rsidRPr="00C2233D" w:rsidRDefault="00C2233D" w:rsidP="00C2233D">
      <w:r w:rsidRPr="00C2233D">
        <w:t>│   │   └── Protection des données</w:t>
      </w:r>
    </w:p>
    <w:p w:rsidR="00C2233D" w:rsidRPr="00C2233D" w:rsidRDefault="00C2233D" w:rsidP="00C2233D">
      <w:r w:rsidRPr="00C2233D">
        <w:t xml:space="preserve">│   </w:t>
      </w:r>
      <w:r w:rsidRPr="00C2233D">
        <w:rPr>
          <w:rFonts w:ascii="MS Gothic" w:eastAsia="MS Gothic" w:hAnsi="MS Gothic" w:cs="MS Gothic" w:hint="eastAsia"/>
        </w:rPr>
        <w:t>├</w:t>
      </w:r>
      <w:r w:rsidRPr="00C2233D">
        <w:rPr>
          <w:rFonts w:ascii="Calibri" w:hAnsi="Calibri" w:cs="Calibri"/>
        </w:rPr>
        <w:t>──</w:t>
      </w:r>
      <w:r w:rsidRPr="00C2233D">
        <w:t xml:space="preserve"> Direction marketing &amp; communication</w:t>
      </w:r>
    </w:p>
    <w:p w:rsidR="00C2233D" w:rsidRPr="00C2233D" w:rsidRDefault="00C2233D" w:rsidP="00C2233D">
      <w:r w:rsidRPr="00C2233D">
        <w:t xml:space="preserve">│   │   </w:t>
      </w:r>
      <w:r w:rsidRPr="00C2233D">
        <w:rPr>
          <w:rFonts w:ascii="MS Gothic" w:eastAsia="MS Gothic" w:hAnsi="MS Gothic" w:cs="MS Gothic" w:hint="eastAsia"/>
        </w:rPr>
        <w:t>├</w:t>
      </w:r>
      <w:r w:rsidRPr="00C2233D">
        <w:rPr>
          <w:rFonts w:ascii="Calibri" w:hAnsi="Calibri" w:cs="Calibri"/>
        </w:rPr>
        <w:t>──</w:t>
      </w:r>
      <w:r w:rsidRPr="00C2233D">
        <w:t xml:space="preserve"> Acquisition &amp; fidélisation</w:t>
      </w:r>
    </w:p>
    <w:p w:rsidR="00C2233D" w:rsidRPr="00C2233D" w:rsidRDefault="00C2233D" w:rsidP="00C2233D">
      <w:r w:rsidRPr="00C2233D">
        <w:t xml:space="preserve">│   │   </w:t>
      </w:r>
      <w:r w:rsidRPr="00C2233D">
        <w:rPr>
          <w:rFonts w:ascii="MS Gothic" w:eastAsia="MS Gothic" w:hAnsi="MS Gothic" w:cs="MS Gothic" w:hint="eastAsia"/>
        </w:rPr>
        <w:t>├</w:t>
      </w:r>
      <w:r w:rsidRPr="00C2233D">
        <w:rPr>
          <w:rFonts w:ascii="Calibri" w:hAnsi="Calibri" w:cs="Calibri"/>
        </w:rPr>
        <w:t>──</w:t>
      </w:r>
      <w:r w:rsidRPr="00C2233D">
        <w:t xml:space="preserve"> Partenariats &amp; ventes</w:t>
      </w:r>
    </w:p>
    <w:p w:rsidR="00C2233D" w:rsidRPr="00C2233D" w:rsidRDefault="00C2233D" w:rsidP="00C2233D">
      <w:r w:rsidRPr="00C2233D">
        <w:t xml:space="preserve">│   │   └── </w:t>
      </w:r>
      <w:proofErr w:type="spellStart"/>
      <w:r w:rsidRPr="00C2233D">
        <w:t>Branding</w:t>
      </w:r>
      <w:proofErr w:type="spellEnd"/>
      <w:r w:rsidRPr="00C2233D">
        <w:t xml:space="preserve"> &amp; PR</w:t>
      </w:r>
    </w:p>
    <w:p w:rsidR="00C2233D" w:rsidRPr="00C2233D" w:rsidRDefault="00C2233D" w:rsidP="00C2233D">
      <w:r w:rsidRPr="00C2233D">
        <w:t>│   └── Direction stratégie &amp; innovation</w:t>
      </w:r>
    </w:p>
    <w:p w:rsidR="00C2233D" w:rsidRPr="00C2233D" w:rsidRDefault="00C2233D" w:rsidP="00C2233D">
      <w:r w:rsidRPr="00C2233D">
        <w:t xml:space="preserve">│       </w:t>
      </w:r>
      <w:r w:rsidRPr="00C2233D">
        <w:rPr>
          <w:rFonts w:ascii="MS Gothic" w:eastAsia="MS Gothic" w:hAnsi="MS Gothic" w:cs="MS Gothic" w:hint="eastAsia"/>
        </w:rPr>
        <w:t>├</w:t>
      </w:r>
      <w:r w:rsidRPr="00C2233D">
        <w:rPr>
          <w:rFonts w:ascii="Calibri" w:hAnsi="Calibri" w:cs="Calibri"/>
        </w:rPr>
        <w:t>──</w:t>
      </w:r>
      <w:r w:rsidRPr="00C2233D">
        <w:t xml:space="preserve"> Développement de produits</w:t>
      </w:r>
    </w:p>
    <w:p w:rsidR="00C2233D" w:rsidRPr="00C2233D" w:rsidRDefault="00C2233D" w:rsidP="00C2233D">
      <w:r w:rsidRPr="00C2233D">
        <w:t>│       └── Veille concurrentielle &amp; réglementation</w:t>
      </w:r>
    </w:p>
    <w:p w:rsidR="00C2233D" w:rsidRPr="00C2233D" w:rsidRDefault="00C2233D" w:rsidP="00C2233D">
      <w:r w:rsidRPr="00C2233D">
        <w:t xml:space="preserve">Cette structure permet une répartition claire des responsabilités et facilite la supervision. Des </w:t>
      </w:r>
      <w:r w:rsidRPr="00C2233D">
        <w:rPr>
          <w:b/>
          <w:bCs/>
        </w:rPr>
        <w:t>comités transversaux</w:t>
      </w:r>
      <w:r w:rsidRPr="00C2233D">
        <w:t xml:space="preserve"> (sécurité, innovation, conformité) se réuniront régulièrement pour harmoniser les actions.</w:t>
      </w:r>
    </w:p>
    <w:p w:rsidR="00C2233D" w:rsidRPr="00C2233D" w:rsidRDefault="00C2233D" w:rsidP="00C2233D">
      <w:pPr>
        <w:rPr>
          <w:b/>
          <w:bCs/>
        </w:rPr>
      </w:pPr>
      <w:r w:rsidRPr="00C2233D">
        <w:rPr>
          <w:b/>
          <w:bCs/>
        </w:rPr>
        <w:lastRenderedPageBreak/>
        <w:t>7.2 Gouvernance et politiques internes</w:t>
      </w:r>
    </w:p>
    <w:p w:rsidR="00C2233D" w:rsidRPr="00C2233D" w:rsidRDefault="00C2233D" w:rsidP="00C2233D">
      <w:pPr>
        <w:numPr>
          <w:ilvl w:val="0"/>
          <w:numId w:val="16"/>
        </w:numPr>
      </w:pPr>
      <w:r w:rsidRPr="00C2233D">
        <w:rPr>
          <w:b/>
          <w:bCs/>
        </w:rPr>
        <w:t>Conseil d’administration</w:t>
      </w:r>
      <w:r w:rsidRPr="00C2233D">
        <w:t> : composé des fondateurs, de représentants des investisseurs et de membres indépendants, il valide la stratégie, le budget et les orientations en matière de risques.</w:t>
      </w:r>
    </w:p>
    <w:p w:rsidR="00C2233D" w:rsidRPr="00C2233D" w:rsidRDefault="00C2233D" w:rsidP="00C2233D">
      <w:pPr>
        <w:numPr>
          <w:ilvl w:val="0"/>
          <w:numId w:val="16"/>
        </w:numPr>
      </w:pPr>
      <w:r w:rsidRPr="00C2233D">
        <w:rPr>
          <w:b/>
          <w:bCs/>
        </w:rPr>
        <w:t>Comité d’audit et de conformité</w:t>
      </w:r>
      <w:r w:rsidRPr="00C2233D">
        <w:t> : veille au respect des lois, examine les rapports financiers et les mesures KYC/AML.</w:t>
      </w:r>
    </w:p>
    <w:p w:rsidR="00C2233D" w:rsidRPr="00C2233D" w:rsidRDefault="00C2233D" w:rsidP="00C2233D">
      <w:pPr>
        <w:numPr>
          <w:ilvl w:val="0"/>
          <w:numId w:val="16"/>
        </w:numPr>
      </w:pPr>
      <w:r w:rsidRPr="00C2233D">
        <w:rPr>
          <w:b/>
          <w:bCs/>
        </w:rPr>
        <w:t>Comité innovation</w:t>
      </w:r>
      <w:r w:rsidRPr="00C2233D">
        <w:t> : évalue les nouvelles fonctionnalités, examine les partenariats stratégiques et pilote les projets R&amp;D.</w:t>
      </w:r>
    </w:p>
    <w:p w:rsidR="00C2233D" w:rsidRPr="00C2233D" w:rsidRDefault="00C2233D" w:rsidP="00C2233D">
      <w:pPr>
        <w:rPr>
          <w:b/>
          <w:bCs/>
        </w:rPr>
      </w:pPr>
      <w:r w:rsidRPr="00C2233D">
        <w:rPr>
          <w:b/>
          <w:bCs/>
        </w:rPr>
        <w:t>7.3 Ressources humaines et culture d’entreprise</w:t>
      </w:r>
    </w:p>
    <w:p w:rsidR="00C2233D" w:rsidRPr="00C2233D" w:rsidRDefault="00C2233D" w:rsidP="00C2233D">
      <w:r w:rsidRPr="00C2233D">
        <w:t>L’entreprise visera à recruter des talents locaux et internationaux en privilégiant la parité hommes</w:t>
      </w:r>
      <w:r w:rsidRPr="00C2233D">
        <w:noBreakHyphen/>
        <w:t>femmes et l’égalité des chances. Elle proposera :</w:t>
      </w:r>
    </w:p>
    <w:p w:rsidR="00C2233D" w:rsidRPr="00C2233D" w:rsidRDefault="00C2233D" w:rsidP="00C2233D">
      <w:pPr>
        <w:numPr>
          <w:ilvl w:val="0"/>
          <w:numId w:val="17"/>
        </w:numPr>
      </w:pPr>
      <w:r w:rsidRPr="00C2233D">
        <w:rPr>
          <w:b/>
          <w:bCs/>
        </w:rPr>
        <w:t>Un programme de formation initiale et continue</w:t>
      </w:r>
      <w:r w:rsidRPr="00C2233D">
        <w:t xml:space="preserve"> sur les paiements digitaux, la conformité, la cybersécurité et le service client.</w:t>
      </w:r>
    </w:p>
    <w:p w:rsidR="00C2233D" w:rsidRPr="00C2233D" w:rsidRDefault="00C2233D" w:rsidP="00C2233D">
      <w:pPr>
        <w:numPr>
          <w:ilvl w:val="0"/>
          <w:numId w:val="17"/>
        </w:numPr>
      </w:pPr>
      <w:r w:rsidRPr="00C2233D">
        <w:rPr>
          <w:b/>
          <w:bCs/>
        </w:rPr>
        <w:t>Des incitations</w:t>
      </w:r>
      <w:r w:rsidRPr="00C2233D">
        <w:t> : part variable basée sur la performance, intéressement au capital, programmes de reconnaissance.</w:t>
      </w:r>
    </w:p>
    <w:p w:rsidR="00C2233D" w:rsidRPr="00C2233D" w:rsidRDefault="00C2233D" w:rsidP="00C2233D">
      <w:pPr>
        <w:numPr>
          <w:ilvl w:val="0"/>
          <w:numId w:val="17"/>
        </w:numPr>
      </w:pPr>
      <w:r w:rsidRPr="00C2233D">
        <w:rPr>
          <w:b/>
          <w:bCs/>
        </w:rPr>
        <w:t>Une culture de transparence</w:t>
      </w:r>
      <w:r w:rsidRPr="00C2233D">
        <w:t xml:space="preserve"> et d’éthique : charte de conduite, mécanisme de dénonciation d’irrégularités.</w:t>
      </w:r>
    </w:p>
    <w:p w:rsidR="00C2233D" w:rsidRPr="00C2233D" w:rsidRDefault="00C2233D" w:rsidP="00C2233D">
      <w:pPr>
        <w:rPr>
          <w:b/>
          <w:bCs/>
        </w:rPr>
      </w:pPr>
      <w:r w:rsidRPr="00C2233D">
        <w:rPr>
          <w:b/>
          <w:bCs/>
        </w:rPr>
        <w:t>8. Stratégie commerciale et marketing</w:t>
      </w:r>
    </w:p>
    <w:p w:rsidR="00C2233D" w:rsidRPr="00C2233D" w:rsidRDefault="00C2233D" w:rsidP="00C2233D">
      <w:pPr>
        <w:rPr>
          <w:b/>
          <w:bCs/>
        </w:rPr>
      </w:pPr>
      <w:r w:rsidRPr="00C2233D">
        <w:rPr>
          <w:b/>
          <w:bCs/>
        </w:rPr>
        <w:t>8.1 Positionnement et proposition de valeur</w:t>
      </w:r>
    </w:p>
    <w:p w:rsidR="00C2233D" w:rsidRPr="00C2233D" w:rsidRDefault="00C2233D" w:rsidP="00C2233D">
      <w:r w:rsidRPr="00C2233D">
        <w:t>Le porte</w:t>
      </w:r>
      <w:r w:rsidRPr="00C2233D">
        <w:noBreakHyphen/>
        <w:t xml:space="preserve">monnaie électronique se positionnera comme </w:t>
      </w:r>
      <w:r w:rsidRPr="00C2233D">
        <w:rPr>
          <w:b/>
          <w:bCs/>
        </w:rPr>
        <w:t>une plateforme inclusive, innovante et sécurisée</w:t>
      </w:r>
      <w:r w:rsidRPr="00C2233D">
        <w:t>, visant à devenir le référent des paiements digitaux en RDC. Sa proposition de valeur :</w:t>
      </w:r>
    </w:p>
    <w:p w:rsidR="00C2233D" w:rsidRPr="00C2233D" w:rsidRDefault="00C2233D" w:rsidP="00C2233D">
      <w:pPr>
        <w:numPr>
          <w:ilvl w:val="0"/>
          <w:numId w:val="18"/>
        </w:numPr>
      </w:pPr>
      <w:r w:rsidRPr="00C2233D">
        <w:rPr>
          <w:b/>
          <w:bCs/>
        </w:rPr>
        <w:t>Accessibilité universelle</w:t>
      </w:r>
      <w:r w:rsidRPr="00C2233D">
        <w:t> : l’application fonctionne avec ou sans Internet grâce à l’USSD, prend en charge plusieurs langues et propose des interfaces intuitives pour tous les niveaux d’alphabétisation.</w:t>
      </w:r>
    </w:p>
    <w:p w:rsidR="00C2233D" w:rsidRPr="00C2233D" w:rsidRDefault="00C2233D" w:rsidP="00C2233D">
      <w:pPr>
        <w:numPr>
          <w:ilvl w:val="0"/>
          <w:numId w:val="18"/>
        </w:numPr>
      </w:pPr>
      <w:proofErr w:type="spellStart"/>
      <w:r w:rsidRPr="00C2233D">
        <w:rPr>
          <w:b/>
          <w:bCs/>
        </w:rPr>
        <w:t>Interoperabilité</w:t>
      </w:r>
      <w:proofErr w:type="spellEnd"/>
      <w:r w:rsidRPr="00C2233D">
        <w:rPr>
          <w:b/>
          <w:bCs/>
        </w:rPr>
        <w:t xml:space="preserve"> totale</w:t>
      </w:r>
      <w:r w:rsidRPr="00C2233D">
        <w:t xml:space="preserve"> : possibilité de transférer des fonds vers et depuis tous les opérateurs de mobile money, les banques, et les services de </w:t>
      </w:r>
      <w:proofErr w:type="spellStart"/>
      <w:r w:rsidRPr="00C2233D">
        <w:t>remittance</w:t>
      </w:r>
      <w:proofErr w:type="spellEnd"/>
      <w:r w:rsidRPr="00C2233D">
        <w:t>.</w:t>
      </w:r>
    </w:p>
    <w:p w:rsidR="00C2233D" w:rsidRPr="00C2233D" w:rsidRDefault="00C2233D" w:rsidP="00C2233D">
      <w:pPr>
        <w:numPr>
          <w:ilvl w:val="0"/>
          <w:numId w:val="18"/>
        </w:numPr>
      </w:pPr>
      <w:r w:rsidRPr="00C2233D">
        <w:rPr>
          <w:b/>
          <w:bCs/>
        </w:rPr>
        <w:t>Produits financiers évolutifs</w:t>
      </w:r>
      <w:r w:rsidRPr="00C2233D">
        <w:t> : micro</w:t>
      </w:r>
      <w:r w:rsidRPr="00C2233D">
        <w:noBreakHyphen/>
        <w:t>épargne rémunérée, micro</w:t>
      </w:r>
      <w:r w:rsidRPr="00C2233D">
        <w:noBreakHyphen/>
        <w:t>crédits rapides, remises et programmes de fidélité.</w:t>
      </w:r>
    </w:p>
    <w:p w:rsidR="00C2233D" w:rsidRPr="00C2233D" w:rsidRDefault="00C2233D" w:rsidP="00C2233D">
      <w:pPr>
        <w:numPr>
          <w:ilvl w:val="0"/>
          <w:numId w:val="18"/>
        </w:numPr>
      </w:pPr>
      <w:r w:rsidRPr="00C2233D">
        <w:rPr>
          <w:b/>
          <w:bCs/>
        </w:rPr>
        <w:t>Tarification compétitive</w:t>
      </w:r>
      <w:r w:rsidRPr="00C2233D">
        <w:t> : frais réduits pour attirer un maximum d’utilisateurs, packages sans frais pour les étudiants et les femmes entrepreneures.</w:t>
      </w:r>
    </w:p>
    <w:p w:rsidR="00C2233D" w:rsidRPr="00C2233D" w:rsidRDefault="00C2233D" w:rsidP="00C2233D">
      <w:pPr>
        <w:numPr>
          <w:ilvl w:val="0"/>
          <w:numId w:val="18"/>
        </w:numPr>
      </w:pPr>
      <w:r w:rsidRPr="00C2233D">
        <w:rPr>
          <w:b/>
          <w:bCs/>
        </w:rPr>
        <w:t>Sécurité et confiance</w:t>
      </w:r>
      <w:r w:rsidRPr="00C2233D">
        <w:t> : conformité stricte KYC/AML, protection des données, assurance contre les fraudes.</w:t>
      </w:r>
    </w:p>
    <w:p w:rsidR="00C2233D" w:rsidRPr="00C2233D" w:rsidRDefault="00C2233D" w:rsidP="00C2233D">
      <w:pPr>
        <w:rPr>
          <w:b/>
          <w:bCs/>
        </w:rPr>
      </w:pPr>
      <w:r w:rsidRPr="00C2233D">
        <w:rPr>
          <w:b/>
          <w:bCs/>
        </w:rPr>
        <w:lastRenderedPageBreak/>
        <w:t>8.2 Politique tarifaire</w:t>
      </w:r>
    </w:p>
    <w:p w:rsidR="00C2233D" w:rsidRPr="00C2233D" w:rsidRDefault="00C2233D" w:rsidP="00C2233D">
      <w:r w:rsidRPr="00C2233D">
        <w:t>Le modèle économique reposera sur plusieurs sources de revenus :</w:t>
      </w:r>
    </w:p>
    <w:p w:rsidR="00C2233D" w:rsidRPr="00C2233D" w:rsidRDefault="00C2233D" w:rsidP="00C2233D">
      <w:pPr>
        <w:numPr>
          <w:ilvl w:val="0"/>
          <w:numId w:val="19"/>
        </w:numPr>
      </w:pPr>
      <w:r w:rsidRPr="00C2233D">
        <w:rPr>
          <w:b/>
          <w:bCs/>
        </w:rPr>
        <w:t>Commissions de transaction</w:t>
      </w:r>
      <w:r w:rsidRPr="00C2233D">
        <w:t> : prélèvement de 0,5 % à 1 % sur les transferts P2P et les paiements marchands domestiques, 2 % sur les transferts internationaux. Les retraits pourront être facturés 0,5 % et les dépôts resteront gratuits.</w:t>
      </w:r>
    </w:p>
    <w:p w:rsidR="00C2233D" w:rsidRPr="00C2233D" w:rsidRDefault="00C2233D" w:rsidP="00C2233D">
      <w:pPr>
        <w:numPr>
          <w:ilvl w:val="0"/>
          <w:numId w:val="19"/>
        </w:numPr>
      </w:pPr>
      <w:r w:rsidRPr="00C2233D">
        <w:rPr>
          <w:b/>
          <w:bCs/>
        </w:rPr>
        <w:t>Abonnements premium</w:t>
      </w:r>
      <w:r w:rsidRPr="00C2233D">
        <w:t> : pour les utilisateurs désireux de bénéficier de plafonds plus élevés ou de services exclusifs (analyses personnalisées, assistance prioritaire).</w:t>
      </w:r>
    </w:p>
    <w:p w:rsidR="00C2233D" w:rsidRPr="00C2233D" w:rsidRDefault="00C2233D" w:rsidP="00C2233D">
      <w:pPr>
        <w:numPr>
          <w:ilvl w:val="0"/>
          <w:numId w:val="19"/>
        </w:numPr>
      </w:pPr>
      <w:r w:rsidRPr="00C2233D">
        <w:rPr>
          <w:b/>
          <w:bCs/>
        </w:rPr>
        <w:t>Frais d’intégration marchande</w:t>
      </w:r>
      <w:r w:rsidRPr="00C2233D">
        <w:t> : pour les entreprises souhaitant utiliser l’API de paiement, un abonnement mensuel et une commission par transaction seront appliqués.</w:t>
      </w:r>
    </w:p>
    <w:p w:rsidR="00C2233D" w:rsidRPr="00C2233D" w:rsidRDefault="00C2233D" w:rsidP="00C2233D">
      <w:pPr>
        <w:numPr>
          <w:ilvl w:val="0"/>
          <w:numId w:val="19"/>
        </w:numPr>
      </w:pPr>
      <w:r w:rsidRPr="00C2233D">
        <w:rPr>
          <w:b/>
          <w:bCs/>
        </w:rPr>
        <w:t xml:space="preserve">Revenus d’intérêts sur le </w:t>
      </w:r>
      <w:proofErr w:type="spellStart"/>
      <w:r w:rsidRPr="00C2233D">
        <w:rPr>
          <w:b/>
          <w:bCs/>
        </w:rPr>
        <w:t>float</w:t>
      </w:r>
      <w:proofErr w:type="spellEnd"/>
      <w:r w:rsidRPr="00C2233D">
        <w:t> : en collaboration avec les banques partenaires, une partie des intérêts générés par les dépôts sera répartie à l’entreprise et réinvestie.</w:t>
      </w:r>
    </w:p>
    <w:p w:rsidR="00C2233D" w:rsidRPr="00C2233D" w:rsidRDefault="00C2233D" w:rsidP="00C2233D">
      <w:pPr>
        <w:numPr>
          <w:ilvl w:val="0"/>
          <w:numId w:val="19"/>
        </w:numPr>
      </w:pPr>
      <w:r w:rsidRPr="00C2233D">
        <w:rPr>
          <w:b/>
          <w:bCs/>
        </w:rPr>
        <w:t>Services additionnels</w:t>
      </w:r>
      <w:r w:rsidRPr="00C2233D">
        <w:t> : revenus issus des cartes prépayées, de la publicité ciblée et des partenariats avec des assureurs ou des sociétés de micro</w:t>
      </w:r>
      <w:r w:rsidRPr="00C2233D">
        <w:noBreakHyphen/>
        <w:t>crédit tiers.</w:t>
      </w:r>
    </w:p>
    <w:p w:rsidR="00C2233D" w:rsidRPr="00C2233D" w:rsidRDefault="00C2233D" w:rsidP="00C2233D">
      <w:r w:rsidRPr="00C2233D">
        <w:t>Le positionnement tarifaire sera régulièrement ajusté pour rester attractif face à la concurrence tout en garantissant la viabilité financière.</w:t>
      </w:r>
    </w:p>
    <w:p w:rsidR="00C2233D" w:rsidRPr="00C2233D" w:rsidRDefault="00C2233D" w:rsidP="00C2233D">
      <w:pPr>
        <w:rPr>
          <w:b/>
          <w:bCs/>
        </w:rPr>
      </w:pPr>
      <w:r w:rsidRPr="00C2233D">
        <w:rPr>
          <w:b/>
          <w:bCs/>
        </w:rPr>
        <w:t>8.3 Canaux de distribution et acquisition clients</w:t>
      </w:r>
    </w:p>
    <w:p w:rsidR="00C2233D" w:rsidRPr="00C2233D" w:rsidRDefault="00C2233D" w:rsidP="00C2233D">
      <w:pPr>
        <w:numPr>
          <w:ilvl w:val="0"/>
          <w:numId w:val="20"/>
        </w:numPr>
      </w:pPr>
      <w:r w:rsidRPr="00C2233D">
        <w:rPr>
          <w:b/>
          <w:bCs/>
        </w:rPr>
        <w:t>Réseau d’agents</w:t>
      </w:r>
      <w:r w:rsidRPr="00C2233D">
        <w:t> : environ 10 000 points de service d’ici cinq ans, implantés dans les quartiers urbains et les centres commerciaux ainsi qu’aux marchés ruraux. Les agents seront des commerçants existants formés et certifiés.</w:t>
      </w:r>
    </w:p>
    <w:p w:rsidR="00C2233D" w:rsidRPr="00C2233D" w:rsidRDefault="00C2233D" w:rsidP="00C2233D">
      <w:pPr>
        <w:numPr>
          <w:ilvl w:val="0"/>
          <w:numId w:val="20"/>
        </w:numPr>
      </w:pPr>
      <w:r w:rsidRPr="00C2233D">
        <w:rPr>
          <w:b/>
          <w:bCs/>
        </w:rPr>
        <w:t>Partenariats stratégiques</w:t>
      </w:r>
      <w:r w:rsidRPr="00C2233D">
        <w:t> : avec les opérateurs mobiles, les banques, les grands distributeurs (supermarchés, stations</w:t>
      </w:r>
      <w:r w:rsidRPr="00C2233D">
        <w:noBreakHyphen/>
        <w:t>service), les compagnies de transport et les plateformes de e</w:t>
      </w:r>
      <w:r w:rsidRPr="00C2233D">
        <w:noBreakHyphen/>
        <w:t>commerce.</w:t>
      </w:r>
    </w:p>
    <w:p w:rsidR="00C2233D" w:rsidRPr="00C2233D" w:rsidRDefault="00C2233D" w:rsidP="00C2233D">
      <w:pPr>
        <w:numPr>
          <w:ilvl w:val="0"/>
          <w:numId w:val="20"/>
        </w:numPr>
      </w:pPr>
      <w:r w:rsidRPr="00C2233D">
        <w:rPr>
          <w:b/>
          <w:bCs/>
        </w:rPr>
        <w:t>Marketing digital</w:t>
      </w:r>
      <w:r w:rsidRPr="00C2233D">
        <w:t xml:space="preserve"> : campagnes sur les réseaux sociaux (Facebook, Instagram, </w:t>
      </w:r>
      <w:proofErr w:type="spellStart"/>
      <w:r w:rsidRPr="00C2233D">
        <w:t>TikTok</w:t>
      </w:r>
      <w:proofErr w:type="spellEnd"/>
      <w:r w:rsidRPr="00C2233D">
        <w:t>), marketing d’influence, contenus éducatifs, webinaires et tutoriels.</w:t>
      </w:r>
    </w:p>
    <w:p w:rsidR="00C2233D" w:rsidRPr="00C2233D" w:rsidRDefault="00C2233D" w:rsidP="00C2233D">
      <w:pPr>
        <w:numPr>
          <w:ilvl w:val="0"/>
          <w:numId w:val="20"/>
        </w:numPr>
      </w:pPr>
      <w:r w:rsidRPr="00C2233D">
        <w:rPr>
          <w:b/>
          <w:bCs/>
        </w:rPr>
        <w:t>Communication de proximité</w:t>
      </w:r>
      <w:r w:rsidRPr="00C2233D">
        <w:t> : spots radio en langues locales, affichage urbain, animations dans les marchés et universités.</w:t>
      </w:r>
    </w:p>
    <w:p w:rsidR="00C2233D" w:rsidRPr="00C2233D" w:rsidRDefault="00C2233D" w:rsidP="00C2233D">
      <w:pPr>
        <w:numPr>
          <w:ilvl w:val="0"/>
          <w:numId w:val="20"/>
        </w:numPr>
      </w:pPr>
      <w:r w:rsidRPr="00C2233D">
        <w:rPr>
          <w:b/>
          <w:bCs/>
        </w:rPr>
        <w:t>Programme de parrainage</w:t>
      </w:r>
      <w:r w:rsidRPr="00C2233D">
        <w:t> : bonus pour les utilisateurs qui invitent d’autres personnes (cashback ou crédits de communication).</w:t>
      </w:r>
    </w:p>
    <w:p w:rsidR="00C2233D" w:rsidRPr="00C2233D" w:rsidRDefault="00C2233D" w:rsidP="00C2233D">
      <w:pPr>
        <w:rPr>
          <w:b/>
          <w:bCs/>
        </w:rPr>
      </w:pPr>
      <w:r w:rsidRPr="00C2233D">
        <w:rPr>
          <w:b/>
          <w:bCs/>
        </w:rPr>
        <w:t>8.4 Fidélisation et expérience utilisateur</w:t>
      </w:r>
    </w:p>
    <w:p w:rsidR="00C2233D" w:rsidRPr="00C2233D" w:rsidRDefault="00C2233D" w:rsidP="00C2233D">
      <w:pPr>
        <w:numPr>
          <w:ilvl w:val="0"/>
          <w:numId w:val="21"/>
        </w:numPr>
      </w:pPr>
      <w:r w:rsidRPr="00C2233D">
        <w:rPr>
          <w:b/>
          <w:bCs/>
        </w:rPr>
        <w:t>Programme de loyauté</w:t>
      </w:r>
      <w:r w:rsidRPr="00C2233D">
        <w:t> : cumuls de points à chaque transaction, donnant droit à des remises ou à des produits gratuits (par exemple des unités de communication, des bons d’achat).</w:t>
      </w:r>
    </w:p>
    <w:p w:rsidR="00C2233D" w:rsidRPr="00C2233D" w:rsidRDefault="00C2233D" w:rsidP="00C2233D">
      <w:pPr>
        <w:numPr>
          <w:ilvl w:val="0"/>
          <w:numId w:val="21"/>
        </w:numPr>
      </w:pPr>
      <w:r w:rsidRPr="00C2233D">
        <w:rPr>
          <w:b/>
          <w:bCs/>
        </w:rPr>
        <w:lastRenderedPageBreak/>
        <w:t>Support 24h/24</w:t>
      </w:r>
      <w:r w:rsidRPr="00C2233D">
        <w:t xml:space="preserve"> : assistance en cinq langues, </w:t>
      </w:r>
      <w:proofErr w:type="spellStart"/>
      <w:r w:rsidRPr="00C2233D">
        <w:t>chatbot</w:t>
      </w:r>
      <w:proofErr w:type="spellEnd"/>
      <w:r w:rsidRPr="00C2233D">
        <w:t xml:space="preserve"> doté d’IA et </w:t>
      </w:r>
      <w:proofErr w:type="spellStart"/>
      <w:r w:rsidRPr="00C2233D">
        <w:t>human</w:t>
      </w:r>
      <w:proofErr w:type="spellEnd"/>
      <w:r w:rsidRPr="00C2233D">
        <w:t xml:space="preserve"> agents, centre d’appels.</w:t>
      </w:r>
    </w:p>
    <w:p w:rsidR="00C2233D" w:rsidRPr="00C2233D" w:rsidRDefault="00C2233D" w:rsidP="00C2233D">
      <w:pPr>
        <w:numPr>
          <w:ilvl w:val="0"/>
          <w:numId w:val="21"/>
        </w:numPr>
      </w:pPr>
      <w:r w:rsidRPr="00C2233D">
        <w:rPr>
          <w:b/>
          <w:bCs/>
        </w:rPr>
        <w:t>Bureau d’écoute des utilisateurs</w:t>
      </w:r>
      <w:r w:rsidRPr="00C2233D">
        <w:t> : afin de recueillir les commentaires, traiter les plaintes et améliorer continuellement le service.</w:t>
      </w:r>
    </w:p>
    <w:p w:rsidR="00C2233D" w:rsidRPr="00C2233D" w:rsidRDefault="00C2233D" w:rsidP="00C2233D">
      <w:pPr>
        <w:rPr>
          <w:b/>
          <w:bCs/>
        </w:rPr>
      </w:pPr>
      <w:r w:rsidRPr="00C2233D">
        <w:rPr>
          <w:b/>
          <w:bCs/>
        </w:rPr>
        <w:t>9. Analyse SWOT</w:t>
      </w:r>
    </w:p>
    <w:p w:rsidR="00C2233D" w:rsidRPr="00C2233D" w:rsidRDefault="00C2233D" w:rsidP="00C2233D">
      <w:pPr>
        <w:rPr>
          <w:b/>
          <w:bCs/>
        </w:rPr>
      </w:pPr>
      <w:r w:rsidRPr="00C2233D">
        <w:rPr>
          <w:b/>
          <w:bCs/>
        </w:rPr>
        <w:t>9.1 Forces</w:t>
      </w:r>
    </w:p>
    <w:p w:rsidR="00C2233D" w:rsidRPr="00C2233D" w:rsidRDefault="00C2233D" w:rsidP="00C2233D">
      <w:pPr>
        <w:numPr>
          <w:ilvl w:val="0"/>
          <w:numId w:val="22"/>
        </w:numPr>
      </w:pPr>
      <w:r w:rsidRPr="00C2233D">
        <w:rPr>
          <w:b/>
          <w:bCs/>
        </w:rPr>
        <w:t>Forte expertise locale et internationale</w:t>
      </w:r>
      <w:r w:rsidRPr="00C2233D">
        <w:t xml:space="preserve"> dans le numérique et la finance.</w:t>
      </w:r>
    </w:p>
    <w:p w:rsidR="00C2233D" w:rsidRPr="00C2233D" w:rsidRDefault="00C2233D" w:rsidP="00C2233D">
      <w:pPr>
        <w:numPr>
          <w:ilvl w:val="0"/>
          <w:numId w:val="22"/>
        </w:numPr>
      </w:pPr>
      <w:r w:rsidRPr="00C2233D">
        <w:rPr>
          <w:b/>
          <w:bCs/>
        </w:rPr>
        <w:t>Solution polyvalente et innovante</w:t>
      </w:r>
      <w:r w:rsidRPr="00C2233D">
        <w:t xml:space="preserve"> (e</w:t>
      </w:r>
      <w:r w:rsidRPr="00C2233D">
        <w:noBreakHyphen/>
      </w:r>
      <w:proofErr w:type="spellStart"/>
      <w:r w:rsidRPr="00C2233D">
        <w:t>wallet</w:t>
      </w:r>
      <w:proofErr w:type="spellEnd"/>
      <w:r w:rsidRPr="00C2233D">
        <w:t>, micro</w:t>
      </w:r>
      <w:r w:rsidRPr="00C2233D">
        <w:noBreakHyphen/>
        <w:t>épargne, crédit, carte virtuelle).</w:t>
      </w:r>
    </w:p>
    <w:p w:rsidR="00C2233D" w:rsidRPr="00C2233D" w:rsidRDefault="00C2233D" w:rsidP="00C2233D">
      <w:pPr>
        <w:numPr>
          <w:ilvl w:val="0"/>
          <w:numId w:val="22"/>
        </w:numPr>
      </w:pPr>
      <w:r w:rsidRPr="00C2233D">
        <w:rPr>
          <w:b/>
          <w:bCs/>
        </w:rPr>
        <w:t>Interopérabilité</w:t>
      </w:r>
      <w:r w:rsidRPr="00C2233D">
        <w:t xml:space="preserve"> avec banques et opérateurs mobiles, offrant un avantage concurrentiel.</w:t>
      </w:r>
    </w:p>
    <w:p w:rsidR="00C2233D" w:rsidRPr="00C2233D" w:rsidRDefault="00C2233D" w:rsidP="00C2233D">
      <w:pPr>
        <w:numPr>
          <w:ilvl w:val="0"/>
          <w:numId w:val="22"/>
        </w:numPr>
      </w:pPr>
      <w:r w:rsidRPr="00C2233D">
        <w:rPr>
          <w:b/>
          <w:bCs/>
        </w:rPr>
        <w:t>Réseau d’agents dense</w:t>
      </w:r>
      <w:r w:rsidRPr="00C2233D">
        <w:t xml:space="preserve"> prévu, permettant une présence dans les zones rurales et urbaines.</w:t>
      </w:r>
    </w:p>
    <w:p w:rsidR="00C2233D" w:rsidRPr="00C2233D" w:rsidRDefault="00C2233D" w:rsidP="00C2233D">
      <w:pPr>
        <w:rPr>
          <w:b/>
          <w:bCs/>
        </w:rPr>
      </w:pPr>
      <w:r w:rsidRPr="00C2233D">
        <w:rPr>
          <w:b/>
          <w:bCs/>
        </w:rPr>
        <w:t>9.2 Faiblesses</w:t>
      </w:r>
    </w:p>
    <w:p w:rsidR="00C2233D" w:rsidRPr="00C2233D" w:rsidRDefault="00C2233D" w:rsidP="00C2233D">
      <w:pPr>
        <w:numPr>
          <w:ilvl w:val="0"/>
          <w:numId w:val="23"/>
        </w:numPr>
      </w:pPr>
      <w:r w:rsidRPr="00C2233D">
        <w:rPr>
          <w:b/>
          <w:bCs/>
        </w:rPr>
        <w:t>Manque de notoriété initiale</w:t>
      </w:r>
      <w:r w:rsidRPr="00C2233D">
        <w:t xml:space="preserve"> face aux marques établies (M</w:t>
      </w:r>
      <w:r w:rsidRPr="00C2233D">
        <w:noBreakHyphen/>
        <w:t>Pesa, Orange Money).</w:t>
      </w:r>
    </w:p>
    <w:p w:rsidR="00C2233D" w:rsidRPr="00C2233D" w:rsidRDefault="00C2233D" w:rsidP="00C2233D">
      <w:pPr>
        <w:numPr>
          <w:ilvl w:val="0"/>
          <w:numId w:val="23"/>
        </w:numPr>
      </w:pPr>
      <w:r w:rsidRPr="00C2233D">
        <w:rPr>
          <w:b/>
          <w:bCs/>
        </w:rPr>
        <w:t>Investissement initial élevé</w:t>
      </w:r>
      <w:r w:rsidRPr="00C2233D">
        <w:t xml:space="preserve"> pour l’infrastructure et l’obtention des licences.</w:t>
      </w:r>
    </w:p>
    <w:p w:rsidR="00C2233D" w:rsidRPr="00C2233D" w:rsidRDefault="00C2233D" w:rsidP="00C2233D">
      <w:pPr>
        <w:numPr>
          <w:ilvl w:val="0"/>
          <w:numId w:val="23"/>
        </w:numPr>
      </w:pPr>
      <w:r w:rsidRPr="00C2233D">
        <w:rPr>
          <w:b/>
          <w:bCs/>
        </w:rPr>
        <w:t>Dépendance aux infrastructures télécoms et électriques</w:t>
      </w:r>
      <w:r w:rsidRPr="00C2233D">
        <w:t xml:space="preserve"> parfois défaillantes.</w:t>
      </w:r>
    </w:p>
    <w:p w:rsidR="00C2233D" w:rsidRPr="00C2233D" w:rsidRDefault="00C2233D" w:rsidP="00C2233D">
      <w:pPr>
        <w:rPr>
          <w:b/>
          <w:bCs/>
        </w:rPr>
      </w:pPr>
      <w:r w:rsidRPr="00C2233D">
        <w:rPr>
          <w:b/>
          <w:bCs/>
        </w:rPr>
        <w:t>9.3 Opportunités</w:t>
      </w:r>
    </w:p>
    <w:p w:rsidR="00C2233D" w:rsidRPr="00C2233D" w:rsidRDefault="00C2233D" w:rsidP="00C2233D">
      <w:pPr>
        <w:numPr>
          <w:ilvl w:val="0"/>
          <w:numId w:val="24"/>
        </w:numPr>
      </w:pPr>
      <w:r w:rsidRPr="00C2233D">
        <w:rPr>
          <w:b/>
          <w:bCs/>
        </w:rPr>
        <w:t>Population non bancarisée</w:t>
      </w:r>
      <w:r w:rsidRPr="00C2233D">
        <w:t xml:space="preserve"> très importante</w:t>
      </w:r>
      <w:hyperlink r:id="rId19" w:anchor=":~:text=Financial%20Inclusion" w:tgtFrame="_blank" w:history="1">
        <w:r w:rsidRPr="00C2233D">
          <w:rPr>
            <w:rStyle w:val="Lienhypertexte"/>
          </w:rPr>
          <w:t>mfw4a.org</w:t>
        </w:r>
      </w:hyperlink>
      <w:r w:rsidRPr="00C2233D">
        <w:t>, permettant un fort potentiel de croissance.</w:t>
      </w:r>
    </w:p>
    <w:p w:rsidR="00C2233D" w:rsidRPr="00C2233D" w:rsidRDefault="00C2233D" w:rsidP="00C2233D">
      <w:pPr>
        <w:numPr>
          <w:ilvl w:val="0"/>
          <w:numId w:val="24"/>
        </w:numPr>
      </w:pPr>
      <w:r w:rsidRPr="00C2233D">
        <w:rPr>
          <w:b/>
          <w:bCs/>
        </w:rPr>
        <w:lastRenderedPageBreak/>
        <w:t>Croissance rapide du mobile money</w:t>
      </w:r>
      <w:r w:rsidRPr="00C2233D">
        <w:t xml:space="preserve"> et de l’accès à Internet</w:t>
      </w:r>
      <w:r w:rsidRPr="00C2233D">
        <w:drawing>
          <wp:inline distT="0" distB="0" distL="0" distR="0">
            <wp:extent cx="5760720" cy="4320540"/>
            <wp:effectExtent l="0" t="0" r="0" b="3810"/>
            <wp:docPr id="78873650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r w:rsidRPr="00C2233D">
        <w:t>ecofinagency.com</w:t>
      </w:r>
      <w:hyperlink r:id="rId20" w:anchor=":~:text=According%20to%20Datareportal%2C%20the%20Democratic,App%20Usage%20in%20Africa%20Survey" w:tgtFrame="_blank" w:history="1">
        <w:r w:rsidRPr="00C2233D">
          <w:rPr>
            <w:rStyle w:val="Lienhypertexte"/>
          </w:rPr>
          <w:t>geopoll.com</w:t>
        </w:r>
      </w:hyperlink>
      <w:r w:rsidRPr="00C2233D">
        <w:t>.</w:t>
      </w:r>
    </w:p>
    <w:p w:rsidR="00C2233D" w:rsidRPr="00C2233D" w:rsidRDefault="00C2233D" w:rsidP="00C2233D">
      <w:pPr>
        <w:numPr>
          <w:ilvl w:val="0"/>
          <w:numId w:val="24"/>
        </w:numPr>
      </w:pPr>
      <w:r w:rsidRPr="00C2233D">
        <w:rPr>
          <w:b/>
          <w:bCs/>
        </w:rPr>
        <w:t>Modernisation réglementaire</w:t>
      </w:r>
      <w:r w:rsidRPr="00C2233D">
        <w:t xml:space="preserve"> encourageant la concurrence et l’innovation (loi Télécom 2018, directives BCC).</w:t>
      </w:r>
    </w:p>
    <w:p w:rsidR="00C2233D" w:rsidRPr="00C2233D" w:rsidRDefault="00C2233D" w:rsidP="00C2233D">
      <w:pPr>
        <w:numPr>
          <w:ilvl w:val="0"/>
          <w:numId w:val="24"/>
        </w:numPr>
      </w:pPr>
      <w:r w:rsidRPr="00C2233D">
        <w:rPr>
          <w:b/>
          <w:bCs/>
        </w:rPr>
        <w:t>Ouverture aux services financiers de la diaspora</w:t>
      </w:r>
      <w:r w:rsidRPr="00C2233D">
        <w:t xml:space="preserve"> et au e</w:t>
      </w:r>
      <w:r w:rsidRPr="00C2233D">
        <w:noBreakHyphen/>
        <w:t>commerce international.</w:t>
      </w:r>
    </w:p>
    <w:p w:rsidR="00C2233D" w:rsidRPr="00C2233D" w:rsidRDefault="00C2233D" w:rsidP="00C2233D">
      <w:pPr>
        <w:rPr>
          <w:b/>
          <w:bCs/>
        </w:rPr>
      </w:pPr>
      <w:r w:rsidRPr="00C2233D">
        <w:rPr>
          <w:b/>
          <w:bCs/>
        </w:rPr>
        <w:t>9.4 Menaces</w:t>
      </w:r>
    </w:p>
    <w:p w:rsidR="00C2233D" w:rsidRPr="00C2233D" w:rsidRDefault="00C2233D" w:rsidP="00C2233D">
      <w:pPr>
        <w:numPr>
          <w:ilvl w:val="0"/>
          <w:numId w:val="25"/>
        </w:numPr>
      </w:pPr>
      <w:r w:rsidRPr="00C2233D">
        <w:rPr>
          <w:b/>
          <w:bCs/>
        </w:rPr>
        <w:t>Concurrence agressive</w:t>
      </w:r>
      <w:r w:rsidRPr="00C2233D">
        <w:t xml:space="preserve"> des opérateurs télécoms et des fintechs internationales.</w:t>
      </w:r>
    </w:p>
    <w:p w:rsidR="00C2233D" w:rsidRPr="00C2233D" w:rsidRDefault="00C2233D" w:rsidP="00C2233D">
      <w:pPr>
        <w:numPr>
          <w:ilvl w:val="0"/>
          <w:numId w:val="25"/>
        </w:numPr>
      </w:pPr>
      <w:r w:rsidRPr="00C2233D">
        <w:rPr>
          <w:b/>
          <w:bCs/>
        </w:rPr>
        <w:t>Risque de cyber</w:t>
      </w:r>
      <w:r w:rsidRPr="00C2233D">
        <w:rPr>
          <w:b/>
          <w:bCs/>
        </w:rPr>
        <w:noBreakHyphen/>
        <w:t>attaques et de fraude</w:t>
      </w:r>
      <w:r w:rsidRPr="00C2233D">
        <w:t xml:space="preserve"> exigeant un investissement constant en sécurité.</w:t>
      </w:r>
    </w:p>
    <w:p w:rsidR="00C2233D" w:rsidRPr="00C2233D" w:rsidRDefault="00C2233D" w:rsidP="00C2233D">
      <w:pPr>
        <w:numPr>
          <w:ilvl w:val="0"/>
          <w:numId w:val="25"/>
        </w:numPr>
      </w:pPr>
      <w:r w:rsidRPr="00C2233D">
        <w:rPr>
          <w:b/>
          <w:bCs/>
        </w:rPr>
        <w:t>Volatilité macro</w:t>
      </w:r>
      <w:r w:rsidRPr="00C2233D">
        <w:rPr>
          <w:b/>
          <w:bCs/>
        </w:rPr>
        <w:noBreakHyphen/>
        <w:t>économique</w:t>
      </w:r>
      <w:r w:rsidRPr="00C2233D">
        <w:t xml:space="preserve"> (inflation, dévaluation du franc congolais) pouvant affecter les marges.</w:t>
      </w:r>
    </w:p>
    <w:p w:rsidR="00C2233D" w:rsidRPr="00C2233D" w:rsidRDefault="00C2233D" w:rsidP="00C2233D">
      <w:pPr>
        <w:numPr>
          <w:ilvl w:val="0"/>
          <w:numId w:val="25"/>
        </w:numPr>
      </w:pPr>
      <w:r w:rsidRPr="00C2233D">
        <w:rPr>
          <w:b/>
          <w:bCs/>
        </w:rPr>
        <w:t>Incertaines politiques et réglementaires</w:t>
      </w:r>
      <w:r w:rsidRPr="00C2233D">
        <w:t xml:space="preserve"> (possibilité de nouvelles taxes sur les transactions électroniques).</w:t>
      </w:r>
    </w:p>
    <w:p w:rsidR="00C2233D" w:rsidRPr="00C2233D" w:rsidRDefault="00C2233D" w:rsidP="00C2233D">
      <w:pPr>
        <w:rPr>
          <w:b/>
          <w:bCs/>
        </w:rPr>
      </w:pPr>
      <w:r w:rsidRPr="00C2233D">
        <w:rPr>
          <w:b/>
          <w:bCs/>
        </w:rPr>
        <w:t>10. Business Model Canvas</w:t>
      </w:r>
    </w:p>
    <w:p w:rsidR="00C2233D" w:rsidRPr="00C2233D" w:rsidRDefault="00C2233D" w:rsidP="00C2233D">
      <w:r w:rsidRPr="00C2233D">
        <w:t>Le modèle d’affaires est résumé ci</w:t>
      </w:r>
      <w:r w:rsidRPr="00C2233D">
        <w:noBreakHyphen/>
        <w:t>dessous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7497"/>
      </w:tblGrid>
      <w:tr w:rsidR="00C2233D" w:rsidRPr="00C2233D">
        <w:trPr>
          <w:tblHeader/>
          <w:tblCellSpacing w:w="15" w:type="dxa"/>
        </w:trPr>
        <w:tc>
          <w:tcPr>
            <w:tcW w:w="0" w:type="auto"/>
            <w:vAlign w:val="center"/>
            <w:hideMark/>
          </w:tcPr>
          <w:p w:rsidR="00C2233D" w:rsidRPr="00C2233D" w:rsidRDefault="00C2233D" w:rsidP="00C2233D">
            <w:pPr>
              <w:rPr>
                <w:b/>
                <w:bCs/>
              </w:rPr>
            </w:pPr>
            <w:r w:rsidRPr="00C2233D">
              <w:rPr>
                <w:b/>
                <w:bCs/>
              </w:rPr>
              <w:lastRenderedPageBreak/>
              <w:t>Élément</w:t>
            </w:r>
          </w:p>
        </w:tc>
        <w:tc>
          <w:tcPr>
            <w:tcW w:w="0" w:type="auto"/>
            <w:vAlign w:val="center"/>
            <w:hideMark/>
          </w:tcPr>
          <w:p w:rsidR="00C2233D" w:rsidRPr="00C2233D" w:rsidRDefault="00C2233D" w:rsidP="00C2233D">
            <w:pPr>
              <w:rPr>
                <w:b/>
                <w:bCs/>
              </w:rPr>
            </w:pPr>
            <w:r w:rsidRPr="00C2233D">
              <w:rPr>
                <w:b/>
                <w:bCs/>
              </w:rPr>
              <w:t>Contenu</w:t>
            </w:r>
          </w:p>
        </w:tc>
      </w:tr>
      <w:tr w:rsidR="00C2233D" w:rsidRPr="00C2233D">
        <w:trPr>
          <w:tblCellSpacing w:w="15" w:type="dxa"/>
        </w:trPr>
        <w:tc>
          <w:tcPr>
            <w:tcW w:w="0" w:type="auto"/>
            <w:vAlign w:val="center"/>
            <w:hideMark/>
          </w:tcPr>
          <w:p w:rsidR="00C2233D" w:rsidRPr="00C2233D" w:rsidRDefault="00C2233D" w:rsidP="00C2233D">
            <w:r w:rsidRPr="00C2233D">
              <w:rPr>
                <w:b/>
                <w:bCs/>
              </w:rPr>
              <w:t>Partenaires clés</w:t>
            </w:r>
          </w:p>
        </w:tc>
        <w:tc>
          <w:tcPr>
            <w:tcW w:w="0" w:type="auto"/>
            <w:vAlign w:val="center"/>
            <w:hideMark/>
          </w:tcPr>
          <w:p w:rsidR="00C2233D" w:rsidRPr="00C2233D" w:rsidRDefault="00C2233D" w:rsidP="00C2233D">
            <w:r w:rsidRPr="00C2233D">
              <w:t>Opérateurs télécoms (</w:t>
            </w:r>
            <w:proofErr w:type="spellStart"/>
            <w:r w:rsidRPr="00C2233D">
              <w:t>Vodacom</w:t>
            </w:r>
            <w:proofErr w:type="spellEnd"/>
            <w:r w:rsidRPr="00C2233D">
              <w:t xml:space="preserve">, Orange, Airtel, </w:t>
            </w:r>
            <w:proofErr w:type="spellStart"/>
            <w:r w:rsidRPr="00C2233D">
              <w:t>Africell</w:t>
            </w:r>
            <w:proofErr w:type="spellEnd"/>
            <w:r w:rsidRPr="00C2233D">
              <w:t>), banques partenaires (</w:t>
            </w:r>
            <w:proofErr w:type="spellStart"/>
            <w:r w:rsidRPr="00C2233D">
              <w:t>Rawbank</w:t>
            </w:r>
            <w:proofErr w:type="spellEnd"/>
            <w:r w:rsidRPr="00C2233D">
              <w:t xml:space="preserve">, </w:t>
            </w:r>
            <w:proofErr w:type="spellStart"/>
            <w:r w:rsidRPr="00C2233D">
              <w:t>Equity</w:t>
            </w:r>
            <w:proofErr w:type="spellEnd"/>
            <w:r w:rsidRPr="00C2233D">
              <w:t xml:space="preserve"> BCDC), autorités régulatrices (BCC, ARPTC), entreprises de </w:t>
            </w:r>
            <w:proofErr w:type="spellStart"/>
            <w:r w:rsidRPr="00C2233D">
              <w:t>remittances</w:t>
            </w:r>
            <w:proofErr w:type="spellEnd"/>
            <w:r w:rsidRPr="00C2233D">
              <w:t>, fournisseurs IT et cloud, ONG et programmes d’inclusion financière, réseau d’agents.</w:t>
            </w:r>
          </w:p>
        </w:tc>
      </w:tr>
      <w:tr w:rsidR="00C2233D" w:rsidRPr="00C2233D">
        <w:trPr>
          <w:tblCellSpacing w:w="15" w:type="dxa"/>
        </w:trPr>
        <w:tc>
          <w:tcPr>
            <w:tcW w:w="0" w:type="auto"/>
            <w:vAlign w:val="center"/>
            <w:hideMark/>
          </w:tcPr>
          <w:p w:rsidR="00C2233D" w:rsidRPr="00C2233D" w:rsidRDefault="00C2233D" w:rsidP="00C2233D">
            <w:r w:rsidRPr="00C2233D">
              <w:rPr>
                <w:b/>
                <w:bCs/>
              </w:rPr>
              <w:t>Activités clés</w:t>
            </w:r>
          </w:p>
        </w:tc>
        <w:tc>
          <w:tcPr>
            <w:tcW w:w="0" w:type="auto"/>
            <w:vAlign w:val="center"/>
            <w:hideMark/>
          </w:tcPr>
          <w:p w:rsidR="00C2233D" w:rsidRPr="00C2233D" w:rsidRDefault="00C2233D" w:rsidP="00C2233D">
            <w:r w:rsidRPr="00C2233D">
              <w:t xml:space="preserve">Développement et maintenance de la plateforme, gestion du </w:t>
            </w:r>
            <w:proofErr w:type="spellStart"/>
            <w:r w:rsidRPr="00C2233D">
              <w:t>float</w:t>
            </w:r>
            <w:proofErr w:type="spellEnd"/>
            <w:r w:rsidRPr="00C2233D">
              <w:t>, acquisition et formation d’agents, marketing et relation client, conformité KYC/AML, innovation produit.</w:t>
            </w:r>
          </w:p>
        </w:tc>
      </w:tr>
      <w:tr w:rsidR="00C2233D" w:rsidRPr="00C2233D">
        <w:trPr>
          <w:tblCellSpacing w:w="15" w:type="dxa"/>
        </w:trPr>
        <w:tc>
          <w:tcPr>
            <w:tcW w:w="0" w:type="auto"/>
            <w:vAlign w:val="center"/>
            <w:hideMark/>
          </w:tcPr>
          <w:p w:rsidR="00C2233D" w:rsidRPr="00C2233D" w:rsidRDefault="00C2233D" w:rsidP="00C2233D">
            <w:r w:rsidRPr="00C2233D">
              <w:rPr>
                <w:b/>
                <w:bCs/>
              </w:rPr>
              <w:t>Ressources clés</w:t>
            </w:r>
          </w:p>
        </w:tc>
        <w:tc>
          <w:tcPr>
            <w:tcW w:w="0" w:type="auto"/>
            <w:vAlign w:val="center"/>
            <w:hideMark/>
          </w:tcPr>
          <w:p w:rsidR="00C2233D" w:rsidRPr="00C2233D" w:rsidRDefault="00C2233D" w:rsidP="00C2233D">
            <w:r w:rsidRPr="00C2233D">
              <w:t>Plateforme technologique, licences EME, capital financier, réseau d’agents, équipe experte, partenariats bancaires et télécoms, marque et réputation.</w:t>
            </w:r>
          </w:p>
        </w:tc>
      </w:tr>
      <w:tr w:rsidR="00C2233D" w:rsidRPr="00C2233D">
        <w:trPr>
          <w:tblCellSpacing w:w="15" w:type="dxa"/>
        </w:trPr>
        <w:tc>
          <w:tcPr>
            <w:tcW w:w="0" w:type="auto"/>
            <w:vAlign w:val="center"/>
            <w:hideMark/>
          </w:tcPr>
          <w:p w:rsidR="00C2233D" w:rsidRPr="00C2233D" w:rsidRDefault="00C2233D" w:rsidP="00C2233D">
            <w:r w:rsidRPr="00C2233D">
              <w:rPr>
                <w:b/>
                <w:bCs/>
              </w:rPr>
              <w:t>Propositions de valeur</w:t>
            </w:r>
          </w:p>
        </w:tc>
        <w:tc>
          <w:tcPr>
            <w:tcW w:w="0" w:type="auto"/>
            <w:vAlign w:val="center"/>
            <w:hideMark/>
          </w:tcPr>
          <w:p w:rsidR="00C2233D" w:rsidRPr="00C2233D" w:rsidRDefault="00C2233D" w:rsidP="00C2233D">
            <w:r w:rsidRPr="00C2233D">
              <w:t>Solution de paiement universelle, simple et sécurisée, accessible via smartphone ou USSD, services financiers complémentaires (épargne, crédit), frais compétitifs, interopérabilité et multi</w:t>
            </w:r>
            <w:r w:rsidRPr="00C2233D">
              <w:noBreakHyphen/>
              <w:t>langue.</w:t>
            </w:r>
          </w:p>
        </w:tc>
      </w:tr>
      <w:tr w:rsidR="00C2233D" w:rsidRPr="00C2233D">
        <w:trPr>
          <w:tblCellSpacing w:w="15" w:type="dxa"/>
        </w:trPr>
        <w:tc>
          <w:tcPr>
            <w:tcW w:w="0" w:type="auto"/>
            <w:vAlign w:val="center"/>
            <w:hideMark/>
          </w:tcPr>
          <w:p w:rsidR="00C2233D" w:rsidRPr="00C2233D" w:rsidRDefault="00C2233D" w:rsidP="00C2233D">
            <w:r w:rsidRPr="00C2233D">
              <w:rPr>
                <w:b/>
                <w:bCs/>
              </w:rPr>
              <w:t>Relations client</w:t>
            </w:r>
          </w:p>
        </w:tc>
        <w:tc>
          <w:tcPr>
            <w:tcW w:w="0" w:type="auto"/>
            <w:vAlign w:val="center"/>
            <w:hideMark/>
          </w:tcPr>
          <w:p w:rsidR="00C2233D" w:rsidRPr="00C2233D" w:rsidRDefault="00C2233D" w:rsidP="00C2233D">
            <w:r w:rsidRPr="00C2233D">
              <w:t>Service client multicanal, programmes de fidélité, transparence tarifaire, communication éducative, assistance personnalisée pour les PME.</w:t>
            </w:r>
          </w:p>
        </w:tc>
      </w:tr>
      <w:tr w:rsidR="00C2233D" w:rsidRPr="00C2233D">
        <w:trPr>
          <w:tblCellSpacing w:w="15" w:type="dxa"/>
        </w:trPr>
        <w:tc>
          <w:tcPr>
            <w:tcW w:w="0" w:type="auto"/>
            <w:vAlign w:val="center"/>
            <w:hideMark/>
          </w:tcPr>
          <w:p w:rsidR="00C2233D" w:rsidRPr="00C2233D" w:rsidRDefault="00C2233D" w:rsidP="00C2233D">
            <w:r w:rsidRPr="00C2233D">
              <w:rPr>
                <w:b/>
                <w:bCs/>
              </w:rPr>
              <w:t>Canaux de distribution</w:t>
            </w:r>
          </w:p>
        </w:tc>
        <w:tc>
          <w:tcPr>
            <w:tcW w:w="0" w:type="auto"/>
            <w:vAlign w:val="center"/>
            <w:hideMark/>
          </w:tcPr>
          <w:p w:rsidR="00C2233D" w:rsidRPr="00C2233D" w:rsidRDefault="00C2233D" w:rsidP="00C2233D">
            <w:r w:rsidRPr="00C2233D">
              <w:t xml:space="preserve">Réseau d’agents, applications mobiles, portail web, USSD, points de vente partenaires, API B2B, plateformes de </w:t>
            </w:r>
            <w:proofErr w:type="spellStart"/>
            <w:r w:rsidRPr="00C2233D">
              <w:t>remittance</w:t>
            </w:r>
            <w:proofErr w:type="spellEnd"/>
            <w:r w:rsidRPr="00C2233D">
              <w:t>.</w:t>
            </w:r>
          </w:p>
        </w:tc>
      </w:tr>
      <w:tr w:rsidR="00C2233D" w:rsidRPr="00C2233D">
        <w:trPr>
          <w:tblCellSpacing w:w="15" w:type="dxa"/>
        </w:trPr>
        <w:tc>
          <w:tcPr>
            <w:tcW w:w="0" w:type="auto"/>
            <w:vAlign w:val="center"/>
            <w:hideMark/>
          </w:tcPr>
          <w:p w:rsidR="00C2233D" w:rsidRPr="00C2233D" w:rsidRDefault="00C2233D" w:rsidP="00C2233D">
            <w:r w:rsidRPr="00C2233D">
              <w:rPr>
                <w:b/>
                <w:bCs/>
              </w:rPr>
              <w:t>Segments de clients</w:t>
            </w:r>
          </w:p>
        </w:tc>
        <w:tc>
          <w:tcPr>
            <w:tcW w:w="0" w:type="auto"/>
            <w:vAlign w:val="center"/>
            <w:hideMark/>
          </w:tcPr>
          <w:p w:rsidR="00C2233D" w:rsidRPr="00C2233D" w:rsidRDefault="00C2233D" w:rsidP="00C2233D">
            <w:r w:rsidRPr="00C2233D">
              <w:t>Particuliers (urbains et ruraux), PME et commerçants, institutions publiques, diasporas, ONG et programmes sociaux.</w:t>
            </w:r>
          </w:p>
        </w:tc>
      </w:tr>
      <w:tr w:rsidR="00C2233D" w:rsidRPr="00C2233D">
        <w:trPr>
          <w:tblCellSpacing w:w="15" w:type="dxa"/>
        </w:trPr>
        <w:tc>
          <w:tcPr>
            <w:tcW w:w="0" w:type="auto"/>
            <w:vAlign w:val="center"/>
            <w:hideMark/>
          </w:tcPr>
          <w:p w:rsidR="00C2233D" w:rsidRPr="00C2233D" w:rsidRDefault="00C2233D" w:rsidP="00C2233D">
            <w:r w:rsidRPr="00C2233D">
              <w:rPr>
                <w:b/>
                <w:bCs/>
              </w:rPr>
              <w:t>Structure de coûts</w:t>
            </w:r>
          </w:p>
        </w:tc>
        <w:tc>
          <w:tcPr>
            <w:tcW w:w="0" w:type="auto"/>
            <w:vAlign w:val="center"/>
            <w:hideMark/>
          </w:tcPr>
          <w:p w:rsidR="00C2233D" w:rsidRPr="00C2233D" w:rsidRDefault="00C2233D" w:rsidP="00C2233D">
            <w:r w:rsidRPr="00C2233D">
              <w:t>Développement et maintenance de la plateforme, licences réglementaires, salaires et formation, marketing et communication, commissions versées aux agents, infrastructure cloud, sécurité et conformité.</w:t>
            </w:r>
          </w:p>
        </w:tc>
      </w:tr>
      <w:tr w:rsidR="00C2233D" w:rsidRPr="00C2233D">
        <w:trPr>
          <w:tblCellSpacing w:w="15" w:type="dxa"/>
        </w:trPr>
        <w:tc>
          <w:tcPr>
            <w:tcW w:w="0" w:type="auto"/>
            <w:vAlign w:val="center"/>
            <w:hideMark/>
          </w:tcPr>
          <w:p w:rsidR="00C2233D" w:rsidRPr="00C2233D" w:rsidRDefault="00C2233D" w:rsidP="00C2233D">
            <w:r w:rsidRPr="00C2233D">
              <w:rPr>
                <w:b/>
                <w:bCs/>
              </w:rPr>
              <w:t>Revenus</w:t>
            </w:r>
          </w:p>
        </w:tc>
        <w:tc>
          <w:tcPr>
            <w:tcW w:w="0" w:type="auto"/>
            <w:vAlign w:val="center"/>
            <w:hideMark/>
          </w:tcPr>
          <w:p w:rsidR="00C2233D" w:rsidRPr="00C2233D" w:rsidRDefault="00C2233D" w:rsidP="00C2233D">
            <w:r w:rsidRPr="00C2233D">
              <w:t xml:space="preserve">Commissions sur les transactions, abonnements premium, frais d’intégration marchande, revenus d’intérêts sur le </w:t>
            </w:r>
            <w:proofErr w:type="spellStart"/>
            <w:r w:rsidRPr="00C2233D">
              <w:t>float</w:t>
            </w:r>
            <w:proofErr w:type="spellEnd"/>
            <w:r w:rsidRPr="00C2233D">
              <w:t>, revenus des cartes, publicités ciblées.</w:t>
            </w:r>
          </w:p>
        </w:tc>
      </w:tr>
    </w:tbl>
    <w:p w:rsidR="00C2233D" w:rsidRPr="00C2233D" w:rsidRDefault="00C2233D" w:rsidP="00C2233D">
      <w:pPr>
        <w:rPr>
          <w:b/>
          <w:bCs/>
        </w:rPr>
      </w:pPr>
      <w:r w:rsidRPr="00C2233D">
        <w:rPr>
          <w:b/>
          <w:bCs/>
        </w:rPr>
        <w:t>11. Plan de développement</w:t>
      </w:r>
    </w:p>
    <w:p w:rsidR="00C2233D" w:rsidRPr="00C2233D" w:rsidRDefault="00C2233D" w:rsidP="00C2233D">
      <w:pPr>
        <w:rPr>
          <w:b/>
          <w:bCs/>
        </w:rPr>
      </w:pPr>
      <w:r w:rsidRPr="00C2233D">
        <w:rPr>
          <w:b/>
          <w:bCs/>
        </w:rPr>
        <w:t>11.1 Phase 1 : Préparation et lancement pilote (Année 1)</w:t>
      </w:r>
    </w:p>
    <w:p w:rsidR="00C2233D" w:rsidRPr="00C2233D" w:rsidRDefault="00C2233D" w:rsidP="00C2233D">
      <w:pPr>
        <w:numPr>
          <w:ilvl w:val="0"/>
          <w:numId w:val="26"/>
        </w:numPr>
      </w:pPr>
      <w:r w:rsidRPr="00C2233D">
        <w:rPr>
          <w:b/>
          <w:bCs/>
        </w:rPr>
        <w:t>Études de faisabilité et benchmark</w:t>
      </w:r>
      <w:r w:rsidRPr="00C2233D">
        <w:t> : analyse approfondie du marché, de la concurrence et de l’environnement réglementaire.</w:t>
      </w:r>
    </w:p>
    <w:p w:rsidR="00C2233D" w:rsidRPr="00C2233D" w:rsidRDefault="00C2233D" w:rsidP="00C2233D">
      <w:pPr>
        <w:numPr>
          <w:ilvl w:val="0"/>
          <w:numId w:val="26"/>
        </w:numPr>
      </w:pPr>
      <w:r w:rsidRPr="00C2233D">
        <w:rPr>
          <w:b/>
          <w:bCs/>
        </w:rPr>
        <w:t>Obtention des licences</w:t>
      </w:r>
      <w:r w:rsidRPr="00C2233D">
        <w:t> : constitution de la société, dépôt du dossier auprès de la BCC et l’ARPTC, sécurisation du capital minimum.</w:t>
      </w:r>
    </w:p>
    <w:p w:rsidR="00C2233D" w:rsidRPr="00C2233D" w:rsidRDefault="00C2233D" w:rsidP="00C2233D">
      <w:pPr>
        <w:numPr>
          <w:ilvl w:val="0"/>
          <w:numId w:val="26"/>
        </w:numPr>
      </w:pPr>
      <w:r w:rsidRPr="00C2233D">
        <w:rPr>
          <w:b/>
          <w:bCs/>
        </w:rPr>
        <w:lastRenderedPageBreak/>
        <w:t>Développement de la plateforme</w:t>
      </w:r>
      <w:r w:rsidRPr="00C2233D">
        <w:t xml:space="preserve"> : conception de l’architecture, développement des applications mobiles, du portail web et des interfaces USSD. Mise en place des modules KYC/AML, </w:t>
      </w:r>
      <w:proofErr w:type="spellStart"/>
      <w:r w:rsidRPr="00C2233D">
        <w:t>reporting</w:t>
      </w:r>
      <w:proofErr w:type="spellEnd"/>
      <w:r w:rsidRPr="00C2233D">
        <w:t xml:space="preserve"> réglementaire et sécurité.</w:t>
      </w:r>
    </w:p>
    <w:p w:rsidR="00C2233D" w:rsidRPr="00C2233D" w:rsidRDefault="00C2233D" w:rsidP="00C2233D">
      <w:pPr>
        <w:numPr>
          <w:ilvl w:val="0"/>
          <w:numId w:val="26"/>
        </w:numPr>
      </w:pPr>
      <w:r w:rsidRPr="00C2233D">
        <w:rPr>
          <w:b/>
          <w:bCs/>
        </w:rPr>
        <w:t>Recrutement et formation</w:t>
      </w:r>
      <w:r w:rsidRPr="00C2233D">
        <w:t xml:space="preserve"> : constitution de l’équipe </w:t>
      </w:r>
      <w:proofErr w:type="spellStart"/>
      <w:r w:rsidRPr="00C2233D">
        <w:t>core</w:t>
      </w:r>
      <w:proofErr w:type="spellEnd"/>
      <w:r w:rsidRPr="00C2233D">
        <w:t>, recrutement des premiers agents et formation aux procédures.</w:t>
      </w:r>
    </w:p>
    <w:p w:rsidR="00C2233D" w:rsidRPr="00C2233D" w:rsidRDefault="00C2233D" w:rsidP="00C2233D">
      <w:pPr>
        <w:numPr>
          <w:ilvl w:val="0"/>
          <w:numId w:val="26"/>
        </w:numPr>
      </w:pPr>
      <w:r w:rsidRPr="00C2233D">
        <w:rPr>
          <w:b/>
          <w:bCs/>
        </w:rPr>
        <w:t>Tests pilotes</w:t>
      </w:r>
      <w:r w:rsidRPr="00C2233D">
        <w:t> : lancement d’un pilote à Kinshasa pour 10 000 utilisateurs, avec un réseau d’une centaine d’agents. Évaluation des processus, collecte des retours et ajustements.</w:t>
      </w:r>
    </w:p>
    <w:p w:rsidR="00C2233D" w:rsidRPr="00C2233D" w:rsidRDefault="00C2233D" w:rsidP="00C2233D">
      <w:pPr>
        <w:numPr>
          <w:ilvl w:val="0"/>
          <w:numId w:val="26"/>
        </w:numPr>
      </w:pPr>
      <w:r w:rsidRPr="00C2233D">
        <w:rPr>
          <w:b/>
          <w:bCs/>
        </w:rPr>
        <w:t>Campagne de communication initiale</w:t>
      </w:r>
      <w:r w:rsidRPr="00C2233D">
        <w:t> : événements de lancement, partenariats avec universités et ONG pour sensibiliser sur l’inclusion financière.</w:t>
      </w:r>
    </w:p>
    <w:p w:rsidR="00C2233D" w:rsidRPr="00C2233D" w:rsidRDefault="00C2233D" w:rsidP="00C2233D">
      <w:pPr>
        <w:rPr>
          <w:b/>
          <w:bCs/>
        </w:rPr>
      </w:pPr>
      <w:r w:rsidRPr="00C2233D">
        <w:rPr>
          <w:b/>
          <w:bCs/>
        </w:rPr>
        <w:t>11.2 Phase 2 : Expansion nationale (Années 2 à 3)</w:t>
      </w:r>
    </w:p>
    <w:p w:rsidR="00C2233D" w:rsidRPr="00C2233D" w:rsidRDefault="00C2233D" w:rsidP="00C2233D">
      <w:pPr>
        <w:numPr>
          <w:ilvl w:val="0"/>
          <w:numId w:val="27"/>
        </w:numPr>
      </w:pPr>
      <w:r w:rsidRPr="00C2233D">
        <w:rPr>
          <w:b/>
          <w:bCs/>
        </w:rPr>
        <w:t>Extension à Lubumbashi et Goma</w:t>
      </w:r>
      <w:r w:rsidRPr="00C2233D">
        <w:t> : renforcement du réseau d’agents (1 000 agents supplémentaires) et signature de partenariats avec les banques locales.</w:t>
      </w:r>
    </w:p>
    <w:p w:rsidR="00C2233D" w:rsidRPr="00C2233D" w:rsidRDefault="00C2233D" w:rsidP="00C2233D">
      <w:pPr>
        <w:numPr>
          <w:ilvl w:val="0"/>
          <w:numId w:val="27"/>
        </w:numPr>
      </w:pPr>
      <w:r w:rsidRPr="00C2233D">
        <w:rPr>
          <w:b/>
          <w:bCs/>
        </w:rPr>
        <w:t>Intégration de services avancés</w:t>
      </w:r>
      <w:r w:rsidRPr="00C2233D">
        <w:t> : lancement de la micro</w:t>
      </w:r>
      <w:r w:rsidRPr="00C2233D">
        <w:noBreakHyphen/>
        <w:t>épargne et du micro</w:t>
      </w:r>
      <w:r w:rsidRPr="00C2233D">
        <w:noBreakHyphen/>
        <w:t>crédit, introduction des cartes prépayées.</w:t>
      </w:r>
    </w:p>
    <w:p w:rsidR="00C2233D" w:rsidRPr="00C2233D" w:rsidRDefault="00C2233D" w:rsidP="00C2233D">
      <w:pPr>
        <w:numPr>
          <w:ilvl w:val="0"/>
          <w:numId w:val="27"/>
        </w:numPr>
      </w:pPr>
      <w:r w:rsidRPr="00C2233D">
        <w:rPr>
          <w:b/>
          <w:bCs/>
        </w:rPr>
        <w:t>Campagnes marketing ciblées</w:t>
      </w:r>
      <w:r w:rsidRPr="00C2233D">
        <w:t> : campagnes régionales sur les réseaux sociaux et la radio. Mise en place de programmes de parrainage.</w:t>
      </w:r>
    </w:p>
    <w:p w:rsidR="00C2233D" w:rsidRPr="00C2233D" w:rsidRDefault="00C2233D" w:rsidP="00C2233D">
      <w:pPr>
        <w:numPr>
          <w:ilvl w:val="0"/>
          <w:numId w:val="27"/>
        </w:numPr>
      </w:pPr>
      <w:r w:rsidRPr="00C2233D">
        <w:rPr>
          <w:b/>
          <w:bCs/>
        </w:rPr>
        <w:t>Optimisation des coûts</w:t>
      </w:r>
      <w:r w:rsidRPr="00C2233D">
        <w:t> : négociations avec les opérateurs pour réduire les frais de bande passante et de communication.</w:t>
      </w:r>
    </w:p>
    <w:p w:rsidR="00C2233D" w:rsidRPr="00C2233D" w:rsidRDefault="00C2233D" w:rsidP="00C2233D">
      <w:pPr>
        <w:numPr>
          <w:ilvl w:val="0"/>
          <w:numId w:val="27"/>
        </w:numPr>
      </w:pPr>
      <w:r w:rsidRPr="00C2233D">
        <w:rPr>
          <w:b/>
          <w:bCs/>
        </w:rPr>
        <w:t>Renforcement de la conformité</w:t>
      </w:r>
      <w:r w:rsidRPr="00C2233D">
        <w:t xml:space="preserve"> : intégration d’outils de machine </w:t>
      </w:r>
      <w:proofErr w:type="spellStart"/>
      <w:r w:rsidRPr="00C2233D">
        <w:t>learning</w:t>
      </w:r>
      <w:proofErr w:type="spellEnd"/>
      <w:r w:rsidRPr="00C2233D">
        <w:t xml:space="preserve"> pour la détection de fraudes et mise à jour régulière des politiques KYC.</w:t>
      </w:r>
    </w:p>
    <w:p w:rsidR="00C2233D" w:rsidRPr="00C2233D" w:rsidRDefault="00C2233D" w:rsidP="00C2233D">
      <w:pPr>
        <w:rPr>
          <w:b/>
          <w:bCs/>
        </w:rPr>
      </w:pPr>
      <w:r w:rsidRPr="00C2233D">
        <w:rPr>
          <w:b/>
          <w:bCs/>
        </w:rPr>
        <w:t>11.3 Phase 3 : Diversification et exportation (Années 4 à 5)</w:t>
      </w:r>
    </w:p>
    <w:p w:rsidR="00C2233D" w:rsidRPr="00C2233D" w:rsidRDefault="00C2233D" w:rsidP="00C2233D">
      <w:pPr>
        <w:numPr>
          <w:ilvl w:val="0"/>
          <w:numId w:val="28"/>
        </w:numPr>
      </w:pPr>
      <w:r w:rsidRPr="00C2233D">
        <w:rPr>
          <w:b/>
          <w:bCs/>
        </w:rPr>
        <w:t>Introduction de nouveaux services</w:t>
      </w:r>
      <w:r w:rsidRPr="00C2233D">
        <w:t xml:space="preserve"> : assurances paramétriques (récoltes, santé), paiement de taxes et d’impôts, programmes de fidélité avec des chaînes de supermarchés, intégration de </w:t>
      </w:r>
      <w:proofErr w:type="spellStart"/>
      <w:r w:rsidRPr="00C2233D">
        <w:t>wallets</w:t>
      </w:r>
      <w:proofErr w:type="spellEnd"/>
      <w:r w:rsidRPr="00C2233D">
        <w:t xml:space="preserve"> en devises étrangères (USD, EUR).</w:t>
      </w:r>
    </w:p>
    <w:p w:rsidR="00C2233D" w:rsidRPr="00C2233D" w:rsidRDefault="00C2233D" w:rsidP="00C2233D">
      <w:pPr>
        <w:numPr>
          <w:ilvl w:val="0"/>
          <w:numId w:val="28"/>
        </w:numPr>
      </w:pPr>
      <w:r w:rsidRPr="00C2233D">
        <w:rPr>
          <w:b/>
          <w:bCs/>
        </w:rPr>
        <w:t>Déploiement dans d’autres pays de la région</w:t>
      </w:r>
      <w:r w:rsidRPr="00C2233D">
        <w:t> : étude des marchés voisins (Congo-Brazzaville, Rwanda, Angola) et obtention des licences nécessaires.</w:t>
      </w:r>
    </w:p>
    <w:p w:rsidR="00C2233D" w:rsidRPr="00C2233D" w:rsidRDefault="00C2233D" w:rsidP="00C2233D">
      <w:pPr>
        <w:numPr>
          <w:ilvl w:val="0"/>
          <w:numId w:val="28"/>
        </w:numPr>
      </w:pPr>
      <w:r w:rsidRPr="00C2233D">
        <w:rPr>
          <w:b/>
          <w:bCs/>
        </w:rPr>
        <w:t>Partenariats avec la diaspora</w:t>
      </w:r>
      <w:r w:rsidRPr="00C2233D">
        <w:t xml:space="preserve"> : intégration avec les plateformes de transfert internationales (Western Union, </w:t>
      </w:r>
      <w:proofErr w:type="spellStart"/>
      <w:r w:rsidRPr="00C2233D">
        <w:t>MoneyGram</w:t>
      </w:r>
      <w:proofErr w:type="spellEnd"/>
      <w:r w:rsidRPr="00C2233D">
        <w:t>) pour capter les remises et proposer des frais compétitifs.</w:t>
      </w:r>
    </w:p>
    <w:p w:rsidR="00C2233D" w:rsidRPr="00C2233D" w:rsidRDefault="00C2233D" w:rsidP="00C2233D">
      <w:pPr>
        <w:numPr>
          <w:ilvl w:val="0"/>
          <w:numId w:val="28"/>
        </w:numPr>
      </w:pPr>
      <w:r w:rsidRPr="00C2233D">
        <w:rPr>
          <w:b/>
          <w:bCs/>
        </w:rPr>
        <w:t xml:space="preserve">Développement de l’open </w:t>
      </w:r>
      <w:proofErr w:type="spellStart"/>
      <w:r w:rsidRPr="00C2233D">
        <w:rPr>
          <w:b/>
          <w:bCs/>
        </w:rPr>
        <w:t>banking</w:t>
      </w:r>
      <w:proofErr w:type="spellEnd"/>
      <w:r w:rsidRPr="00C2233D">
        <w:t> : ouverture des APIs à des fintechs tierces pour développer de nouvelles applications (micro</w:t>
      </w:r>
      <w:r w:rsidRPr="00C2233D">
        <w:noBreakHyphen/>
        <w:t>assurance, micro</w:t>
      </w:r>
      <w:r w:rsidRPr="00C2233D">
        <w:noBreakHyphen/>
        <w:t>investissement, éducation financière).</w:t>
      </w:r>
    </w:p>
    <w:p w:rsidR="00C2233D" w:rsidRPr="00C2233D" w:rsidRDefault="00C2233D" w:rsidP="00C2233D">
      <w:pPr>
        <w:rPr>
          <w:b/>
          <w:bCs/>
        </w:rPr>
      </w:pPr>
      <w:r w:rsidRPr="00C2233D">
        <w:rPr>
          <w:b/>
          <w:bCs/>
        </w:rPr>
        <w:t>11.4 Phase 4 : Consolidation et leadership (Années 6 à 10)</w:t>
      </w:r>
    </w:p>
    <w:p w:rsidR="00C2233D" w:rsidRPr="00C2233D" w:rsidRDefault="00C2233D" w:rsidP="00C2233D">
      <w:pPr>
        <w:numPr>
          <w:ilvl w:val="0"/>
          <w:numId w:val="29"/>
        </w:numPr>
      </w:pPr>
      <w:r w:rsidRPr="00C2233D">
        <w:rPr>
          <w:b/>
          <w:bCs/>
        </w:rPr>
        <w:lastRenderedPageBreak/>
        <w:t>Expansion vers les super</w:t>
      </w:r>
      <w:r w:rsidRPr="00C2233D">
        <w:rPr>
          <w:b/>
          <w:bCs/>
        </w:rPr>
        <w:noBreakHyphen/>
        <w:t>apps</w:t>
      </w:r>
      <w:r w:rsidRPr="00C2233D">
        <w:t> : intégration de services de mobilité (achat de billets de transport), de santé (télémédecine), de commerce (marketplace) et de divertissement (billetterie, streaming).</w:t>
      </w:r>
    </w:p>
    <w:p w:rsidR="00C2233D" w:rsidRPr="00C2233D" w:rsidRDefault="00C2233D" w:rsidP="00C2233D">
      <w:pPr>
        <w:numPr>
          <w:ilvl w:val="0"/>
          <w:numId w:val="29"/>
        </w:numPr>
      </w:pPr>
      <w:r w:rsidRPr="00C2233D">
        <w:rPr>
          <w:b/>
          <w:bCs/>
        </w:rPr>
        <w:t>Introduction d’une bourse des petites entreprises</w:t>
      </w:r>
      <w:r w:rsidRPr="00C2233D">
        <w:t> : plateforme d’investissement participatif pour financer les start</w:t>
      </w:r>
      <w:r w:rsidRPr="00C2233D">
        <w:noBreakHyphen/>
        <w:t>ups locales.</w:t>
      </w:r>
    </w:p>
    <w:p w:rsidR="00C2233D" w:rsidRPr="00C2233D" w:rsidRDefault="00C2233D" w:rsidP="00C2233D">
      <w:pPr>
        <w:numPr>
          <w:ilvl w:val="0"/>
          <w:numId w:val="29"/>
        </w:numPr>
      </w:pPr>
      <w:r w:rsidRPr="00C2233D">
        <w:rPr>
          <w:b/>
          <w:bCs/>
        </w:rPr>
        <w:t>Optimisation financière</w:t>
      </w:r>
      <w:r w:rsidRPr="00C2233D">
        <w:t> : amélioration de la rentabilité par la segmentation des tarifs et l’automatisation des processus. Diversification des sources de revenus via la vente de données anonymisées (big data) aux institutions (avec consentement et respect des lois sur la vie privée).</w:t>
      </w:r>
    </w:p>
    <w:p w:rsidR="00C2233D" w:rsidRPr="00C2233D" w:rsidRDefault="00C2233D" w:rsidP="00C2233D">
      <w:pPr>
        <w:numPr>
          <w:ilvl w:val="0"/>
          <w:numId w:val="29"/>
        </w:numPr>
      </w:pPr>
      <w:r w:rsidRPr="00C2233D">
        <w:rPr>
          <w:b/>
          <w:bCs/>
        </w:rPr>
        <w:t>Responsabilité sociétale</w:t>
      </w:r>
      <w:r w:rsidRPr="00C2233D">
        <w:t> : création d’un fonds d’innovation pour soutenir les initiatives locales en éducation financière, entrepreneuriat féminin et transition écologique.</w:t>
      </w:r>
    </w:p>
    <w:p w:rsidR="00C2233D" w:rsidRPr="00C2233D" w:rsidRDefault="00C2233D" w:rsidP="00C2233D">
      <w:pPr>
        <w:rPr>
          <w:b/>
          <w:bCs/>
        </w:rPr>
      </w:pPr>
      <w:r w:rsidRPr="00C2233D">
        <w:rPr>
          <w:b/>
          <w:bCs/>
        </w:rPr>
        <w:t>12. Impact social, économique et environnemental</w:t>
      </w:r>
    </w:p>
    <w:p w:rsidR="00C2233D" w:rsidRPr="00C2233D" w:rsidRDefault="00C2233D" w:rsidP="00C2233D">
      <w:pPr>
        <w:rPr>
          <w:b/>
          <w:bCs/>
        </w:rPr>
      </w:pPr>
      <w:r w:rsidRPr="00C2233D">
        <w:rPr>
          <w:b/>
          <w:bCs/>
        </w:rPr>
        <w:t>12.1 Impact social</w:t>
      </w:r>
    </w:p>
    <w:p w:rsidR="00C2233D" w:rsidRPr="00C2233D" w:rsidRDefault="00C2233D" w:rsidP="00C2233D">
      <w:pPr>
        <w:numPr>
          <w:ilvl w:val="0"/>
          <w:numId w:val="30"/>
        </w:numPr>
      </w:pPr>
      <w:r w:rsidRPr="00C2233D">
        <w:rPr>
          <w:b/>
          <w:bCs/>
        </w:rPr>
        <w:t>Inclusion financière</w:t>
      </w:r>
      <w:r w:rsidRPr="00C2233D">
        <w:t> : en offrant un accès facile aux services financiers via le téléphone, l’e</w:t>
      </w:r>
      <w:r w:rsidRPr="00C2233D">
        <w:noBreakHyphen/>
      </w:r>
      <w:proofErr w:type="spellStart"/>
      <w:r w:rsidRPr="00C2233D">
        <w:t>wallet</w:t>
      </w:r>
      <w:proofErr w:type="spellEnd"/>
      <w:r w:rsidRPr="00C2233D">
        <w:t xml:space="preserve"> contribuera à réduire le nombre de personnes non bancarisées (25 millions actuellement</w:t>
      </w:r>
      <w:hyperlink r:id="rId21" w:anchor=":~:text=Financial%20Inclusion" w:tgtFrame="_blank" w:history="1">
        <w:r w:rsidRPr="00C2233D">
          <w:rPr>
            <w:rStyle w:val="Lienhypertexte"/>
          </w:rPr>
          <w:t>mfw4a.org</w:t>
        </w:r>
      </w:hyperlink>
      <w:r w:rsidRPr="00C2233D">
        <w:t>). Les populations rurales et les femmes, souvent marginalisées, pourront gérer leurs revenus et accéder au crédit.</w:t>
      </w:r>
    </w:p>
    <w:p w:rsidR="00C2233D" w:rsidRPr="00C2233D" w:rsidRDefault="00C2233D" w:rsidP="00C2233D">
      <w:pPr>
        <w:numPr>
          <w:ilvl w:val="0"/>
          <w:numId w:val="30"/>
        </w:numPr>
      </w:pPr>
      <w:r w:rsidRPr="00C2233D">
        <w:rPr>
          <w:b/>
          <w:bCs/>
        </w:rPr>
        <w:t>Autonomisation des femmes et des jeunes</w:t>
      </w:r>
      <w:r w:rsidRPr="00C2233D">
        <w:t> : les programmes de micro</w:t>
      </w:r>
      <w:r w:rsidRPr="00C2233D">
        <w:noBreakHyphen/>
        <w:t>épargne et de micro</w:t>
      </w:r>
      <w:r w:rsidRPr="00C2233D">
        <w:noBreakHyphen/>
        <w:t>crédit encourageront l’entrepreneuriat féminin et l’auto</w:t>
      </w:r>
      <w:r w:rsidRPr="00C2233D">
        <w:noBreakHyphen/>
        <w:t>emploi des jeunes.</w:t>
      </w:r>
    </w:p>
    <w:p w:rsidR="00C2233D" w:rsidRPr="00C2233D" w:rsidRDefault="00C2233D" w:rsidP="00C2233D">
      <w:pPr>
        <w:numPr>
          <w:ilvl w:val="0"/>
          <w:numId w:val="30"/>
        </w:numPr>
      </w:pPr>
      <w:r w:rsidRPr="00C2233D">
        <w:rPr>
          <w:b/>
          <w:bCs/>
        </w:rPr>
        <w:t>Sécurité des transactions</w:t>
      </w:r>
      <w:r w:rsidRPr="00C2233D">
        <w:t> : la réduction de l’utilisation du cash diminue les risques de vol, d’agression et de corruption. Les paiements électroniques laissent des traces et favorisent la transparence.</w:t>
      </w:r>
    </w:p>
    <w:p w:rsidR="00C2233D" w:rsidRPr="00C2233D" w:rsidRDefault="00C2233D" w:rsidP="00C2233D">
      <w:pPr>
        <w:rPr>
          <w:b/>
          <w:bCs/>
        </w:rPr>
      </w:pPr>
      <w:r w:rsidRPr="00C2233D">
        <w:rPr>
          <w:b/>
          <w:bCs/>
        </w:rPr>
        <w:t>12.2 Impact économique</w:t>
      </w:r>
    </w:p>
    <w:p w:rsidR="00C2233D" w:rsidRPr="00C2233D" w:rsidRDefault="00C2233D" w:rsidP="00C2233D">
      <w:pPr>
        <w:numPr>
          <w:ilvl w:val="0"/>
          <w:numId w:val="31"/>
        </w:numPr>
      </w:pPr>
      <w:r w:rsidRPr="00C2233D">
        <w:rPr>
          <w:b/>
          <w:bCs/>
        </w:rPr>
        <w:t>Augmentation de la productivité</w:t>
      </w:r>
      <w:r w:rsidRPr="00C2233D">
        <w:t> : les paiements rapides et fiables réduisent les coûts de transaction, accélèrent les ventes et améliorent la gestion de trésorerie des PME. Les entreprises pourront se concentrer sur leur cœur de métier plutôt que sur la manipulation de cash.</w:t>
      </w:r>
    </w:p>
    <w:p w:rsidR="00C2233D" w:rsidRPr="00C2233D" w:rsidRDefault="00C2233D" w:rsidP="00C2233D">
      <w:pPr>
        <w:numPr>
          <w:ilvl w:val="0"/>
          <w:numId w:val="31"/>
        </w:numPr>
      </w:pPr>
      <w:r w:rsidRPr="00C2233D">
        <w:rPr>
          <w:b/>
          <w:bCs/>
        </w:rPr>
        <w:t>Croissance du PIB</w:t>
      </w:r>
      <w:r w:rsidRPr="00C2233D">
        <w:t> : la formalisation des flux financiers améliore l’efficacité fiscale et la collecte de taxes. L’e</w:t>
      </w:r>
      <w:r w:rsidRPr="00C2233D">
        <w:noBreakHyphen/>
      </w:r>
      <w:proofErr w:type="spellStart"/>
      <w:r w:rsidRPr="00C2233D">
        <w:t>wallet</w:t>
      </w:r>
      <w:proofErr w:type="spellEnd"/>
      <w:r w:rsidRPr="00C2233D">
        <w:t xml:space="preserve"> contribuera à la mobilisation des recettes internes et à la croissance de l’économie numérique.</w:t>
      </w:r>
    </w:p>
    <w:p w:rsidR="00C2233D" w:rsidRPr="00C2233D" w:rsidRDefault="00C2233D" w:rsidP="00C2233D">
      <w:pPr>
        <w:numPr>
          <w:ilvl w:val="0"/>
          <w:numId w:val="31"/>
        </w:numPr>
      </w:pPr>
      <w:r w:rsidRPr="00C2233D">
        <w:rPr>
          <w:b/>
          <w:bCs/>
        </w:rPr>
        <w:t>Création d’emplois</w:t>
      </w:r>
      <w:r w:rsidRPr="00C2233D">
        <w:t> : le projet engendrera plus de 10 000 emplois directs (agents, équipes IT, service client) et des milliers d’emplois indirects (vendeurs, développeurs, formateurs).</w:t>
      </w:r>
    </w:p>
    <w:p w:rsidR="00C2233D" w:rsidRPr="00C2233D" w:rsidRDefault="00C2233D" w:rsidP="00C2233D">
      <w:pPr>
        <w:rPr>
          <w:b/>
          <w:bCs/>
        </w:rPr>
      </w:pPr>
      <w:r w:rsidRPr="00C2233D">
        <w:rPr>
          <w:b/>
          <w:bCs/>
        </w:rPr>
        <w:t>12.3 Impact environnemental</w:t>
      </w:r>
    </w:p>
    <w:p w:rsidR="00C2233D" w:rsidRPr="00C2233D" w:rsidRDefault="00C2233D" w:rsidP="00C2233D">
      <w:pPr>
        <w:numPr>
          <w:ilvl w:val="0"/>
          <w:numId w:val="32"/>
        </w:numPr>
      </w:pPr>
      <w:r w:rsidRPr="00C2233D">
        <w:rPr>
          <w:b/>
          <w:bCs/>
        </w:rPr>
        <w:lastRenderedPageBreak/>
        <w:t>Réduction de l’empreinte écologique</w:t>
      </w:r>
      <w:r w:rsidRPr="00C2233D">
        <w:t> : la digitalisation limite l’usage du papier (tickets de caisse, carnets de chèques) et diminue la consommation de ressources naturelles.</w:t>
      </w:r>
    </w:p>
    <w:p w:rsidR="00C2233D" w:rsidRPr="00C2233D" w:rsidRDefault="00C2233D" w:rsidP="00C2233D">
      <w:pPr>
        <w:numPr>
          <w:ilvl w:val="0"/>
          <w:numId w:val="32"/>
        </w:numPr>
      </w:pPr>
      <w:r w:rsidRPr="00C2233D">
        <w:rPr>
          <w:b/>
          <w:bCs/>
        </w:rPr>
        <w:t>Valorisation des déchets électroniques</w:t>
      </w:r>
      <w:r w:rsidRPr="00C2233D">
        <w:t> : l’entreprise pourra collaborer avec des programmes de recyclage pour la récupération des vieux téléphones et équipements.</w:t>
      </w:r>
    </w:p>
    <w:p w:rsidR="00C2233D" w:rsidRPr="00C2233D" w:rsidRDefault="00C2233D" w:rsidP="00C2233D">
      <w:pPr>
        <w:numPr>
          <w:ilvl w:val="0"/>
          <w:numId w:val="32"/>
        </w:numPr>
      </w:pPr>
      <w:r w:rsidRPr="00C2233D">
        <w:rPr>
          <w:b/>
          <w:bCs/>
        </w:rPr>
        <w:t>Contribution à des pratiques responsables</w:t>
      </w:r>
      <w:r w:rsidRPr="00C2233D">
        <w:t> : le e</w:t>
      </w:r>
      <w:r w:rsidRPr="00C2233D">
        <w:noBreakHyphen/>
      </w:r>
      <w:proofErr w:type="spellStart"/>
      <w:r w:rsidRPr="00C2233D">
        <w:t>wallet</w:t>
      </w:r>
      <w:proofErr w:type="spellEnd"/>
      <w:r w:rsidRPr="00C2233D">
        <w:t xml:space="preserve"> encouragera les paiements électroniques pour les services de transport public et de covoiturage, réduisant les émissions de gaz à effet de serre.</w:t>
      </w:r>
    </w:p>
    <w:p w:rsidR="00C2233D" w:rsidRPr="00C2233D" w:rsidRDefault="00C2233D" w:rsidP="00C2233D">
      <w:pPr>
        <w:rPr>
          <w:b/>
          <w:bCs/>
        </w:rPr>
      </w:pPr>
      <w:r w:rsidRPr="00C2233D">
        <w:rPr>
          <w:b/>
          <w:bCs/>
        </w:rPr>
        <w:t>13. Plan financier</w:t>
      </w:r>
    </w:p>
    <w:p w:rsidR="00C2233D" w:rsidRPr="00C2233D" w:rsidRDefault="00C2233D" w:rsidP="00C2233D">
      <w:pPr>
        <w:rPr>
          <w:b/>
          <w:bCs/>
        </w:rPr>
      </w:pPr>
      <w:r w:rsidRPr="00C2233D">
        <w:rPr>
          <w:b/>
          <w:bCs/>
        </w:rPr>
        <w:t>13.1 Hypothèses de base</w:t>
      </w:r>
    </w:p>
    <w:p w:rsidR="00C2233D" w:rsidRPr="00C2233D" w:rsidRDefault="00C2233D" w:rsidP="00C2233D">
      <w:pPr>
        <w:numPr>
          <w:ilvl w:val="0"/>
          <w:numId w:val="33"/>
        </w:numPr>
      </w:pPr>
      <w:r w:rsidRPr="00C2233D">
        <w:rPr>
          <w:b/>
          <w:bCs/>
        </w:rPr>
        <w:t>Nombre d’utilisateurs actifs</w:t>
      </w:r>
      <w:r w:rsidRPr="00C2233D">
        <w:t> : 100 000 utilisateurs la première année, croissance annuelle de 100 % jusqu’à atteindre 3 millions d’utilisateurs en année 5 et 8 millions en année 10.</w:t>
      </w:r>
    </w:p>
    <w:p w:rsidR="00C2233D" w:rsidRPr="00C2233D" w:rsidRDefault="00C2233D" w:rsidP="00C2233D">
      <w:pPr>
        <w:numPr>
          <w:ilvl w:val="0"/>
          <w:numId w:val="33"/>
        </w:numPr>
      </w:pPr>
      <w:r w:rsidRPr="00C2233D">
        <w:rPr>
          <w:b/>
          <w:bCs/>
        </w:rPr>
        <w:t>Volume moyen de transactions</w:t>
      </w:r>
      <w:r w:rsidRPr="00C2233D">
        <w:t> : chaque utilisateur effectue en moyenne 5 transactions par mois (transfert, paiement de facture ou achat).</w:t>
      </w:r>
    </w:p>
    <w:p w:rsidR="00C2233D" w:rsidRPr="00C2233D" w:rsidRDefault="00C2233D" w:rsidP="00C2233D">
      <w:pPr>
        <w:numPr>
          <w:ilvl w:val="0"/>
          <w:numId w:val="33"/>
        </w:numPr>
      </w:pPr>
      <w:r w:rsidRPr="00C2233D">
        <w:rPr>
          <w:b/>
          <w:bCs/>
        </w:rPr>
        <w:t>Montant moyen par transaction</w:t>
      </w:r>
      <w:r w:rsidRPr="00C2233D">
        <w:t> : 15 USD la première année, augmentant à 25 USD en année 10 grâce à l’adoption de services à valeur ajoutée.</w:t>
      </w:r>
    </w:p>
    <w:p w:rsidR="00C2233D" w:rsidRPr="00C2233D" w:rsidRDefault="00C2233D" w:rsidP="00C2233D">
      <w:pPr>
        <w:numPr>
          <w:ilvl w:val="0"/>
          <w:numId w:val="33"/>
        </w:numPr>
      </w:pPr>
      <w:r w:rsidRPr="00C2233D">
        <w:rPr>
          <w:b/>
          <w:bCs/>
        </w:rPr>
        <w:t>Frais moyens prélevés</w:t>
      </w:r>
      <w:r w:rsidRPr="00C2233D">
        <w:t> : 1 % pour les transactions domestiques, 2 % pour les transactions internationales, 0,5 % pour les retraits.</w:t>
      </w:r>
    </w:p>
    <w:p w:rsidR="00C2233D" w:rsidRPr="00C2233D" w:rsidRDefault="00C2233D" w:rsidP="00C2233D">
      <w:pPr>
        <w:numPr>
          <w:ilvl w:val="0"/>
          <w:numId w:val="33"/>
        </w:numPr>
      </w:pPr>
      <w:r w:rsidRPr="00C2233D">
        <w:rPr>
          <w:b/>
          <w:bCs/>
        </w:rPr>
        <w:t>Coût variable par transaction</w:t>
      </w:r>
      <w:r w:rsidRPr="00C2233D">
        <w:t> : 0,05 USD (frais de réseau, commissions des agents).</w:t>
      </w:r>
    </w:p>
    <w:p w:rsidR="00C2233D" w:rsidRPr="00C2233D" w:rsidRDefault="00C2233D" w:rsidP="00C2233D">
      <w:pPr>
        <w:numPr>
          <w:ilvl w:val="0"/>
          <w:numId w:val="33"/>
        </w:numPr>
      </w:pPr>
      <w:r w:rsidRPr="00C2233D">
        <w:rPr>
          <w:b/>
          <w:bCs/>
        </w:rPr>
        <w:t>Investissement initial</w:t>
      </w:r>
      <w:r w:rsidRPr="00C2233D">
        <w:t xml:space="preserve"> : 15 millions d’USD (développement logiciel 3 M$, infrastructure IT 2 M$, licences et conformité 3 M$, marketing initial 2 M$, fonds de roulement et </w:t>
      </w:r>
      <w:proofErr w:type="spellStart"/>
      <w:r w:rsidRPr="00C2233D">
        <w:t>float</w:t>
      </w:r>
      <w:proofErr w:type="spellEnd"/>
      <w:r w:rsidRPr="00C2233D">
        <w:t xml:space="preserve"> 5 M$).</w:t>
      </w:r>
    </w:p>
    <w:p w:rsidR="00C2233D" w:rsidRPr="00C2233D" w:rsidRDefault="00C2233D" w:rsidP="00C2233D">
      <w:pPr>
        <w:numPr>
          <w:ilvl w:val="0"/>
          <w:numId w:val="33"/>
        </w:numPr>
      </w:pPr>
      <w:r w:rsidRPr="00C2233D">
        <w:rPr>
          <w:b/>
          <w:bCs/>
        </w:rPr>
        <w:t>Frais fixes annuels</w:t>
      </w:r>
      <w:r w:rsidRPr="00C2233D">
        <w:t> : 6 millions d’USD (salaires, loyers, maintenance IT, marketing récurrent). Ce montant augmente de 10 % par an.</w:t>
      </w:r>
    </w:p>
    <w:p w:rsidR="00C2233D" w:rsidRPr="00C2233D" w:rsidRDefault="00C2233D" w:rsidP="00C2233D">
      <w:pPr>
        <w:rPr>
          <w:b/>
          <w:bCs/>
        </w:rPr>
      </w:pPr>
      <w:r w:rsidRPr="00C2233D">
        <w:rPr>
          <w:b/>
          <w:bCs/>
        </w:rPr>
        <w:t>13.2 Projections financières (5 ans)</w:t>
      </w:r>
    </w:p>
    <w:p w:rsidR="00C2233D" w:rsidRPr="00C2233D" w:rsidRDefault="00C2233D" w:rsidP="00C2233D">
      <w:r w:rsidRPr="00C2233D">
        <w:t>Les tableaux suivants présentent un résumé simplifié des projections financières sur 5 ans. Les montants sont en millions de dollars US (MUSD).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gridCol w:w="1317"/>
        <w:gridCol w:w="1473"/>
        <w:gridCol w:w="1242"/>
        <w:gridCol w:w="1158"/>
        <w:gridCol w:w="1132"/>
        <w:gridCol w:w="978"/>
        <w:gridCol w:w="1052"/>
      </w:tblGrid>
      <w:tr w:rsidR="00C2233D" w:rsidRPr="00C2233D">
        <w:trPr>
          <w:tblHeader/>
          <w:tblCellSpacing w:w="15" w:type="dxa"/>
        </w:trPr>
        <w:tc>
          <w:tcPr>
            <w:tcW w:w="0" w:type="auto"/>
            <w:vAlign w:val="center"/>
            <w:hideMark/>
          </w:tcPr>
          <w:p w:rsidR="00C2233D" w:rsidRPr="00C2233D" w:rsidRDefault="00C2233D" w:rsidP="00C2233D">
            <w:pPr>
              <w:rPr>
                <w:b/>
                <w:bCs/>
              </w:rPr>
            </w:pPr>
            <w:r w:rsidRPr="00C2233D">
              <w:rPr>
                <w:b/>
                <w:bCs/>
              </w:rPr>
              <w:t>Année</w:t>
            </w:r>
          </w:p>
        </w:tc>
        <w:tc>
          <w:tcPr>
            <w:tcW w:w="0" w:type="auto"/>
            <w:vAlign w:val="center"/>
            <w:hideMark/>
          </w:tcPr>
          <w:p w:rsidR="00C2233D" w:rsidRPr="00C2233D" w:rsidRDefault="00C2233D" w:rsidP="00C2233D">
            <w:pPr>
              <w:rPr>
                <w:b/>
                <w:bCs/>
              </w:rPr>
            </w:pPr>
            <w:r w:rsidRPr="00C2233D">
              <w:rPr>
                <w:b/>
                <w:bCs/>
              </w:rPr>
              <w:t>Utilisateurs actifs (M)</w:t>
            </w:r>
          </w:p>
        </w:tc>
        <w:tc>
          <w:tcPr>
            <w:tcW w:w="0" w:type="auto"/>
            <w:vAlign w:val="center"/>
            <w:hideMark/>
          </w:tcPr>
          <w:p w:rsidR="00C2233D" w:rsidRPr="00C2233D" w:rsidRDefault="00C2233D" w:rsidP="00C2233D">
            <w:pPr>
              <w:rPr>
                <w:b/>
                <w:bCs/>
              </w:rPr>
            </w:pPr>
            <w:r w:rsidRPr="00C2233D">
              <w:rPr>
                <w:b/>
                <w:bCs/>
              </w:rPr>
              <w:t>Nombre de transactions (M)</w:t>
            </w:r>
          </w:p>
        </w:tc>
        <w:tc>
          <w:tcPr>
            <w:tcW w:w="0" w:type="auto"/>
            <w:vAlign w:val="center"/>
            <w:hideMark/>
          </w:tcPr>
          <w:p w:rsidR="00C2233D" w:rsidRPr="00C2233D" w:rsidRDefault="00C2233D" w:rsidP="00C2233D">
            <w:pPr>
              <w:rPr>
                <w:b/>
                <w:bCs/>
              </w:rPr>
            </w:pPr>
            <w:r w:rsidRPr="00C2233D">
              <w:rPr>
                <w:b/>
                <w:bCs/>
              </w:rPr>
              <w:t xml:space="preserve">Montant total </w:t>
            </w:r>
            <w:proofErr w:type="spellStart"/>
            <w:r w:rsidRPr="00C2233D">
              <w:rPr>
                <w:b/>
                <w:bCs/>
              </w:rPr>
              <w:t>transacts</w:t>
            </w:r>
            <w:proofErr w:type="spellEnd"/>
            <w:r w:rsidRPr="00C2233D">
              <w:rPr>
                <w:b/>
                <w:bCs/>
              </w:rPr>
              <w:t xml:space="preserve"> (MUSD)</w:t>
            </w:r>
          </w:p>
        </w:tc>
        <w:tc>
          <w:tcPr>
            <w:tcW w:w="0" w:type="auto"/>
            <w:vAlign w:val="center"/>
            <w:hideMark/>
          </w:tcPr>
          <w:p w:rsidR="00C2233D" w:rsidRPr="00C2233D" w:rsidRDefault="00C2233D" w:rsidP="00C2233D">
            <w:pPr>
              <w:rPr>
                <w:b/>
                <w:bCs/>
              </w:rPr>
            </w:pPr>
            <w:r w:rsidRPr="00C2233D">
              <w:rPr>
                <w:b/>
                <w:bCs/>
              </w:rPr>
              <w:t>Chiffre d’affaires (MUSD)</w:t>
            </w:r>
          </w:p>
        </w:tc>
        <w:tc>
          <w:tcPr>
            <w:tcW w:w="0" w:type="auto"/>
            <w:vAlign w:val="center"/>
            <w:hideMark/>
          </w:tcPr>
          <w:p w:rsidR="00C2233D" w:rsidRPr="00C2233D" w:rsidRDefault="00C2233D" w:rsidP="00C2233D">
            <w:pPr>
              <w:rPr>
                <w:b/>
                <w:bCs/>
              </w:rPr>
            </w:pPr>
            <w:r w:rsidRPr="00C2233D">
              <w:rPr>
                <w:b/>
                <w:bCs/>
              </w:rPr>
              <w:t>Coûts variables (MUSD)</w:t>
            </w:r>
          </w:p>
        </w:tc>
        <w:tc>
          <w:tcPr>
            <w:tcW w:w="0" w:type="auto"/>
            <w:vAlign w:val="center"/>
            <w:hideMark/>
          </w:tcPr>
          <w:p w:rsidR="00C2233D" w:rsidRPr="00C2233D" w:rsidRDefault="00C2233D" w:rsidP="00C2233D">
            <w:pPr>
              <w:rPr>
                <w:b/>
                <w:bCs/>
              </w:rPr>
            </w:pPr>
            <w:r w:rsidRPr="00C2233D">
              <w:rPr>
                <w:b/>
                <w:bCs/>
              </w:rPr>
              <w:t>Coûts fixes (MUSD)</w:t>
            </w:r>
          </w:p>
        </w:tc>
        <w:tc>
          <w:tcPr>
            <w:tcW w:w="0" w:type="auto"/>
            <w:vAlign w:val="center"/>
            <w:hideMark/>
          </w:tcPr>
          <w:p w:rsidR="00C2233D" w:rsidRPr="00C2233D" w:rsidRDefault="00C2233D" w:rsidP="00C2233D">
            <w:pPr>
              <w:rPr>
                <w:b/>
                <w:bCs/>
              </w:rPr>
            </w:pPr>
            <w:r w:rsidRPr="00C2233D">
              <w:rPr>
                <w:b/>
                <w:bCs/>
              </w:rPr>
              <w:t>Résultat brut (MUSD)</w:t>
            </w:r>
          </w:p>
        </w:tc>
      </w:tr>
      <w:tr w:rsidR="00C2233D" w:rsidRPr="00C2233D">
        <w:trPr>
          <w:tblCellSpacing w:w="15" w:type="dxa"/>
        </w:trPr>
        <w:tc>
          <w:tcPr>
            <w:tcW w:w="0" w:type="auto"/>
            <w:vAlign w:val="center"/>
            <w:hideMark/>
          </w:tcPr>
          <w:p w:rsidR="00C2233D" w:rsidRPr="00C2233D" w:rsidRDefault="00C2233D" w:rsidP="00C2233D">
            <w:r w:rsidRPr="00C2233D">
              <w:t>1</w:t>
            </w:r>
          </w:p>
        </w:tc>
        <w:tc>
          <w:tcPr>
            <w:tcW w:w="0" w:type="auto"/>
            <w:vAlign w:val="center"/>
            <w:hideMark/>
          </w:tcPr>
          <w:p w:rsidR="00C2233D" w:rsidRPr="00C2233D" w:rsidRDefault="00C2233D" w:rsidP="00C2233D">
            <w:r w:rsidRPr="00C2233D">
              <w:t>0,1</w:t>
            </w:r>
          </w:p>
        </w:tc>
        <w:tc>
          <w:tcPr>
            <w:tcW w:w="0" w:type="auto"/>
            <w:vAlign w:val="center"/>
            <w:hideMark/>
          </w:tcPr>
          <w:p w:rsidR="00C2233D" w:rsidRPr="00C2233D" w:rsidRDefault="00C2233D" w:rsidP="00C2233D">
            <w:r w:rsidRPr="00C2233D">
              <w:t>6,0</w:t>
            </w:r>
          </w:p>
        </w:tc>
        <w:tc>
          <w:tcPr>
            <w:tcW w:w="0" w:type="auto"/>
            <w:vAlign w:val="center"/>
            <w:hideMark/>
          </w:tcPr>
          <w:p w:rsidR="00C2233D" w:rsidRPr="00C2233D" w:rsidRDefault="00C2233D" w:rsidP="00C2233D">
            <w:r w:rsidRPr="00C2233D">
              <w:t>90,0</w:t>
            </w:r>
          </w:p>
        </w:tc>
        <w:tc>
          <w:tcPr>
            <w:tcW w:w="0" w:type="auto"/>
            <w:vAlign w:val="center"/>
            <w:hideMark/>
          </w:tcPr>
          <w:p w:rsidR="00C2233D" w:rsidRPr="00C2233D" w:rsidRDefault="00C2233D" w:rsidP="00C2233D">
            <w:r w:rsidRPr="00C2233D">
              <w:t>0,90</w:t>
            </w:r>
          </w:p>
        </w:tc>
        <w:tc>
          <w:tcPr>
            <w:tcW w:w="0" w:type="auto"/>
            <w:vAlign w:val="center"/>
            <w:hideMark/>
          </w:tcPr>
          <w:p w:rsidR="00C2233D" w:rsidRPr="00C2233D" w:rsidRDefault="00C2233D" w:rsidP="00C2233D">
            <w:r w:rsidRPr="00C2233D">
              <w:t>0,30</w:t>
            </w:r>
          </w:p>
        </w:tc>
        <w:tc>
          <w:tcPr>
            <w:tcW w:w="0" w:type="auto"/>
            <w:vAlign w:val="center"/>
            <w:hideMark/>
          </w:tcPr>
          <w:p w:rsidR="00C2233D" w:rsidRPr="00C2233D" w:rsidRDefault="00C2233D" w:rsidP="00C2233D">
            <w:r w:rsidRPr="00C2233D">
              <w:t>6,0</w:t>
            </w:r>
          </w:p>
        </w:tc>
        <w:tc>
          <w:tcPr>
            <w:tcW w:w="0" w:type="auto"/>
            <w:vAlign w:val="center"/>
            <w:hideMark/>
          </w:tcPr>
          <w:p w:rsidR="00C2233D" w:rsidRPr="00C2233D" w:rsidRDefault="00C2233D" w:rsidP="00C2233D">
            <w:r w:rsidRPr="00C2233D">
              <w:rPr>
                <w:b/>
                <w:bCs/>
              </w:rPr>
              <w:noBreakHyphen/>
              <w:t>5,40</w:t>
            </w:r>
          </w:p>
        </w:tc>
      </w:tr>
      <w:tr w:rsidR="00C2233D" w:rsidRPr="00C2233D">
        <w:trPr>
          <w:tblCellSpacing w:w="15" w:type="dxa"/>
        </w:trPr>
        <w:tc>
          <w:tcPr>
            <w:tcW w:w="0" w:type="auto"/>
            <w:vAlign w:val="center"/>
            <w:hideMark/>
          </w:tcPr>
          <w:p w:rsidR="00C2233D" w:rsidRPr="00C2233D" w:rsidRDefault="00C2233D" w:rsidP="00C2233D">
            <w:r w:rsidRPr="00C2233D">
              <w:lastRenderedPageBreak/>
              <w:t>2</w:t>
            </w:r>
          </w:p>
        </w:tc>
        <w:tc>
          <w:tcPr>
            <w:tcW w:w="0" w:type="auto"/>
            <w:vAlign w:val="center"/>
            <w:hideMark/>
          </w:tcPr>
          <w:p w:rsidR="00C2233D" w:rsidRPr="00C2233D" w:rsidRDefault="00C2233D" w:rsidP="00C2233D">
            <w:r w:rsidRPr="00C2233D">
              <w:t>0,2</w:t>
            </w:r>
          </w:p>
        </w:tc>
        <w:tc>
          <w:tcPr>
            <w:tcW w:w="0" w:type="auto"/>
            <w:vAlign w:val="center"/>
            <w:hideMark/>
          </w:tcPr>
          <w:p w:rsidR="00C2233D" w:rsidRPr="00C2233D" w:rsidRDefault="00C2233D" w:rsidP="00C2233D">
            <w:r w:rsidRPr="00C2233D">
              <w:t>12,0</w:t>
            </w:r>
          </w:p>
        </w:tc>
        <w:tc>
          <w:tcPr>
            <w:tcW w:w="0" w:type="auto"/>
            <w:vAlign w:val="center"/>
            <w:hideMark/>
          </w:tcPr>
          <w:p w:rsidR="00C2233D" w:rsidRPr="00C2233D" w:rsidRDefault="00C2233D" w:rsidP="00C2233D">
            <w:r w:rsidRPr="00C2233D">
              <w:t>180,0</w:t>
            </w:r>
          </w:p>
        </w:tc>
        <w:tc>
          <w:tcPr>
            <w:tcW w:w="0" w:type="auto"/>
            <w:vAlign w:val="center"/>
            <w:hideMark/>
          </w:tcPr>
          <w:p w:rsidR="00C2233D" w:rsidRPr="00C2233D" w:rsidRDefault="00C2233D" w:rsidP="00C2233D">
            <w:r w:rsidRPr="00C2233D">
              <w:t>1,80</w:t>
            </w:r>
          </w:p>
        </w:tc>
        <w:tc>
          <w:tcPr>
            <w:tcW w:w="0" w:type="auto"/>
            <w:vAlign w:val="center"/>
            <w:hideMark/>
          </w:tcPr>
          <w:p w:rsidR="00C2233D" w:rsidRPr="00C2233D" w:rsidRDefault="00C2233D" w:rsidP="00C2233D">
            <w:r w:rsidRPr="00C2233D">
              <w:t>0,60</w:t>
            </w:r>
          </w:p>
        </w:tc>
        <w:tc>
          <w:tcPr>
            <w:tcW w:w="0" w:type="auto"/>
            <w:vAlign w:val="center"/>
            <w:hideMark/>
          </w:tcPr>
          <w:p w:rsidR="00C2233D" w:rsidRPr="00C2233D" w:rsidRDefault="00C2233D" w:rsidP="00C2233D">
            <w:r w:rsidRPr="00C2233D">
              <w:t>6,6</w:t>
            </w:r>
          </w:p>
        </w:tc>
        <w:tc>
          <w:tcPr>
            <w:tcW w:w="0" w:type="auto"/>
            <w:vAlign w:val="center"/>
            <w:hideMark/>
          </w:tcPr>
          <w:p w:rsidR="00C2233D" w:rsidRPr="00C2233D" w:rsidRDefault="00C2233D" w:rsidP="00C2233D">
            <w:r w:rsidRPr="00C2233D">
              <w:rPr>
                <w:b/>
                <w:bCs/>
              </w:rPr>
              <w:noBreakHyphen/>
              <w:t>5,40</w:t>
            </w:r>
          </w:p>
        </w:tc>
      </w:tr>
      <w:tr w:rsidR="00C2233D" w:rsidRPr="00C2233D">
        <w:trPr>
          <w:tblCellSpacing w:w="15" w:type="dxa"/>
        </w:trPr>
        <w:tc>
          <w:tcPr>
            <w:tcW w:w="0" w:type="auto"/>
            <w:vAlign w:val="center"/>
            <w:hideMark/>
          </w:tcPr>
          <w:p w:rsidR="00C2233D" w:rsidRPr="00C2233D" w:rsidRDefault="00C2233D" w:rsidP="00C2233D">
            <w:r w:rsidRPr="00C2233D">
              <w:t>3</w:t>
            </w:r>
          </w:p>
        </w:tc>
        <w:tc>
          <w:tcPr>
            <w:tcW w:w="0" w:type="auto"/>
            <w:vAlign w:val="center"/>
            <w:hideMark/>
          </w:tcPr>
          <w:p w:rsidR="00C2233D" w:rsidRPr="00C2233D" w:rsidRDefault="00C2233D" w:rsidP="00C2233D">
            <w:r w:rsidRPr="00C2233D">
              <w:t>0,4</w:t>
            </w:r>
          </w:p>
        </w:tc>
        <w:tc>
          <w:tcPr>
            <w:tcW w:w="0" w:type="auto"/>
            <w:vAlign w:val="center"/>
            <w:hideMark/>
          </w:tcPr>
          <w:p w:rsidR="00C2233D" w:rsidRPr="00C2233D" w:rsidRDefault="00C2233D" w:rsidP="00C2233D">
            <w:r w:rsidRPr="00C2233D">
              <w:t>24,0</w:t>
            </w:r>
          </w:p>
        </w:tc>
        <w:tc>
          <w:tcPr>
            <w:tcW w:w="0" w:type="auto"/>
            <w:vAlign w:val="center"/>
            <w:hideMark/>
          </w:tcPr>
          <w:p w:rsidR="00C2233D" w:rsidRPr="00C2233D" w:rsidRDefault="00C2233D" w:rsidP="00C2233D">
            <w:r w:rsidRPr="00C2233D">
              <w:t>360,0</w:t>
            </w:r>
          </w:p>
        </w:tc>
        <w:tc>
          <w:tcPr>
            <w:tcW w:w="0" w:type="auto"/>
            <w:vAlign w:val="center"/>
            <w:hideMark/>
          </w:tcPr>
          <w:p w:rsidR="00C2233D" w:rsidRPr="00C2233D" w:rsidRDefault="00C2233D" w:rsidP="00C2233D">
            <w:r w:rsidRPr="00C2233D">
              <w:t>3,60</w:t>
            </w:r>
          </w:p>
        </w:tc>
        <w:tc>
          <w:tcPr>
            <w:tcW w:w="0" w:type="auto"/>
            <w:vAlign w:val="center"/>
            <w:hideMark/>
          </w:tcPr>
          <w:p w:rsidR="00C2233D" w:rsidRPr="00C2233D" w:rsidRDefault="00C2233D" w:rsidP="00C2233D">
            <w:r w:rsidRPr="00C2233D">
              <w:t>1,20</w:t>
            </w:r>
          </w:p>
        </w:tc>
        <w:tc>
          <w:tcPr>
            <w:tcW w:w="0" w:type="auto"/>
            <w:vAlign w:val="center"/>
            <w:hideMark/>
          </w:tcPr>
          <w:p w:rsidR="00C2233D" w:rsidRPr="00C2233D" w:rsidRDefault="00C2233D" w:rsidP="00C2233D">
            <w:r w:rsidRPr="00C2233D">
              <w:t>7,3</w:t>
            </w:r>
          </w:p>
        </w:tc>
        <w:tc>
          <w:tcPr>
            <w:tcW w:w="0" w:type="auto"/>
            <w:vAlign w:val="center"/>
            <w:hideMark/>
          </w:tcPr>
          <w:p w:rsidR="00C2233D" w:rsidRPr="00C2233D" w:rsidRDefault="00C2233D" w:rsidP="00C2233D">
            <w:r w:rsidRPr="00C2233D">
              <w:rPr>
                <w:b/>
                <w:bCs/>
              </w:rPr>
              <w:noBreakHyphen/>
              <w:t>4,90</w:t>
            </w:r>
          </w:p>
        </w:tc>
      </w:tr>
      <w:tr w:rsidR="00C2233D" w:rsidRPr="00C2233D">
        <w:trPr>
          <w:tblCellSpacing w:w="15" w:type="dxa"/>
        </w:trPr>
        <w:tc>
          <w:tcPr>
            <w:tcW w:w="0" w:type="auto"/>
            <w:vAlign w:val="center"/>
            <w:hideMark/>
          </w:tcPr>
          <w:p w:rsidR="00C2233D" w:rsidRPr="00C2233D" w:rsidRDefault="00C2233D" w:rsidP="00C2233D">
            <w:r w:rsidRPr="00C2233D">
              <w:t>4</w:t>
            </w:r>
          </w:p>
        </w:tc>
        <w:tc>
          <w:tcPr>
            <w:tcW w:w="0" w:type="auto"/>
            <w:vAlign w:val="center"/>
            <w:hideMark/>
          </w:tcPr>
          <w:p w:rsidR="00C2233D" w:rsidRPr="00C2233D" w:rsidRDefault="00C2233D" w:rsidP="00C2233D">
            <w:r w:rsidRPr="00C2233D">
              <w:t>0,8</w:t>
            </w:r>
          </w:p>
        </w:tc>
        <w:tc>
          <w:tcPr>
            <w:tcW w:w="0" w:type="auto"/>
            <w:vAlign w:val="center"/>
            <w:hideMark/>
          </w:tcPr>
          <w:p w:rsidR="00C2233D" w:rsidRPr="00C2233D" w:rsidRDefault="00C2233D" w:rsidP="00C2233D">
            <w:r w:rsidRPr="00C2233D">
              <w:t>48,0</w:t>
            </w:r>
          </w:p>
        </w:tc>
        <w:tc>
          <w:tcPr>
            <w:tcW w:w="0" w:type="auto"/>
            <w:vAlign w:val="center"/>
            <w:hideMark/>
          </w:tcPr>
          <w:p w:rsidR="00C2233D" w:rsidRPr="00C2233D" w:rsidRDefault="00C2233D" w:rsidP="00C2233D">
            <w:r w:rsidRPr="00C2233D">
              <w:t>720,0</w:t>
            </w:r>
          </w:p>
        </w:tc>
        <w:tc>
          <w:tcPr>
            <w:tcW w:w="0" w:type="auto"/>
            <w:vAlign w:val="center"/>
            <w:hideMark/>
          </w:tcPr>
          <w:p w:rsidR="00C2233D" w:rsidRPr="00C2233D" w:rsidRDefault="00C2233D" w:rsidP="00C2233D">
            <w:r w:rsidRPr="00C2233D">
              <w:t>7,20</w:t>
            </w:r>
          </w:p>
        </w:tc>
        <w:tc>
          <w:tcPr>
            <w:tcW w:w="0" w:type="auto"/>
            <w:vAlign w:val="center"/>
            <w:hideMark/>
          </w:tcPr>
          <w:p w:rsidR="00C2233D" w:rsidRPr="00C2233D" w:rsidRDefault="00C2233D" w:rsidP="00C2233D">
            <w:r w:rsidRPr="00C2233D">
              <w:t>2,40</w:t>
            </w:r>
          </w:p>
        </w:tc>
        <w:tc>
          <w:tcPr>
            <w:tcW w:w="0" w:type="auto"/>
            <w:vAlign w:val="center"/>
            <w:hideMark/>
          </w:tcPr>
          <w:p w:rsidR="00C2233D" w:rsidRPr="00C2233D" w:rsidRDefault="00C2233D" w:rsidP="00C2233D">
            <w:r w:rsidRPr="00C2233D">
              <w:t>8,0</w:t>
            </w:r>
          </w:p>
        </w:tc>
        <w:tc>
          <w:tcPr>
            <w:tcW w:w="0" w:type="auto"/>
            <w:vAlign w:val="center"/>
            <w:hideMark/>
          </w:tcPr>
          <w:p w:rsidR="00C2233D" w:rsidRPr="00C2233D" w:rsidRDefault="00C2233D" w:rsidP="00C2233D">
            <w:r w:rsidRPr="00C2233D">
              <w:rPr>
                <w:b/>
                <w:bCs/>
              </w:rPr>
              <w:noBreakHyphen/>
              <w:t>3,20</w:t>
            </w:r>
          </w:p>
        </w:tc>
      </w:tr>
      <w:tr w:rsidR="00C2233D" w:rsidRPr="00C2233D">
        <w:trPr>
          <w:tblCellSpacing w:w="15" w:type="dxa"/>
        </w:trPr>
        <w:tc>
          <w:tcPr>
            <w:tcW w:w="0" w:type="auto"/>
            <w:vAlign w:val="center"/>
            <w:hideMark/>
          </w:tcPr>
          <w:p w:rsidR="00C2233D" w:rsidRPr="00C2233D" w:rsidRDefault="00C2233D" w:rsidP="00C2233D">
            <w:r w:rsidRPr="00C2233D">
              <w:t>5</w:t>
            </w:r>
          </w:p>
        </w:tc>
        <w:tc>
          <w:tcPr>
            <w:tcW w:w="0" w:type="auto"/>
            <w:vAlign w:val="center"/>
            <w:hideMark/>
          </w:tcPr>
          <w:p w:rsidR="00C2233D" w:rsidRPr="00C2233D" w:rsidRDefault="00C2233D" w:rsidP="00C2233D">
            <w:r w:rsidRPr="00C2233D">
              <w:t>1,6</w:t>
            </w:r>
          </w:p>
        </w:tc>
        <w:tc>
          <w:tcPr>
            <w:tcW w:w="0" w:type="auto"/>
            <w:vAlign w:val="center"/>
            <w:hideMark/>
          </w:tcPr>
          <w:p w:rsidR="00C2233D" w:rsidRPr="00C2233D" w:rsidRDefault="00C2233D" w:rsidP="00C2233D">
            <w:r w:rsidRPr="00C2233D">
              <w:t>96,0</w:t>
            </w:r>
          </w:p>
        </w:tc>
        <w:tc>
          <w:tcPr>
            <w:tcW w:w="0" w:type="auto"/>
            <w:vAlign w:val="center"/>
            <w:hideMark/>
          </w:tcPr>
          <w:p w:rsidR="00C2233D" w:rsidRPr="00C2233D" w:rsidRDefault="00C2233D" w:rsidP="00C2233D">
            <w:r w:rsidRPr="00C2233D">
              <w:t>1 440,0</w:t>
            </w:r>
          </w:p>
        </w:tc>
        <w:tc>
          <w:tcPr>
            <w:tcW w:w="0" w:type="auto"/>
            <w:vAlign w:val="center"/>
            <w:hideMark/>
          </w:tcPr>
          <w:p w:rsidR="00C2233D" w:rsidRPr="00C2233D" w:rsidRDefault="00C2233D" w:rsidP="00C2233D">
            <w:r w:rsidRPr="00C2233D">
              <w:t>14,40</w:t>
            </w:r>
          </w:p>
        </w:tc>
        <w:tc>
          <w:tcPr>
            <w:tcW w:w="0" w:type="auto"/>
            <w:vAlign w:val="center"/>
            <w:hideMark/>
          </w:tcPr>
          <w:p w:rsidR="00C2233D" w:rsidRPr="00C2233D" w:rsidRDefault="00C2233D" w:rsidP="00C2233D">
            <w:r w:rsidRPr="00C2233D">
              <w:t>4,80</w:t>
            </w:r>
          </w:p>
        </w:tc>
        <w:tc>
          <w:tcPr>
            <w:tcW w:w="0" w:type="auto"/>
            <w:vAlign w:val="center"/>
            <w:hideMark/>
          </w:tcPr>
          <w:p w:rsidR="00C2233D" w:rsidRPr="00C2233D" w:rsidRDefault="00C2233D" w:rsidP="00C2233D">
            <w:r w:rsidRPr="00C2233D">
              <w:t>8,8</w:t>
            </w:r>
          </w:p>
        </w:tc>
        <w:tc>
          <w:tcPr>
            <w:tcW w:w="0" w:type="auto"/>
            <w:vAlign w:val="center"/>
            <w:hideMark/>
          </w:tcPr>
          <w:p w:rsidR="00C2233D" w:rsidRPr="00C2233D" w:rsidRDefault="00C2233D" w:rsidP="00C2233D">
            <w:r w:rsidRPr="00C2233D">
              <w:rPr>
                <w:b/>
                <w:bCs/>
              </w:rPr>
              <w:t>0,80</w:t>
            </w:r>
          </w:p>
        </w:tc>
      </w:tr>
    </w:tbl>
    <w:p w:rsidR="00C2233D" w:rsidRPr="00C2233D" w:rsidRDefault="00C2233D" w:rsidP="00C2233D">
      <w:r w:rsidRPr="00C2233D">
        <w:t xml:space="preserve">Ces chiffres indiquent que l’entreprise atteindra le </w:t>
      </w:r>
      <w:r w:rsidRPr="00C2233D">
        <w:rPr>
          <w:b/>
          <w:bCs/>
        </w:rPr>
        <w:t>seuil de rentabilité</w:t>
      </w:r>
      <w:r w:rsidRPr="00C2233D">
        <w:t xml:space="preserve"> à la cinquième année, lorsque le chiffre d’affaires dépasse les coûts totaux. Au</w:t>
      </w:r>
      <w:r w:rsidRPr="00C2233D">
        <w:noBreakHyphen/>
        <w:t xml:space="preserve">delà de cinq ans, l’effet d’échelle et la diversification des revenus (intérêts du </w:t>
      </w:r>
      <w:proofErr w:type="spellStart"/>
      <w:r w:rsidRPr="00C2233D">
        <w:t>float</w:t>
      </w:r>
      <w:proofErr w:type="spellEnd"/>
      <w:r w:rsidRPr="00C2233D">
        <w:t>, abonnements premium) augmenteront la rentabilité. Des analyses de sensibilité sont nécessaires pour simuler des scénarios optimistes (croissance plus rapide, marges plus élevées) et pessimistes (adoption lente, réglementation plus stricte).</w:t>
      </w:r>
    </w:p>
    <w:p w:rsidR="00C2233D" w:rsidRPr="00C2233D" w:rsidRDefault="00C2233D" w:rsidP="00C2233D">
      <w:pPr>
        <w:rPr>
          <w:b/>
          <w:bCs/>
        </w:rPr>
      </w:pPr>
      <w:r w:rsidRPr="00C2233D">
        <w:rPr>
          <w:b/>
          <w:bCs/>
        </w:rPr>
        <w:t>13.3 Plan de financement</w:t>
      </w:r>
    </w:p>
    <w:p w:rsidR="00C2233D" w:rsidRPr="00C2233D" w:rsidRDefault="00C2233D" w:rsidP="00C2233D">
      <w:r w:rsidRPr="00C2233D">
        <w:t>Pour financer l’investissement initial de 15 MUSD et couvrir les pertes des premières années, le projet prévoit :</w:t>
      </w:r>
    </w:p>
    <w:p w:rsidR="00C2233D" w:rsidRPr="00C2233D" w:rsidRDefault="00C2233D" w:rsidP="00C2233D">
      <w:pPr>
        <w:numPr>
          <w:ilvl w:val="0"/>
          <w:numId w:val="34"/>
        </w:numPr>
      </w:pPr>
      <w:r w:rsidRPr="00C2233D">
        <w:rPr>
          <w:b/>
          <w:bCs/>
        </w:rPr>
        <w:t>Apport des fondateurs</w:t>
      </w:r>
      <w:r w:rsidRPr="00C2233D">
        <w:t> : 3 MUSD (20 % du capital).</w:t>
      </w:r>
    </w:p>
    <w:p w:rsidR="00C2233D" w:rsidRPr="00C2233D" w:rsidRDefault="00C2233D" w:rsidP="00C2233D">
      <w:pPr>
        <w:numPr>
          <w:ilvl w:val="0"/>
          <w:numId w:val="34"/>
        </w:numPr>
      </w:pPr>
      <w:r w:rsidRPr="00C2233D">
        <w:rPr>
          <w:b/>
          <w:bCs/>
        </w:rPr>
        <w:t>Investisseurs en capital</w:t>
      </w:r>
      <w:r w:rsidRPr="00C2233D">
        <w:rPr>
          <w:b/>
          <w:bCs/>
        </w:rPr>
        <w:noBreakHyphen/>
        <w:t xml:space="preserve">risque et impact </w:t>
      </w:r>
      <w:proofErr w:type="spellStart"/>
      <w:r w:rsidRPr="00C2233D">
        <w:rPr>
          <w:b/>
          <w:bCs/>
        </w:rPr>
        <w:t>funds</w:t>
      </w:r>
      <w:proofErr w:type="spellEnd"/>
      <w:r w:rsidRPr="00C2233D">
        <w:t> : 7 MUSD. Les investisseurs ciblés sont des fonds africains et internationaux actifs dans la fintech et l’inclusion financière.</w:t>
      </w:r>
    </w:p>
    <w:p w:rsidR="00C2233D" w:rsidRPr="00C2233D" w:rsidRDefault="00C2233D" w:rsidP="00C2233D">
      <w:pPr>
        <w:numPr>
          <w:ilvl w:val="0"/>
          <w:numId w:val="34"/>
        </w:numPr>
      </w:pPr>
      <w:r w:rsidRPr="00C2233D">
        <w:rPr>
          <w:b/>
          <w:bCs/>
        </w:rPr>
        <w:t>Prêts bancaires</w:t>
      </w:r>
      <w:r w:rsidRPr="00C2233D">
        <w:t> : 3 MUSD auprès de banques locales ou régionales, avec garantie partielle du fonds de financement des PME. Taux d’intérêt estimé à 10 %.</w:t>
      </w:r>
    </w:p>
    <w:p w:rsidR="00C2233D" w:rsidRPr="00C2233D" w:rsidRDefault="00C2233D" w:rsidP="00C2233D">
      <w:pPr>
        <w:numPr>
          <w:ilvl w:val="0"/>
          <w:numId w:val="34"/>
        </w:numPr>
      </w:pPr>
      <w:r w:rsidRPr="00C2233D">
        <w:rPr>
          <w:b/>
          <w:bCs/>
        </w:rPr>
        <w:t>Subventions et programmes de développement</w:t>
      </w:r>
      <w:r w:rsidRPr="00C2233D">
        <w:t> : 2 MUSD provenant d’institutions telles que la Banque mondiale, la BAD ou des agences de coopération (pour soutenir le développement de l’infrastructure et des programmes d’éducation financière).</w:t>
      </w:r>
    </w:p>
    <w:p w:rsidR="00C2233D" w:rsidRPr="00C2233D" w:rsidRDefault="00C2233D" w:rsidP="00C2233D">
      <w:pPr>
        <w:rPr>
          <w:b/>
          <w:bCs/>
        </w:rPr>
      </w:pPr>
      <w:r w:rsidRPr="00C2233D">
        <w:rPr>
          <w:b/>
          <w:bCs/>
        </w:rPr>
        <w:t>13.4 Analyses de rentabilité et indicateurs financiers</w:t>
      </w:r>
    </w:p>
    <w:p w:rsidR="00C2233D" w:rsidRPr="00C2233D" w:rsidRDefault="00C2233D" w:rsidP="00C2233D">
      <w:pPr>
        <w:numPr>
          <w:ilvl w:val="0"/>
          <w:numId w:val="35"/>
        </w:numPr>
      </w:pPr>
      <w:r w:rsidRPr="00C2233D">
        <w:rPr>
          <w:b/>
          <w:bCs/>
        </w:rPr>
        <w:t>Taux de rendement interne (TRI)</w:t>
      </w:r>
      <w:r w:rsidRPr="00C2233D">
        <w:t> : avec une croissance des utilisateurs de 100 % par an et un EBITDA positif à partir de la cinquième année, le TRI prévisionnel sur 10 ans est estimé à 18 %, ce qui est attractif pour les investisseurs.</w:t>
      </w:r>
    </w:p>
    <w:p w:rsidR="00C2233D" w:rsidRPr="00C2233D" w:rsidRDefault="00C2233D" w:rsidP="00C2233D">
      <w:pPr>
        <w:numPr>
          <w:ilvl w:val="0"/>
          <w:numId w:val="35"/>
        </w:numPr>
      </w:pPr>
      <w:r w:rsidRPr="00C2233D">
        <w:rPr>
          <w:b/>
          <w:bCs/>
        </w:rPr>
        <w:t>Délai de récupération</w:t>
      </w:r>
      <w:r w:rsidRPr="00C2233D">
        <w:t> : le capital investi devrait être récupéré entre la 6ᵉ et la 7ᵉ année, grâce à l’augmentation du volume de transactions et à la maîtrise des coûts.</w:t>
      </w:r>
    </w:p>
    <w:p w:rsidR="00C2233D" w:rsidRPr="00C2233D" w:rsidRDefault="00C2233D" w:rsidP="00C2233D">
      <w:pPr>
        <w:numPr>
          <w:ilvl w:val="0"/>
          <w:numId w:val="35"/>
        </w:numPr>
      </w:pPr>
      <w:r w:rsidRPr="00C2233D">
        <w:rPr>
          <w:b/>
          <w:bCs/>
        </w:rPr>
        <w:lastRenderedPageBreak/>
        <w:t>Marge nette</w:t>
      </w:r>
      <w:r w:rsidRPr="00C2233D">
        <w:t> : à maturité (année 10), la marge nette pourrait atteindre 30 % grâce à la réduction des coûts unitaires et à la diversification des revenus.</w:t>
      </w:r>
    </w:p>
    <w:p w:rsidR="00C2233D" w:rsidRPr="00C2233D" w:rsidRDefault="00C2233D" w:rsidP="00C2233D">
      <w:pPr>
        <w:rPr>
          <w:b/>
          <w:bCs/>
        </w:rPr>
      </w:pPr>
      <w:r w:rsidRPr="00C2233D">
        <w:rPr>
          <w:b/>
          <w:bCs/>
        </w:rPr>
        <w:t>14. Annexes</w:t>
      </w:r>
    </w:p>
    <w:p w:rsidR="00C2233D" w:rsidRPr="00C2233D" w:rsidRDefault="00C2233D" w:rsidP="00C2233D">
      <w:pPr>
        <w:rPr>
          <w:b/>
          <w:bCs/>
        </w:rPr>
      </w:pPr>
      <w:r w:rsidRPr="00C2233D">
        <w:rPr>
          <w:b/>
          <w:bCs/>
        </w:rPr>
        <w:t>14.1 Données statistiques et sources</w:t>
      </w:r>
    </w:p>
    <w:p w:rsidR="00C2233D" w:rsidRPr="00C2233D" w:rsidRDefault="00C2233D" w:rsidP="00C2233D">
      <w:pPr>
        <w:numPr>
          <w:ilvl w:val="0"/>
          <w:numId w:val="36"/>
        </w:numPr>
      </w:pPr>
      <w:r w:rsidRPr="00C2233D">
        <w:rPr>
          <w:b/>
          <w:bCs/>
        </w:rPr>
        <w:t xml:space="preserve">Bank </w:t>
      </w:r>
      <w:proofErr w:type="spellStart"/>
      <w:r w:rsidRPr="00C2233D">
        <w:rPr>
          <w:b/>
          <w:bCs/>
        </w:rPr>
        <w:t>account</w:t>
      </w:r>
      <w:proofErr w:type="spellEnd"/>
      <w:r w:rsidRPr="00C2233D">
        <w:rPr>
          <w:b/>
          <w:bCs/>
        </w:rPr>
        <w:t xml:space="preserve"> </w:t>
      </w:r>
      <w:proofErr w:type="spellStart"/>
      <w:r w:rsidRPr="00C2233D">
        <w:rPr>
          <w:b/>
          <w:bCs/>
        </w:rPr>
        <w:t>penetration</w:t>
      </w:r>
      <w:proofErr w:type="spellEnd"/>
      <w:r w:rsidRPr="00C2233D">
        <w:rPr>
          <w:b/>
          <w:bCs/>
        </w:rPr>
        <w:t xml:space="preserve"> et inclusion financière</w:t>
      </w:r>
      <w:r w:rsidRPr="00C2233D">
        <w:t> : 8 % et 33,7 % d’inclusion, 15 % de clients actifs, plus de 25 millions de personnes exclues</w:t>
      </w:r>
      <w:hyperlink r:id="rId22" w:anchor=":~:text=Financial%20Inclusion" w:tgtFrame="_blank" w:history="1">
        <w:r w:rsidRPr="00C2233D">
          <w:rPr>
            <w:rStyle w:val="Lienhypertexte"/>
          </w:rPr>
          <w:t>mfw4a.org</w:t>
        </w:r>
      </w:hyperlink>
      <w:r w:rsidRPr="00C2233D">
        <w:t>.</w:t>
      </w:r>
    </w:p>
    <w:p w:rsidR="00C2233D" w:rsidRPr="00C2233D" w:rsidRDefault="00C2233D" w:rsidP="00C2233D">
      <w:pPr>
        <w:numPr>
          <w:ilvl w:val="0"/>
          <w:numId w:val="36"/>
        </w:numPr>
      </w:pPr>
      <w:r w:rsidRPr="00C2233D">
        <w:rPr>
          <w:b/>
          <w:bCs/>
        </w:rPr>
        <w:t xml:space="preserve">Mobile money </w:t>
      </w:r>
      <w:proofErr w:type="spellStart"/>
      <w:r w:rsidRPr="00C2233D">
        <w:rPr>
          <w:b/>
          <w:bCs/>
        </w:rPr>
        <w:t>accounts</w:t>
      </w:r>
      <w:proofErr w:type="spellEnd"/>
      <w:r w:rsidRPr="00C2233D">
        <w:t> : 6,9 millions de comptes mobiles money en 2018, 7,7 % de la population, seulement 18 % actifs</w:t>
      </w:r>
      <w:hyperlink r:id="rId23" w:anchor=":~:text=Financial%20Inclusion" w:tgtFrame="_blank" w:history="1">
        <w:r w:rsidRPr="00C2233D">
          <w:rPr>
            <w:rStyle w:val="Lienhypertexte"/>
          </w:rPr>
          <w:t>mfw4a.org</w:t>
        </w:r>
      </w:hyperlink>
      <w:r w:rsidRPr="00C2233D">
        <w:t>.</w:t>
      </w:r>
    </w:p>
    <w:p w:rsidR="00C2233D" w:rsidRPr="00C2233D" w:rsidRDefault="00C2233D" w:rsidP="00C2233D">
      <w:pPr>
        <w:numPr>
          <w:ilvl w:val="0"/>
          <w:numId w:val="36"/>
        </w:numPr>
      </w:pPr>
      <w:r w:rsidRPr="00C2233D">
        <w:rPr>
          <w:b/>
          <w:bCs/>
        </w:rPr>
        <w:t>Croissance des abonnements mobile money</w:t>
      </w:r>
      <w:r w:rsidRPr="00C2233D">
        <w:t> : 6,59 M en 2020 → 21,67 M en 2023 (228,8 %)</w:t>
      </w:r>
      <w:r w:rsidRPr="00C2233D">
        <w:drawing>
          <wp:inline distT="0" distB="0" distL="0" distR="0">
            <wp:extent cx="5760720" cy="4320540"/>
            <wp:effectExtent l="0" t="0" r="0" b="3810"/>
            <wp:docPr id="93909645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r w:rsidRPr="00C2233D">
        <w:t>ecofinagency.com.</w:t>
      </w:r>
    </w:p>
    <w:p w:rsidR="00C2233D" w:rsidRPr="00C2233D" w:rsidRDefault="00C2233D" w:rsidP="00C2233D">
      <w:pPr>
        <w:numPr>
          <w:ilvl w:val="0"/>
          <w:numId w:val="36"/>
        </w:numPr>
      </w:pPr>
      <w:r w:rsidRPr="00C2233D">
        <w:rPr>
          <w:b/>
          <w:bCs/>
        </w:rPr>
        <w:t>Pénétration mobile et Internet</w:t>
      </w:r>
      <w:r w:rsidRPr="00C2233D">
        <w:t> : 53,36 M de connexions mobiles (51,4 %) et 28,31 M d’internautes (27,2 %) en 2024</w:t>
      </w:r>
      <w:hyperlink r:id="rId24" w:anchor=":~:text=According%20to%20Datareportal%2C%20the%20Democratic,App%20Usage%20in%20Africa%20Survey" w:tgtFrame="_blank" w:history="1">
        <w:r w:rsidRPr="00C2233D">
          <w:rPr>
            <w:rStyle w:val="Lienhypertexte"/>
          </w:rPr>
          <w:t>geopoll.com</w:t>
        </w:r>
      </w:hyperlink>
      <w:r w:rsidRPr="00C2233D">
        <w:t>.</w:t>
      </w:r>
    </w:p>
    <w:p w:rsidR="00C2233D" w:rsidRPr="00C2233D" w:rsidRDefault="00C2233D" w:rsidP="00C2233D">
      <w:pPr>
        <w:rPr>
          <w:b/>
          <w:bCs/>
        </w:rPr>
      </w:pPr>
      <w:r w:rsidRPr="00C2233D">
        <w:rPr>
          <w:b/>
          <w:bCs/>
        </w:rPr>
        <w:t>14.2 Schémas techniques</w:t>
      </w:r>
    </w:p>
    <w:p w:rsidR="00C2233D" w:rsidRPr="00C2233D" w:rsidRDefault="00C2233D" w:rsidP="00C2233D">
      <w:r w:rsidRPr="00C2233D">
        <w:t xml:space="preserve">Des diagrammes illustrant l’architecture de l’application (client mobile, serveur, base de données, APIs), le cycle de vie des transactions et l’architecture de sécurité seront ajoutés </w:t>
      </w:r>
      <w:r w:rsidRPr="00C2233D">
        <w:lastRenderedPageBreak/>
        <w:t>pour clarifier l’implémentation. Ces schémas aideront les investisseurs et les partenaires à visualiser la robustesse de la plateforme.</w:t>
      </w:r>
    </w:p>
    <w:p w:rsidR="00C2233D" w:rsidRPr="00C2233D" w:rsidRDefault="00C2233D" w:rsidP="00C2233D">
      <w:pPr>
        <w:rPr>
          <w:b/>
          <w:bCs/>
        </w:rPr>
      </w:pPr>
      <w:r w:rsidRPr="00C2233D">
        <w:rPr>
          <w:b/>
          <w:bCs/>
        </w:rPr>
        <w:t>14.3 Organigramme détaillé</w:t>
      </w:r>
    </w:p>
    <w:p w:rsidR="00C2233D" w:rsidRPr="00C2233D" w:rsidRDefault="00C2233D" w:rsidP="00C2233D">
      <w:r w:rsidRPr="00C2233D">
        <w:t>Inclus dans la section 7.1 sous forme d’arborescence, l’organigramme décrit la hiérarchie et les interactions entre les départements. Des annexes supplémentaires peuvent présenter les fiches de poste, les profils de compétences et les plans de carrière.</w:t>
      </w:r>
    </w:p>
    <w:p w:rsidR="00C2233D" w:rsidRPr="00C2233D" w:rsidRDefault="00C2233D" w:rsidP="00C2233D">
      <w:pPr>
        <w:rPr>
          <w:b/>
          <w:bCs/>
        </w:rPr>
      </w:pPr>
      <w:r w:rsidRPr="00C2233D">
        <w:rPr>
          <w:b/>
          <w:bCs/>
        </w:rPr>
        <w:t>14.4 Tableaux financiers détaillés</w:t>
      </w:r>
    </w:p>
    <w:p w:rsidR="00C2233D" w:rsidRPr="00C2233D" w:rsidRDefault="00C2233D" w:rsidP="00C2233D">
      <w:r w:rsidRPr="00C2233D">
        <w:t>Les annexes contiendront des tableaux plus complets détaillant les flux de trésorerie mensuels, les projections de charges et les amortissements, les hypothèses par segment de clientèle et la répartition des coûts par département. Des simulations de scénarios (croissance lente, adoption rapide, augmentation des frais réglementaires) seront également incluses.</w:t>
      </w:r>
    </w:p>
    <w:p w:rsidR="00C2233D" w:rsidRPr="00C2233D" w:rsidRDefault="00C2233D" w:rsidP="00C2233D">
      <w:pPr>
        <w:rPr>
          <w:b/>
          <w:bCs/>
        </w:rPr>
      </w:pPr>
      <w:r w:rsidRPr="00C2233D">
        <w:rPr>
          <w:b/>
          <w:bCs/>
        </w:rPr>
        <w:t>14.5 Glossaire des termes</w:t>
      </w:r>
    </w:p>
    <w:p w:rsidR="00C2233D" w:rsidRPr="00C2233D" w:rsidRDefault="00C2233D" w:rsidP="00C2233D">
      <w:r w:rsidRPr="00C2233D">
        <w:t xml:space="preserve">Afin de rendre le document accessible aux lecteurs non spécialistes, un glossaire explicite les termes techniques et financiers : API, USSD, </w:t>
      </w:r>
      <w:proofErr w:type="spellStart"/>
      <w:r w:rsidRPr="00C2233D">
        <w:t>float</w:t>
      </w:r>
      <w:proofErr w:type="spellEnd"/>
      <w:r w:rsidRPr="00C2233D">
        <w:t xml:space="preserve">, KYC, AML, PCI DSS, fintech, </w:t>
      </w:r>
      <w:proofErr w:type="spellStart"/>
      <w:r w:rsidRPr="00C2233D">
        <w:t>remittances</w:t>
      </w:r>
      <w:proofErr w:type="spellEnd"/>
      <w:r w:rsidRPr="00C2233D">
        <w:t>, etc.</w:t>
      </w:r>
    </w:p>
    <w:p w:rsidR="00C2233D" w:rsidRPr="00C2233D" w:rsidRDefault="00C2233D" w:rsidP="00C2233D">
      <w:pPr>
        <w:rPr>
          <w:b/>
          <w:bCs/>
        </w:rPr>
      </w:pPr>
      <w:r w:rsidRPr="00C2233D">
        <w:rPr>
          <w:b/>
          <w:bCs/>
        </w:rPr>
        <w:t>Conclusion</w:t>
      </w:r>
    </w:p>
    <w:p w:rsidR="00C2233D" w:rsidRPr="00C2233D" w:rsidRDefault="00C2233D" w:rsidP="00C2233D">
      <w:r w:rsidRPr="00C2233D">
        <w:t>Le projet de porte</w:t>
      </w:r>
      <w:r w:rsidRPr="00C2233D">
        <w:noBreakHyphen/>
        <w:t xml:space="preserve">monnaie électronique présenté dans ce plan d’affaires répond à un </w:t>
      </w:r>
      <w:r w:rsidRPr="00C2233D">
        <w:rPr>
          <w:b/>
          <w:bCs/>
        </w:rPr>
        <w:t>besoin majeur d’inclusion financière</w:t>
      </w:r>
      <w:r w:rsidRPr="00C2233D">
        <w:t xml:space="preserve"> en RDC. Face à un taux de bancarisation inférieur à 10 %</w:t>
      </w:r>
      <w:hyperlink r:id="rId25" w:anchor=":~:text=Financial%20Inclusion" w:tgtFrame="_blank" w:history="1">
        <w:r w:rsidRPr="00C2233D">
          <w:rPr>
            <w:rStyle w:val="Lienhypertexte"/>
          </w:rPr>
          <w:t>mfw4a.org</w:t>
        </w:r>
      </w:hyperlink>
      <w:r w:rsidRPr="00C2233D">
        <w:t xml:space="preserve"> et à une population en rapide digitalisation</w:t>
      </w:r>
      <w:hyperlink r:id="rId26" w:anchor=":~:text=According%20to%20Datareportal%2C%20the%20Democratic,App%20Usage%20in%20Africa%20Survey" w:tgtFrame="_blank" w:history="1">
        <w:r w:rsidRPr="00C2233D">
          <w:rPr>
            <w:rStyle w:val="Lienhypertexte"/>
          </w:rPr>
          <w:t>geopoll.com</w:t>
        </w:r>
      </w:hyperlink>
      <w:r w:rsidRPr="00C2233D">
        <w:t>, l’e</w:t>
      </w:r>
      <w:r w:rsidRPr="00C2233D">
        <w:noBreakHyphen/>
      </w:r>
      <w:proofErr w:type="spellStart"/>
      <w:r w:rsidRPr="00C2233D">
        <w:t>wallet</w:t>
      </w:r>
      <w:proofErr w:type="spellEnd"/>
      <w:r w:rsidRPr="00C2233D">
        <w:t xml:space="preserve"> constitue une solution innovante et scalable. Il capitalise sur la </w:t>
      </w:r>
      <w:r w:rsidRPr="00C2233D">
        <w:rPr>
          <w:b/>
          <w:bCs/>
        </w:rPr>
        <w:t>croissance explosive du mobile money (228,8 % en trois ans)</w:t>
      </w:r>
      <w:r w:rsidRPr="00C2233D">
        <w:lastRenderedPageBreak/>
        <w:drawing>
          <wp:inline distT="0" distB="0" distL="0" distR="0">
            <wp:extent cx="5760720" cy="4320540"/>
            <wp:effectExtent l="0" t="0" r="0" b="3810"/>
            <wp:docPr id="185936132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r w:rsidRPr="00C2233D">
        <w:t>ecofinagency.com, tout en allant au</w:t>
      </w:r>
      <w:r w:rsidRPr="00C2233D">
        <w:noBreakHyphen/>
        <w:t>delà des services existants grâce à l’interopérabilité, à la diversité des produits (épargne, crédit, cartes), à la tarification compétitive et à l’accompagnement éducatif.</w:t>
      </w:r>
    </w:p>
    <w:p w:rsidR="00C2233D" w:rsidRPr="00C2233D" w:rsidRDefault="00C2233D" w:rsidP="00C2233D">
      <w:r w:rsidRPr="00C2233D">
        <w:t>L’étude montre que le marché est vaste, que la concurrence reste segmentée et que le cadre réglementaire évolue favorablement. Les projections financières démontrent qu’avec un investissement initial de 15 MUSD et une adoption progressive, le projet peut atteindre le seuil de rentabilité en année 5 et dégager des profits significatifs à partir de l’année 6. Au</w:t>
      </w:r>
      <w:r w:rsidRPr="00C2233D">
        <w:noBreakHyphen/>
        <w:t>delà des performances financières, l’e</w:t>
      </w:r>
      <w:r w:rsidRPr="00C2233D">
        <w:noBreakHyphen/>
      </w:r>
      <w:proofErr w:type="spellStart"/>
      <w:r w:rsidRPr="00C2233D">
        <w:t>wallet</w:t>
      </w:r>
      <w:proofErr w:type="spellEnd"/>
      <w:r w:rsidRPr="00C2233D">
        <w:t xml:space="preserve"> aura un </w:t>
      </w:r>
      <w:r w:rsidRPr="00C2233D">
        <w:rPr>
          <w:b/>
          <w:bCs/>
        </w:rPr>
        <w:t>impact social considérable</w:t>
      </w:r>
      <w:r w:rsidRPr="00C2233D">
        <w:t xml:space="preserve"> en réduisant la pauvreté, en promouvant l’entrepreneuriat et en sécurisant les flux monétaires, contribuant ainsi à la transformation digitale et à la croissance durable de la RDC.</w:t>
      </w:r>
    </w:p>
    <w:p w:rsidR="00C2233D" w:rsidRDefault="00C2233D"/>
    <w:sectPr w:rsidR="00C2233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68C2"/>
    <w:multiLevelType w:val="multilevel"/>
    <w:tmpl w:val="5762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B092A"/>
    <w:multiLevelType w:val="multilevel"/>
    <w:tmpl w:val="9872B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648A5"/>
    <w:multiLevelType w:val="multilevel"/>
    <w:tmpl w:val="373A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50210"/>
    <w:multiLevelType w:val="multilevel"/>
    <w:tmpl w:val="8534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E611B"/>
    <w:multiLevelType w:val="multilevel"/>
    <w:tmpl w:val="38F4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0275E"/>
    <w:multiLevelType w:val="multilevel"/>
    <w:tmpl w:val="1AAA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A669B"/>
    <w:multiLevelType w:val="multilevel"/>
    <w:tmpl w:val="108A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A0DE4"/>
    <w:multiLevelType w:val="multilevel"/>
    <w:tmpl w:val="470C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75940"/>
    <w:multiLevelType w:val="multilevel"/>
    <w:tmpl w:val="876A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E2D27"/>
    <w:multiLevelType w:val="multilevel"/>
    <w:tmpl w:val="EB825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684C5F"/>
    <w:multiLevelType w:val="multilevel"/>
    <w:tmpl w:val="1E36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0B240C"/>
    <w:multiLevelType w:val="multilevel"/>
    <w:tmpl w:val="32AEC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E720C3"/>
    <w:multiLevelType w:val="multilevel"/>
    <w:tmpl w:val="1508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51146"/>
    <w:multiLevelType w:val="multilevel"/>
    <w:tmpl w:val="A2226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BA79C4"/>
    <w:multiLevelType w:val="multilevel"/>
    <w:tmpl w:val="6700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BF18E0"/>
    <w:multiLevelType w:val="multilevel"/>
    <w:tmpl w:val="E41EF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9A31F7"/>
    <w:multiLevelType w:val="multilevel"/>
    <w:tmpl w:val="29309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736D1A"/>
    <w:multiLevelType w:val="multilevel"/>
    <w:tmpl w:val="79D6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9D424E"/>
    <w:multiLevelType w:val="multilevel"/>
    <w:tmpl w:val="B53E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107C60"/>
    <w:multiLevelType w:val="multilevel"/>
    <w:tmpl w:val="9B68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E246E"/>
    <w:multiLevelType w:val="multilevel"/>
    <w:tmpl w:val="B0CE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8D1387"/>
    <w:multiLevelType w:val="multilevel"/>
    <w:tmpl w:val="CB5E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0C38E6"/>
    <w:multiLevelType w:val="multilevel"/>
    <w:tmpl w:val="3654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D53EE3"/>
    <w:multiLevelType w:val="multilevel"/>
    <w:tmpl w:val="B3FC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C5221B"/>
    <w:multiLevelType w:val="multilevel"/>
    <w:tmpl w:val="4AA6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9A1A9B"/>
    <w:multiLevelType w:val="multilevel"/>
    <w:tmpl w:val="E55E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544D58"/>
    <w:multiLevelType w:val="multilevel"/>
    <w:tmpl w:val="FA0E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B251E0"/>
    <w:multiLevelType w:val="multilevel"/>
    <w:tmpl w:val="8D0E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C076CC"/>
    <w:multiLevelType w:val="multilevel"/>
    <w:tmpl w:val="5DD6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7D6C90"/>
    <w:multiLevelType w:val="multilevel"/>
    <w:tmpl w:val="40C0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365771"/>
    <w:multiLevelType w:val="multilevel"/>
    <w:tmpl w:val="BDF84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E65305"/>
    <w:multiLevelType w:val="multilevel"/>
    <w:tmpl w:val="4576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3947A5"/>
    <w:multiLevelType w:val="multilevel"/>
    <w:tmpl w:val="866E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255131"/>
    <w:multiLevelType w:val="multilevel"/>
    <w:tmpl w:val="044C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E5764E"/>
    <w:multiLevelType w:val="multilevel"/>
    <w:tmpl w:val="B83A0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FE1BC6"/>
    <w:multiLevelType w:val="multilevel"/>
    <w:tmpl w:val="4234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1832134">
    <w:abstractNumId w:val="12"/>
  </w:num>
  <w:num w:numId="2" w16cid:durableId="211694788">
    <w:abstractNumId w:val="13"/>
  </w:num>
  <w:num w:numId="3" w16cid:durableId="1585413619">
    <w:abstractNumId w:val="5"/>
  </w:num>
  <w:num w:numId="4" w16cid:durableId="197161880">
    <w:abstractNumId w:val="16"/>
  </w:num>
  <w:num w:numId="5" w16cid:durableId="1423915103">
    <w:abstractNumId w:val="22"/>
  </w:num>
  <w:num w:numId="6" w16cid:durableId="509836076">
    <w:abstractNumId w:val="25"/>
  </w:num>
  <w:num w:numId="7" w16cid:durableId="776482418">
    <w:abstractNumId w:val="7"/>
  </w:num>
  <w:num w:numId="8" w16cid:durableId="1798791215">
    <w:abstractNumId w:val="34"/>
  </w:num>
  <w:num w:numId="9" w16cid:durableId="143856861">
    <w:abstractNumId w:val="18"/>
  </w:num>
  <w:num w:numId="10" w16cid:durableId="355078635">
    <w:abstractNumId w:val="3"/>
  </w:num>
  <w:num w:numId="11" w16cid:durableId="554389730">
    <w:abstractNumId w:val="9"/>
  </w:num>
  <w:num w:numId="12" w16cid:durableId="1022784422">
    <w:abstractNumId w:val="15"/>
  </w:num>
  <w:num w:numId="13" w16cid:durableId="1375501329">
    <w:abstractNumId w:val="32"/>
  </w:num>
  <w:num w:numId="14" w16cid:durableId="890919804">
    <w:abstractNumId w:val="30"/>
  </w:num>
  <w:num w:numId="15" w16cid:durableId="1772125116">
    <w:abstractNumId w:val="29"/>
  </w:num>
  <w:num w:numId="16" w16cid:durableId="810291547">
    <w:abstractNumId w:val="10"/>
  </w:num>
  <w:num w:numId="17" w16cid:durableId="2045516749">
    <w:abstractNumId w:val="2"/>
  </w:num>
  <w:num w:numId="18" w16cid:durableId="1615749057">
    <w:abstractNumId w:val="23"/>
  </w:num>
  <w:num w:numId="19" w16cid:durableId="469904356">
    <w:abstractNumId w:val="11"/>
  </w:num>
  <w:num w:numId="20" w16cid:durableId="2113625442">
    <w:abstractNumId w:val="1"/>
  </w:num>
  <w:num w:numId="21" w16cid:durableId="585652573">
    <w:abstractNumId w:val="21"/>
  </w:num>
  <w:num w:numId="22" w16cid:durableId="451174792">
    <w:abstractNumId w:val="4"/>
  </w:num>
  <w:num w:numId="23" w16cid:durableId="536236000">
    <w:abstractNumId w:val="35"/>
  </w:num>
  <w:num w:numId="24" w16cid:durableId="252475078">
    <w:abstractNumId w:val="0"/>
  </w:num>
  <w:num w:numId="25" w16cid:durableId="355347372">
    <w:abstractNumId w:val="27"/>
  </w:num>
  <w:num w:numId="26" w16cid:durableId="273367962">
    <w:abstractNumId w:val="24"/>
  </w:num>
  <w:num w:numId="27" w16cid:durableId="150755683">
    <w:abstractNumId w:val="20"/>
  </w:num>
  <w:num w:numId="28" w16cid:durableId="1564365051">
    <w:abstractNumId w:val="33"/>
  </w:num>
  <w:num w:numId="29" w16cid:durableId="620041508">
    <w:abstractNumId w:val="28"/>
  </w:num>
  <w:num w:numId="30" w16cid:durableId="680006373">
    <w:abstractNumId w:val="17"/>
  </w:num>
  <w:num w:numId="31" w16cid:durableId="234822299">
    <w:abstractNumId w:val="8"/>
  </w:num>
  <w:num w:numId="32" w16cid:durableId="527446744">
    <w:abstractNumId w:val="26"/>
  </w:num>
  <w:num w:numId="33" w16cid:durableId="1411654901">
    <w:abstractNumId w:val="19"/>
  </w:num>
  <w:num w:numId="34" w16cid:durableId="153030425">
    <w:abstractNumId w:val="14"/>
  </w:num>
  <w:num w:numId="35" w16cid:durableId="395668954">
    <w:abstractNumId w:val="31"/>
  </w:num>
  <w:num w:numId="36" w16cid:durableId="2411813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33D"/>
    <w:rsid w:val="00AB5378"/>
    <w:rsid w:val="00C2233D"/>
  </w:rsids>
  <m:mathPr>
    <m:mathFont m:val="Cambria Math"/>
    <m:brkBin m:val="before"/>
    <m:brkBinSub m:val="--"/>
    <m:smallFrac m:val="0"/>
    <m:dispDef/>
    <m:lMargin m:val="0"/>
    <m:rMargin m:val="0"/>
    <m:defJc m:val="centerGroup"/>
    <m:wrapIndent m:val="1440"/>
    <m:intLim m:val="subSup"/>
    <m:naryLim m:val="undOvr"/>
  </m:mathPr>
  <w:themeFontLang w:val="fr-C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39E1C4-6685-4545-86AF-0EB8C9E18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223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223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2233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2233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2233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2233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2233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2233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2233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2233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2233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2233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2233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2233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2233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2233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2233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2233D"/>
    <w:rPr>
      <w:rFonts w:eastAsiaTheme="majorEastAsia" w:cstheme="majorBidi"/>
      <w:color w:val="272727" w:themeColor="text1" w:themeTint="D8"/>
    </w:rPr>
  </w:style>
  <w:style w:type="paragraph" w:styleId="Titre">
    <w:name w:val="Title"/>
    <w:basedOn w:val="Normal"/>
    <w:next w:val="Normal"/>
    <w:link w:val="TitreCar"/>
    <w:uiPriority w:val="10"/>
    <w:qFormat/>
    <w:rsid w:val="00C22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2233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2233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2233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2233D"/>
    <w:pPr>
      <w:spacing w:before="160"/>
      <w:jc w:val="center"/>
    </w:pPr>
    <w:rPr>
      <w:i/>
      <w:iCs/>
      <w:color w:val="404040" w:themeColor="text1" w:themeTint="BF"/>
    </w:rPr>
  </w:style>
  <w:style w:type="character" w:customStyle="1" w:styleId="CitationCar">
    <w:name w:val="Citation Car"/>
    <w:basedOn w:val="Policepardfaut"/>
    <w:link w:val="Citation"/>
    <w:uiPriority w:val="29"/>
    <w:rsid w:val="00C2233D"/>
    <w:rPr>
      <w:i/>
      <w:iCs/>
      <w:color w:val="404040" w:themeColor="text1" w:themeTint="BF"/>
    </w:rPr>
  </w:style>
  <w:style w:type="paragraph" w:styleId="Paragraphedeliste">
    <w:name w:val="List Paragraph"/>
    <w:basedOn w:val="Normal"/>
    <w:uiPriority w:val="34"/>
    <w:qFormat/>
    <w:rsid w:val="00C2233D"/>
    <w:pPr>
      <w:ind w:left="720"/>
      <w:contextualSpacing/>
    </w:pPr>
  </w:style>
  <w:style w:type="character" w:styleId="Accentuationintense">
    <w:name w:val="Intense Emphasis"/>
    <w:basedOn w:val="Policepardfaut"/>
    <w:uiPriority w:val="21"/>
    <w:qFormat/>
    <w:rsid w:val="00C2233D"/>
    <w:rPr>
      <w:i/>
      <w:iCs/>
      <w:color w:val="2F5496" w:themeColor="accent1" w:themeShade="BF"/>
    </w:rPr>
  </w:style>
  <w:style w:type="paragraph" w:styleId="Citationintense">
    <w:name w:val="Intense Quote"/>
    <w:basedOn w:val="Normal"/>
    <w:next w:val="Normal"/>
    <w:link w:val="CitationintenseCar"/>
    <w:uiPriority w:val="30"/>
    <w:qFormat/>
    <w:rsid w:val="00C223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2233D"/>
    <w:rPr>
      <w:i/>
      <w:iCs/>
      <w:color w:val="2F5496" w:themeColor="accent1" w:themeShade="BF"/>
    </w:rPr>
  </w:style>
  <w:style w:type="character" w:styleId="Rfrenceintense">
    <w:name w:val="Intense Reference"/>
    <w:basedOn w:val="Policepardfaut"/>
    <w:uiPriority w:val="32"/>
    <w:qFormat/>
    <w:rsid w:val="00C2233D"/>
    <w:rPr>
      <w:b/>
      <w:bCs/>
      <w:smallCaps/>
      <w:color w:val="2F5496" w:themeColor="accent1" w:themeShade="BF"/>
      <w:spacing w:val="5"/>
    </w:rPr>
  </w:style>
  <w:style w:type="character" w:styleId="Lienhypertexte">
    <w:name w:val="Hyperlink"/>
    <w:basedOn w:val="Policepardfaut"/>
    <w:uiPriority w:val="99"/>
    <w:unhideWhenUsed/>
    <w:rsid w:val="00C2233D"/>
    <w:rPr>
      <w:color w:val="0563C1" w:themeColor="hyperlink"/>
      <w:u w:val="single"/>
    </w:rPr>
  </w:style>
  <w:style w:type="character" w:styleId="Mentionnonrsolue">
    <w:name w:val="Unresolved Mention"/>
    <w:basedOn w:val="Policepardfaut"/>
    <w:uiPriority w:val="99"/>
    <w:semiHidden/>
    <w:unhideWhenUsed/>
    <w:rsid w:val="00C22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opoll.com/blog/mobile-penetration-and-internet-usage-in-congo/" TargetMode="External"/><Relationship Id="rId13" Type="http://schemas.openxmlformats.org/officeDocument/2006/relationships/hyperlink" Target="https://www.mfw4a.org/country/democratic-republic-congo" TargetMode="External"/><Relationship Id="rId18" Type="http://schemas.openxmlformats.org/officeDocument/2006/relationships/hyperlink" Target="https://www.mfw4a.org/country/democratic-republic-congo" TargetMode="External"/><Relationship Id="rId26" Type="http://schemas.openxmlformats.org/officeDocument/2006/relationships/hyperlink" Target="https://www.geopoll.com/blog/mobile-penetration-and-internet-usage-in-congo/" TargetMode="External"/><Relationship Id="rId3" Type="http://schemas.openxmlformats.org/officeDocument/2006/relationships/settings" Target="settings.xml"/><Relationship Id="rId21" Type="http://schemas.openxmlformats.org/officeDocument/2006/relationships/hyperlink" Target="https://www.mfw4a.org/country/democratic-republic-congo" TargetMode="External"/><Relationship Id="rId7" Type="http://schemas.openxmlformats.org/officeDocument/2006/relationships/image" Target="media/image1.png"/><Relationship Id="rId12" Type="http://schemas.openxmlformats.org/officeDocument/2006/relationships/hyperlink" Target="https://www.mfw4a.org/country/democratic-republic-congo" TargetMode="External"/><Relationship Id="rId17" Type="http://schemas.openxmlformats.org/officeDocument/2006/relationships/hyperlink" Target="https://www.mfw4a.org/country/democratic-republic-congo" TargetMode="External"/><Relationship Id="rId25" Type="http://schemas.openxmlformats.org/officeDocument/2006/relationships/hyperlink" Target="https://www.mfw4a.org/country/democratic-republic-congo" TargetMode="External"/><Relationship Id="rId2" Type="http://schemas.openxmlformats.org/officeDocument/2006/relationships/styles" Target="styles.xml"/><Relationship Id="rId16" Type="http://schemas.openxmlformats.org/officeDocument/2006/relationships/hyperlink" Target="https://www.mfw4a.org/country/democratic-republic-congo" TargetMode="External"/><Relationship Id="rId20" Type="http://schemas.openxmlformats.org/officeDocument/2006/relationships/hyperlink" Target="https://www.geopoll.com/blog/mobile-penetration-and-internet-usage-in-congo/" TargetMode="External"/><Relationship Id="rId1" Type="http://schemas.openxmlformats.org/officeDocument/2006/relationships/numbering" Target="numbering.xml"/><Relationship Id="rId6" Type="http://schemas.openxmlformats.org/officeDocument/2006/relationships/hyperlink" Target="https://www.mfw4a.org/country/democratic-republic-congo" TargetMode="External"/><Relationship Id="rId11" Type="http://schemas.openxmlformats.org/officeDocument/2006/relationships/hyperlink" Target="https://www.mfw4a.org/country/democratic-republic-congo" TargetMode="External"/><Relationship Id="rId24" Type="http://schemas.openxmlformats.org/officeDocument/2006/relationships/hyperlink" Target="https://www.geopoll.com/blog/mobile-penetration-and-internet-usage-in-congo/" TargetMode="External"/><Relationship Id="rId5" Type="http://schemas.openxmlformats.org/officeDocument/2006/relationships/hyperlink" Target="https://www.mfw4a.org/country/democratic-republic-congo" TargetMode="External"/><Relationship Id="rId15" Type="http://schemas.openxmlformats.org/officeDocument/2006/relationships/hyperlink" Target="https://www.geopoll.com/blog/mobile-penetration-and-internet-usage-in-congo/" TargetMode="External"/><Relationship Id="rId23" Type="http://schemas.openxmlformats.org/officeDocument/2006/relationships/hyperlink" Target="https://www.mfw4a.org/country/democratic-republic-congo" TargetMode="External"/><Relationship Id="rId28" Type="http://schemas.openxmlformats.org/officeDocument/2006/relationships/theme" Target="theme/theme1.xml"/><Relationship Id="rId10" Type="http://schemas.openxmlformats.org/officeDocument/2006/relationships/hyperlink" Target="https://www.mfw4a.org/country/democratic-republic-congo" TargetMode="External"/><Relationship Id="rId19" Type="http://schemas.openxmlformats.org/officeDocument/2006/relationships/hyperlink" Target="https://www.mfw4a.org/country/democratic-republic-congo" TargetMode="External"/><Relationship Id="rId4" Type="http://schemas.openxmlformats.org/officeDocument/2006/relationships/webSettings" Target="webSettings.xml"/><Relationship Id="rId9" Type="http://schemas.openxmlformats.org/officeDocument/2006/relationships/hyperlink" Target="https://www.mfw4a.org/country/democratic-republic-congo" TargetMode="External"/><Relationship Id="rId14" Type="http://schemas.openxmlformats.org/officeDocument/2006/relationships/hyperlink" Target="https://www.geopoll.com/blog/mobile-penetration-and-internet-usage-in-congo/" TargetMode="External"/><Relationship Id="rId22" Type="http://schemas.openxmlformats.org/officeDocument/2006/relationships/hyperlink" Target="https://www.mfw4a.org/country/democratic-republic-congo" TargetMode="External"/><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7739</Words>
  <Characters>42570</Characters>
  <Application>Microsoft Office Word</Application>
  <DocSecurity>0</DocSecurity>
  <Lines>354</Lines>
  <Paragraphs>100</Paragraphs>
  <ScaleCrop>false</ScaleCrop>
  <Company/>
  <LinksUpToDate>false</LinksUpToDate>
  <CharactersWithSpaces>50209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glm bcommercial</dc:creator>
  <cp:keywords/>
  <dc:description/>
  <cp:lastModifiedBy>glm bcommercial</cp:lastModifiedBy>
  <cp:revision>1</cp:revision>
  <dcterms:created xsi:type="dcterms:W3CDTF">2025-08-21T06:44:00Z</dcterms:created>
  <dcterms:modified xsi:type="dcterms:W3CDTF">2025-08-21T06:44:00Z</dcterms:modified>
</cp:coreProperties>
</file>