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Devolución: Clasificación de lesiones mamarias en ecografía (BUSI) / Emmanuel Cardozo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Fundamentos de Medicina y Aplicaciones de IA (CEIA, FIUBA). Devolución de la primera entrega, octubre de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propuesta tiene un protocolo de evaluación de una calidad poco habitual para una primera entrega: auditoría de duplicados, partición agrupada, umbral congelado en validación, calibración, bootstrap por grupos, validación externa sin reajuste y revisión sistemática de errores con controles de sanidad de Grad-CAM. Las observaciones de abajo apuntan a anclarla mejor en el material de la materia y en la decisión clínica que el modelo pretende apoyar.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Análisis de Factibilidad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proyecto académico es totalmente factible. Los datasets son públicos (BUSI y BUS-BRA), el cómputo es modesto (EfficientNet-B0 a 224 × 224 se entrena en una GPU de consumo o en Colab) y el cronograma de tres semanas es realista, con un plan explícito para recortar alcance si hace falta. El trabajo además es honesto sobre su estado: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left="720" w:firstLine="0"/>
        <w:rPr>
          <w:i w:val="1"/>
          <w:iCs w:val="1"/>
        </w:rPr>
      </w:pPr>
      <w:r w:rsidDel="00000000" w:rsidR="00000000" w:rsidRPr="00000000">
        <w:rPr>
          <w:i w:val="1"/>
          <w:iCs w:val="1"/>
          <w:rtl w:val="0"/>
        </w:rPr>
        <w:t xml:space="preserve">"Estado del trabajo: este documento presenta una idea y un protocolo propuesto. No se descargaron ni depuraron los datasets, no se entrenaron modelos y no se generaron resultados experimentales."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límites están en la factibilidad clínica, y conviene que el informe los haga explícitos: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Tarea simplificada respecto de la práctica.</w:t>
      </w:r>
      <w:r w:rsidDel="00000000" w:rsidR="00000000" w:rsidRPr="00000000">
        <w:rPr>
          <w:rtl w:val="0"/>
        </w:rPr>
        <w:t xml:space="preserve"> La propuesta lo define bien: </w:t>
      </w:r>
      <w:r w:rsidDel="00000000" w:rsidR="00000000" w:rsidRPr="00000000">
        <w:rPr>
          <w:i w:val="1"/>
          <w:iCs w:val="1"/>
          <w:rtl w:val="0"/>
        </w:rPr>
        <w:t xml:space="preserve">"la entrada será una imagen estática que ya contiene una lesión"</w:t>
      </w:r>
      <w:r w:rsidDel="00000000" w:rsidR="00000000" w:rsidRPr="00000000">
        <w:rPr>
          <w:rtl w:val="0"/>
        </w:rPr>
        <w:t xml:space="preserve">. Esa imagen fue elegida y encuadrada por un ecografista que ya encontró la lesión. En la clínica el problema es detectar y caracterizar durante un examen completo, por lo que el desempeño en BUSI sobreestima el que tendría el modelo en uso real. Esto merece un párrafo propio en la discusión.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Calidad de las etiquetas.</w:t>
      </w:r>
      <w:r w:rsidDel="00000000" w:rsidR="00000000" w:rsidRPr="00000000">
        <w:rPr>
          <w:rtl w:val="0"/>
        </w:rPr>
        <w:t xml:space="preserve"> En BUSI no todas las etiquetas están confirmadas por patología; BUS-BRA sí tiene confirmación histopatológica. Parte de la caída de desempeño en la validación externa puede deberse a esa diferencia y no solo al cambio de equipo. Si se puede, separar ambos efectos en la discusión.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umbral y la decisión clínica.</w:t>
      </w:r>
      <w:r w:rsidDel="00000000" w:rsidR="00000000" w:rsidRPr="00000000">
        <w:rPr>
          <w:rtl w:val="0"/>
        </w:rPr>
        <w:t xml:space="preserve"> La propuesta plantea </w:t>
      </w:r>
      <w:r w:rsidDel="00000000" w:rsidR="00000000" w:rsidRPr="00000000">
        <w:rPr>
          <w:i w:val="1"/>
          <w:iCs w:val="1"/>
          <w:rtl w:val="0"/>
        </w:rPr>
        <w:t xml:space="preserve">"un umbral elegido en validación para maximizar especificidad entre los que alcancen sensibilidad empírica de al menos 90%. El 90% será un objetivo exploratorio de ingeniería, no un estándar clínico."</w:t>
      </w:r>
      <w:r w:rsidDel="00000000" w:rsidR="00000000" w:rsidRPr="00000000">
        <w:rPr>
          <w:rtl w:val="0"/>
        </w:rPr>
        <w:t xml:space="preserve"> La aclaración es correcta, pero se puede anclar en la clínica: la decisión real es biopsiar o controlar (BI-RADS 4 frente a 3), y BI-RADS 3 se define por una probabilidad de malignidad de 2 % o menos. Eso implica operar con una sensibilidad bastante más alta que 90 %.</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Unidad de análisis en BUS-BRA.</w:t>
      </w:r>
      <w:r w:rsidDel="00000000" w:rsidR="00000000" w:rsidRPr="00000000">
        <w:rPr>
          <w:rtl w:val="0"/>
        </w:rPr>
        <w:t xml:space="preserve"> BUS-BRA tiene 1.875 imágenes de 1.064 pacientes, con identificación de paciente. Ahí el bootstrap puede hacerse por paciente sin las limitaciones de BUSI, lo que da intervalos más defendibles para la validación externa.</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Vinculación con el Material de Clase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Bien abordado:</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Visión Computacional Médica (Ruiz).</w:t>
      </w:r>
      <w:r w:rsidDel="00000000" w:rsidR="00000000" w:rsidRPr="00000000">
        <w:rPr>
          <w:rtl w:val="0"/>
        </w:rPr>
        <w:t xml:space="preserve"> CAD como "IA como tarea asistiva", curación de datos (identificación, verificación, transformación, etiquetado médico), split robusto y balanceado y selección por métricas. La sección sobre DICOM, incluida la desidentificación de texto incrustado en los píxeles, es muy precisa, y la decisión de no presentar PNG como si fueran DICOM es acertada.</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Validación externa, calibración y análisis de falsos negativos son una aplicación correcta de las ideas de evaluación del curso.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Faltó o requiere revisión:</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Referencias a las clases.</w:t>
      </w:r>
      <w:r w:rsidDel="00000000" w:rsidR="00000000" w:rsidRPr="00000000">
        <w:rPr>
          <w:rtl w:val="0"/>
        </w:rPr>
        <w:t xml:space="preserve"> El trabajo dice: </w:t>
      </w:r>
      <w:r w:rsidDel="00000000" w:rsidR="00000000" w:rsidRPr="00000000">
        <w:rPr>
          <w:i w:val="1"/>
          <w:iCs w:val="1"/>
          <w:rtl w:val="0"/>
        </w:rPr>
        <w:t xml:space="preserve">"Las referencias exactas de esas clases deberán incorporarse cuando se disponga de sus materiales; no se atribuyen aquí afirmaciones textuales no verificadas."</w:t>
      </w:r>
      <w:r w:rsidDel="00000000" w:rsidR="00000000" w:rsidRPr="00000000">
        <w:rPr>
          <w:rtl w:val="0"/>
        </w:rPr>
        <w:t xml:space="preserve"> Las diapositivas de Visión Computacional ya están disponibles. Concretamente, conviene citar: las etapas de curación de datos (identificación, recopilación, verificación, transformación, integración, presentación y mantenimiento); el split 70/20/10 que muestra la clase, frente al 60/20/20 propuesto (justificar la diferencia, que es razonable porque el conjunto es chico y el test necesita suficientes malignos); preprocesamiento y normalización; y el bloque de modelos fundacionales (SAM y MedSAM), con la advertencia de la clase de que no alcanzan la precisión de los modelos especializados.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Investigación clínica con IA (Nava).</w:t>
      </w:r>
      <w:r w:rsidDel="00000000" w:rsidR="00000000" w:rsidRPr="00000000">
        <w:rPr>
          <w:rtl w:val="0"/>
        </w:rPr>
        <w:t xml:space="preserve"> El diseño es un estudio retrospectivo de exactitud diagnóstica. Conviene nombrarlo así y seguir una guía de reporte (STARD-AI o TRIPOD+AI), lo que encaja con la lógica de variable principal predefinida de esa clase.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Ecosistema Digital en Salud (Rosa).</w:t>
      </w:r>
      <w:r w:rsidDel="00000000" w:rsidR="00000000" w:rsidRPr="00000000">
        <w:rPr>
          <w:rtl w:val="0"/>
        </w:rPr>
        <w:t xml:space="preserve"> Aunque el proyecto sea académico, una línea sobre cómo se integraría el CAD (PACS, informe estructurado con BI-RADS, quién ve la puntuación y cuándo) ayuda a ubicarlo en el flujo asistencial.</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Recomendaciones Técnicas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Datos y Bases de Datos:</w:t>
      </w:r>
      <w:r w:rsidDel="00000000" w:rsidR="00000000" w:rsidRPr="00000000">
        <w:rPr>
          <w:rtl w:val="0"/>
        </w:rPr>
        <w:t xml:space="preserve"> Mantener BUSI para desarrollo y BUS-BRA para validación externa. Como segunda cohorte externa, el dataset BrEaST-Lesions_USG en TCIA (ecografías mamarias con confirmación histopatológica y descriptores BI-RADS) permite probar una tercera fuente; el Dataset B de UDIAT (Yap et al.) está disponible a solicitud de los autores. Usar el campo de patología y no BI-RADS como etiqueta, como ya proponen. Agregar un análisis de sensibilidad excluyendo las imágenes donde las marcas de medición invaden la lesión.</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Modelos y Algoritmos:</w:t>
      </w:r>
      <w:r w:rsidDel="00000000" w:rsidR="00000000" w:rsidRPr="00000000">
        <w:rPr>
          <w:rtl w:val="0"/>
        </w:rPr>
        <w:t xml:space="preserve"> Además de pesos de ImageNet, probar pesos preentrenados en imágenes médicas (por ejemplo RadImageNet, que incluye ecografía) como comparación de transfer learning específico del dominio. Como experimento secundario, recortar la ROI usando la máscara con un margen fijo, para medir cuánto del desempeño depende del contexto de la imagen y no de la lesión. Mantener los dos puntos de operación propuestos y agregar uno con sensibilidad de 95 a 98 %, vinculado a la decisión BI-RADS 3 frente a 4, reportando la especificidad resultante. Un ensemble pequeño o test-time augmentation puede estabilizar las predicciones.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Herramientas e Infraestructura:</w:t>
      </w:r>
      <w:r w:rsidDel="00000000" w:rsidR="00000000" w:rsidRPr="00000000">
        <w:rPr>
          <w:rtl w:val="0"/>
        </w:rPr>
        <w:t xml:space="preserve"> PyTorch con MONAI (transformaciones, métricas y utilidades de evaluación médica), timm para modelos preentrenados, pytorch-grad-cam para Grad-CAM y Grad-CAM++, imagehash para duplicados perceptuales y MLflow o Weights &amp; Biases para registrar corridas. pydicom para la extensión DICOM.</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Próximos Pasos (Action Items)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Incorporar las referencias concretas a la clase de Visión Computacional (curación de datos, split, preprocesamiento, MedSAM) y justificar el split 60/20/20.</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Ejecutar la auditoría de BUSI y publicar el manifiesto con exclusiones antes de entrenar, como establece el propio protocolo.</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Agregar un punto de operación de alta sensibilidad vinculado a la decisión BI-RADS 3 frente a 4 y, si los tiempos lo permiten, una segunda cohorte externa (BrEaST en TCIA).</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Comparar pesos de ImageNet con RadImageNet y escribir en la discusión un apartado sobre la diferencia entre clasificar una lesión ya encontrada y el uso clínico real.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