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2100"/>
      </w:pPr>
      <w:r>
        <w:rPr>
          <w:rFonts w:ascii="Arial" w:cs="Arial" w:eastAsia="Arial" w:hAnsi="Arial"/>
          <w:b/>
          <w:bCs/>
          <w:color w:val="B11F4B"/>
          <w:spacing w:val="80"/>
          <w:sz w:val="22"/>
          <w:szCs w:val="22"/>
        </w:rPr>
        <w:t xml:space="preserve">MONGODB LAB</w:t>
      </w:r>
    </w:p>
    <w:p>
      <w:pPr>
        <w:spacing w:after="280"/>
      </w:pPr>
      <w:r>
        <w:rPr>
          <w:rFonts w:ascii="Arial" w:cs="Arial" w:eastAsia="Arial" w:hAnsi="Arial"/>
          <w:b/>
          <w:bCs/>
          <w:color w:val="242424"/>
          <w:sz w:val="52"/>
          <w:szCs w:val="52"/>
        </w:rPr>
        <w:t xml:space="preserve">Installation, Data Loading, Application Launch, and Azure DocumentDB Migration</w:t>
      </w:r>
    </w:p>
    <w:p>
      <w:pPr>
        <w:pBdr>
          <w:bottom w:val="single" w:color="B11F4B" w:sz="16" w:space="1"/>
        </w:pBdr>
        <w:spacing w:after="420"/>
      </w:pPr>
    </w:p>
    <w:p>
      <w:pPr>
        <w:spacing w:after="120" w:line="276"/>
      </w:pPr>
      <w:r>
        <w:rPr>
          <w:rFonts w:ascii="Arial" w:cs="Arial" w:eastAsia="Arial" w:hAnsi="Arial"/>
          <w:color w:val="5C5C5C"/>
          <w:sz w:val="26"/>
          <w:szCs w:val="26"/>
        </w:rPr>
        <w:t xml:space="preserve">Step-by-step operating guide for the mongolabmigration workspace</w:t>
      </w:r>
    </w:p>
    <w:p>
      <w:pPr>
        <w:spacing w:after="100" w:before="900"/>
      </w:pPr>
      <w:r>
        <w:rPr>
          <w:rFonts w:ascii="Arial" w:cs="Arial" w:eastAsia="Arial" w:hAnsi="Arial"/>
          <w:b/>
          <w:bCs/>
          <w:color w:val="B11F4B"/>
        </w:rPr>
        <w:t xml:space="preserve">Scope</w:t>
      </w:r>
    </w:p>
    <w:p>
      <w:pPr>
        <w:spacing w:after="120" w:line="276"/>
      </w:pPr>
      <w:r>
        <w:rPr>
          <w:rFonts w:ascii="Arial" w:cs="Arial" w:eastAsia="Arial" w:hAnsi="Arial"/>
          <w:color w:val="242424"/>
        </w:rPr>
        <w:t xml:space="preserve">Deploy MongoDB Community Edition to an Azure VM, load the sample dataset, run the local Flask application, and migrate project_tasks_db to Azure DocumentDB with the Visual Studio Code migration extension.</w:t>
      </w:r>
    </w:p>
    <w:p>
      <w:pPr>
        <w:spacing w:after="80" w:before="780"/>
      </w:pPr>
      <w:r>
        <w:rPr>
          <w:rFonts w:ascii="Arial" w:cs="Arial" w:eastAsia="Arial" w:hAnsi="Arial"/>
          <w:b/>
          <w:bCs/>
          <w:color w:val="242424"/>
        </w:rPr>
        <w:t xml:space="preserve">Document version</w:t>
      </w:r>
    </w:p>
    <w:p>
      <w:pPr>
        <w:spacing w:after="120" w:line="276"/>
      </w:pPr>
      <w:r>
        <w:rPr>
          <w:rFonts w:ascii="Arial" w:cs="Arial" w:eastAsia="Arial" w:hAnsi="Arial"/>
          <w:color w:val="5C5C5C"/>
        </w:rPr>
        <w:t xml:space="preserve">1.0 | 1 September 2026</w:t>
      </w:r>
    </w:p>
    <w:p>
      <w:pPr>
        <w:spacing w:after="120" w:line="276"/>
      </w:pPr>
      <w:r>
        <w:rPr>
          <w:rFonts w:ascii="Arial" w:cs="Arial" w:eastAsia="Arial" w:hAnsi="Arial"/>
          <w:i/>
          <w:iCs/>
          <w:color w:val="5C5C5C"/>
        </w:rPr>
        <w:t xml:space="preserve">Microsoft Learn migration article reviewed: 17 August 2026</w:t>
      </w:r>
    </w:p>
    <w:p>
      <w:r>
        <w:br w:type="page"/>
      </w:r>
    </w:p>
    <w:p>
      <w:pPr>
        <w:pStyle w:val="Heading1"/>
      </w:pPr>
      <w:r>
        <w:rPr>
          <w:rFonts w:ascii="Arial" w:cs="Arial" w:eastAsia="Arial" w:hAnsi="Arial"/>
          <w:b/>
          <w:bCs/>
          <w:color w:val="242424"/>
        </w:rPr>
        <w:t xml:space="preserve">Contents</w:t>
      </w:r>
    </w:p>
    <w:sdt>
      <w:sdtPr/>
      <w:sdtContent>
        <w:p>
          <w:r>
            <w:fldChar w:fldCharType="begin" w:dirty="true"/>
            <w:instrText xml:space="preserve">TOC \h \o "1-3"</w:instrText>
            <w:fldChar w:fldCharType="separate"/>
          </w:r>
        </w:p>
        <w:p>
          <w:r>
            <w:fldChar w:fldCharType="end"/>
          </w:r>
        </w:p>
      </w:sdtContent>
    </w:sdt>
    <w:p>
      <w:pPr>
        <w:spacing w:after="120" w:line="276"/>
      </w:pPr>
      <w:r>
        <w:rPr>
          <w:rFonts w:ascii="Arial" w:cs="Arial" w:eastAsia="Arial" w:hAnsi="Arial"/>
          <w:i/>
          <w:iCs/>
          <w:color w:val="5C5C5C"/>
        </w:rPr>
        <w:t xml:space="preserve">In Microsoft Word, right-click the contents and select Update Field if page numbers are not populated.</w:t>
      </w:r>
    </w:p>
    <w:p>
      <w:pPr>
        <w:pStyle w:val="Heading1"/>
      </w:pPr>
      <w:r>
        <w:rPr>
          <w:rFonts w:ascii="Arial" w:cs="Arial" w:eastAsia="Arial" w:hAnsi="Arial"/>
          <w:b/>
          <w:bCs/>
          <w:color w:val="242424"/>
        </w:rPr>
        <w:t xml:space="preserve">1. Purpose and outcome</w:t>
      </w:r>
    </w:p>
    <w:p>
      <w:pPr>
        <w:spacing w:after="120" w:line="276"/>
      </w:pPr>
      <w:r>
        <w:rPr>
          <w:rFonts w:ascii="Arial" w:cs="Arial" w:eastAsia="Arial" w:hAnsi="Arial"/>
          <w:color w:val="242424"/>
        </w:rPr>
        <w:t xml:space="preserve">At the end of this guide, the source MongoDB database is running on an Azure Ubuntu VM, the sample dataset contains users, projects, and tasks, the Flask application is available locally, and a validated copy of the database is available in Azure DocumentDB.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FCFCF" w:sz="1"/>
              <w:left w:val="single" w:color="CFCFCF" w:sz="1"/>
              <w:bottom w:val="single" w:color="CFCFCF" w:sz="1"/>
              <w:right w:val="single" w:color="CFCFCF" w:sz="1"/>
            </w:tcBorders>
            <w:shd w:fill="F4E8EC" w:val="clear"/>
            <w:tcMar>
              <w:top w:type="dxa" w:w="140"/>
              <w:left w:type="dxa" w:w="180"/>
              <w:bottom w:type="dxa" w:w="140"/>
              <w:right w:type="dxa" w:w="180"/>
            </w:tcMar>
          </w:tcPr>
          <w:p>
            <w:pPr>
              <w:spacing w:after="70"/>
            </w:pPr>
            <w:r>
              <w:rPr>
                <w:rFonts w:ascii="Arial" w:cs="Arial" w:eastAsia="Arial" w:hAnsi="Arial"/>
                <w:b/>
                <w:bCs/>
                <w:color w:val="B11F4B"/>
              </w:rPr>
              <w:t xml:space="preserve">Lab safety</w:t>
            </w:r>
          </w:p>
          <w:p>
            <w:pPr>
              <w:spacing w:after="0"/>
            </w:pPr>
            <w:r>
              <w:rPr>
                <w:rFonts w:ascii="Arial" w:cs="Arial" w:eastAsia="Arial" w:hAnsi="Arial"/>
                <w:color w:val="242424"/>
              </w:rPr>
              <w:t xml:space="preserve">The deployment script deletes and recreates its generated Azure resource group. The seed script deletes the users, projects, and tasks collections before reloading them. Never run either operation against an environment that contains data you need to preserve.</w:t>
            </w:r>
          </w:p>
        </w:tc>
      </w:tr>
    </w:tbl>
    <w:p>
      <w:pPr>
        <w:pStyle w:val="Heading1"/>
      </w:pPr>
      <w:r>
        <w:rPr>
          <w:rFonts w:ascii="Arial" w:cs="Arial" w:eastAsia="Arial" w:hAnsi="Arial"/>
          <w:b/>
          <w:bCs/>
          <w:color w:val="242424"/>
        </w:rPr>
        <w:t xml:space="preserve">2. Solution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626"/>
      </w:tblGrid>
      <w:tr>
        <w:trPr>
          <w:tblHeader/>
        </w:trPr>
        <w:tc>
          <w:tcPr>
            <w:tcW w:type="dxa" w:w="2100"/>
            <w:tcBorders>
              <w:top w:val="single" w:color="CFCFCF" w:sz="1"/>
              <w:left w:val="single" w:color="CFCFCF" w:sz="1"/>
              <w:bottom w:val="single" w:color="CFCFCF" w:sz="1"/>
              <w:right w:val="single" w:color="CFCFCF" w:sz="1"/>
            </w:tcBorders>
            <w:shd w:fill="B11F4B" w:val="clear"/>
            <w:tcMar>
              <w:top w:type="dxa" w:w="90"/>
              <w:left w:type="dxa" w:w="120"/>
              <w:bottom w:type="dxa" w:w="90"/>
              <w:right w:type="dxa" w:w="120"/>
            </w:tcMar>
          </w:tcPr>
          <w:p>
            <w:pPr>
              <w:spacing w:after="0" w:line="240"/>
            </w:pPr>
            <w:r>
              <w:rPr>
                <w:rFonts w:ascii="Arial" w:cs="Arial" w:eastAsia="Arial" w:hAnsi="Arial"/>
                <w:b/>
                <w:bCs/>
                <w:color w:val="FFFFFF"/>
                <w:sz w:val="19"/>
                <w:szCs w:val="19"/>
              </w:rPr>
              <w:t xml:space="preserve">Component</w:t>
            </w:r>
          </w:p>
        </w:tc>
        <w:tc>
          <w:tcPr>
            <w:tcW w:type="dxa" w:w="4300"/>
            <w:tcBorders>
              <w:top w:val="single" w:color="CFCFCF" w:sz="1"/>
              <w:left w:val="single" w:color="CFCFCF" w:sz="1"/>
              <w:bottom w:val="single" w:color="CFCFCF" w:sz="1"/>
              <w:right w:val="single" w:color="CFCFCF" w:sz="1"/>
            </w:tcBorders>
            <w:shd w:fill="B11F4B" w:val="clear"/>
            <w:tcMar>
              <w:top w:type="dxa" w:w="90"/>
              <w:left w:type="dxa" w:w="120"/>
              <w:bottom w:type="dxa" w:w="90"/>
              <w:right w:type="dxa" w:w="120"/>
            </w:tcMar>
          </w:tcPr>
          <w:p>
            <w:pPr>
              <w:spacing w:after="0" w:line="240"/>
            </w:pPr>
            <w:r>
              <w:rPr>
                <w:rFonts w:ascii="Arial" w:cs="Arial" w:eastAsia="Arial" w:hAnsi="Arial"/>
                <w:b/>
                <w:bCs/>
                <w:color w:val="FFFFFF"/>
                <w:sz w:val="19"/>
                <w:szCs w:val="19"/>
              </w:rPr>
              <w:t xml:space="preserve">Role</w:t>
            </w:r>
          </w:p>
        </w:tc>
        <w:tc>
          <w:tcPr>
            <w:tcW w:type="dxa" w:w="2626"/>
            <w:tcBorders>
              <w:top w:val="single" w:color="CFCFCF" w:sz="1"/>
              <w:left w:val="single" w:color="CFCFCF" w:sz="1"/>
              <w:bottom w:val="single" w:color="CFCFCF" w:sz="1"/>
              <w:right w:val="single" w:color="CFCFCF" w:sz="1"/>
            </w:tcBorders>
            <w:shd w:fill="B11F4B" w:val="clear"/>
            <w:tcMar>
              <w:top w:type="dxa" w:w="90"/>
              <w:left w:type="dxa" w:w="120"/>
              <w:bottom w:type="dxa" w:w="90"/>
              <w:right w:type="dxa" w:w="120"/>
            </w:tcMar>
          </w:tcPr>
          <w:p>
            <w:pPr>
              <w:spacing w:after="0" w:line="240"/>
            </w:pPr>
            <w:r>
              <w:rPr>
                <w:rFonts w:ascii="Arial" w:cs="Arial" w:eastAsia="Arial" w:hAnsi="Arial"/>
                <w:b/>
                <w:bCs/>
                <w:color w:val="FFFFFF"/>
                <w:sz w:val="19"/>
                <w:szCs w:val="19"/>
              </w:rPr>
              <w:t xml:space="preserve">Runs where</w:t>
            </w:r>
          </w:p>
        </w:tc>
      </w:tr>
      <w:tr>
        <w:tc>
          <w:tcPr>
            <w:tcW w:type="dxa" w:w="21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deploy.ps1</w:t>
            </w:r>
          </w:p>
        </w:tc>
        <w:tc>
          <w:tcPr>
            <w:tcW w:type="dxa" w:w="43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Provisions the source VM, networking, disk, and MongoDB</w:t>
            </w:r>
          </w:p>
        </w:tc>
        <w:tc>
          <w:tcPr>
            <w:tcW w:type="dxa" w:w="26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Local PowerShell and Azure</w:t>
            </w:r>
          </w:p>
        </w:tc>
      </w:tr>
      <w:tr>
        <w:tc>
          <w:tcPr>
            <w:tcW w:type="dxa" w:w="21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parameters.json</w:t>
            </w:r>
          </w:p>
        </w:tc>
        <w:tc>
          <w:tcPr>
            <w:tcW w:type="dxa" w:w="43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Stores all deployment, connection, Flask, and seed settings</w:t>
            </w:r>
          </w:p>
        </w:tc>
        <w:tc>
          <w:tcPr>
            <w:tcW w:type="dxa" w:w="26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Project folder</w:t>
            </w:r>
          </w:p>
        </w:tc>
      </w:tr>
      <w:tr>
        <w:tc>
          <w:tcPr>
            <w:tcW w:type="dxa" w:w="21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parameters-editor.html</w:t>
            </w:r>
          </w:p>
        </w:tc>
        <w:tc>
          <w:tcPr>
            <w:tcW w:type="dxa" w:w="43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Loads, edits, validates, and saves the JSON settings</w:t>
            </w:r>
          </w:p>
        </w:tc>
        <w:tc>
          <w:tcPr>
            <w:tcW w:type="dxa" w:w="26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Local Edge or Chrome</w:t>
            </w:r>
          </w:p>
        </w:tc>
      </w:tr>
      <w:tr>
        <w:tc>
          <w:tcPr>
            <w:tcW w:type="dxa" w:w="21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seed_mongo.py</w:t>
            </w:r>
          </w:p>
        </w:tc>
        <w:tc>
          <w:tcPr>
            <w:tcW w:type="dxa" w:w="43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Creates sample users, projects, tasks, and indexes</w:t>
            </w:r>
          </w:p>
        </w:tc>
        <w:tc>
          <w:tcPr>
            <w:tcW w:type="dxa" w:w="26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Local Python</w:t>
            </w:r>
          </w:p>
        </w:tc>
      </w:tr>
      <w:tr>
        <w:tc>
          <w:tcPr>
            <w:tcW w:type="dxa" w:w="21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app.py</w:t>
            </w:r>
          </w:p>
        </w:tc>
        <w:tc>
          <w:tcPr>
            <w:tcW w:type="dxa" w:w="43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Serves the task-management UI and REST API</w:t>
            </w:r>
          </w:p>
        </w:tc>
        <w:tc>
          <w:tcPr>
            <w:tcW w:type="dxa" w:w="26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Local Python</w:t>
            </w:r>
          </w:p>
        </w:tc>
      </w:tr>
      <w:tr>
        <w:tc>
          <w:tcPr>
            <w:tcW w:type="dxa" w:w="21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Azure DocumentDB Migration Extension</w:t>
            </w:r>
          </w:p>
        </w:tc>
        <w:tc>
          <w:tcPr>
            <w:tcW w:type="dxa" w:w="43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Creates and monitors an Azure DMS migration job</w:t>
            </w:r>
          </w:p>
        </w:tc>
        <w:tc>
          <w:tcPr>
            <w:tcW w:type="dxa" w:w="26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Visual Studio Code</w:t>
            </w:r>
          </w:p>
        </w:tc>
      </w:tr>
    </w:tbl>
    <w:p>
      <w:pPr>
        <w:pStyle w:val="Heading2"/>
      </w:pPr>
      <w:r>
        <w:rPr>
          <w:rFonts w:ascii="Arial" w:cs="Arial" w:eastAsia="Arial" w:hAnsi="Arial"/>
          <w:b/>
          <w:bCs/>
          <w:color w:val="242424"/>
        </w:rPr>
        <w:t xml:space="preserve">2.1 Data flow</w:t>
      </w:r>
    </w:p>
    <w:p>
      <w:pPr>
        <w:spacing w:after="120" w:line="276"/>
      </w:pPr>
      <w:r>
        <w:rPr>
          <w:rFonts w:ascii="Arial" w:cs="Arial" w:eastAsia="Arial" w:hAnsi="Arial"/>
          <w:color w:val="242424"/>
        </w:rPr>
        <w:t xml:space="preserve">Local browser -&gt; Flask app -&gt; source MongoDB VM. During migration, Azure Database Migration Service reads source MongoDB and writes Azure DocumentDB. After validation, the application connection can be switched to the target DocumentDB connection string.</w:t>
      </w:r>
    </w:p>
    <w:p>
      <w:pPr>
        <w:pStyle w:val="Heading1"/>
      </w:pPr>
      <w:r>
        <w:rPr>
          <w:rFonts w:ascii="Arial" w:cs="Arial" w:eastAsia="Arial" w:hAnsi="Arial"/>
          <w:b/>
          <w:bCs/>
          <w:color w:val="242424"/>
        </w:rPr>
        <w:t xml:space="preserve">3. Prerequisites</w:t>
      </w:r>
    </w:p>
    <w:p>
      <w:pPr>
        <w:pStyle w:val="Heading2"/>
      </w:pPr>
      <w:r>
        <w:rPr>
          <w:rFonts w:ascii="Arial" w:cs="Arial" w:eastAsia="Arial" w:hAnsi="Arial"/>
          <w:b/>
          <w:bCs/>
          <w:color w:val="242424"/>
        </w:rPr>
        <w:t xml:space="preserve">3.1 Local workstation</w:t>
      </w:r>
    </w:p>
    <w:p>
      <w:pPr>
        <w:pStyle w:val="ListParagraph"/>
        <w:numPr>
          <w:ilvl w:val="0"/>
          <w:numId w:val="2"/>
        </w:numPr>
        <w:spacing w:after="80" w:line="276"/>
      </w:pPr>
      <w:r>
        <w:rPr>
          <w:rFonts w:ascii="Arial" w:cs="Arial" w:eastAsia="Arial" w:hAnsi="Arial"/>
          <w:color w:val="242424"/>
        </w:rPr>
        <w:t xml:space="preserve">Windows PowerShell 5.1 or PowerShell 7.</w:t>
      </w:r>
    </w:p>
    <w:p>
      <w:pPr>
        <w:pStyle w:val="ListParagraph"/>
        <w:numPr>
          <w:ilvl w:val="0"/>
          <w:numId w:val="2"/>
        </w:numPr>
        <w:spacing w:after="80" w:line="276"/>
      </w:pPr>
      <w:r>
        <w:rPr>
          <w:rFonts w:ascii="Arial" w:cs="Arial" w:eastAsia="Arial" w:hAnsi="Arial"/>
          <w:color w:val="242424"/>
        </w:rPr>
        <w:t xml:space="preserve">Azure CLI installed and available as az.</w:t>
      </w:r>
    </w:p>
    <w:p>
      <w:pPr>
        <w:pStyle w:val="ListParagraph"/>
        <w:numPr>
          <w:ilvl w:val="0"/>
          <w:numId w:val="2"/>
        </w:numPr>
        <w:spacing w:after="80" w:line="276"/>
      </w:pPr>
      <w:r>
        <w:rPr>
          <w:rFonts w:ascii="Arial" w:cs="Arial" w:eastAsia="Arial" w:hAnsi="Arial"/>
          <w:color w:val="242424"/>
        </w:rPr>
        <w:t xml:space="preserve">Python 3.10 or later.</w:t>
      </w:r>
    </w:p>
    <w:p>
      <w:pPr>
        <w:pStyle w:val="ListParagraph"/>
        <w:numPr>
          <w:ilvl w:val="0"/>
          <w:numId w:val="2"/>
        </w:numPr>
        <w:spacing w:after="80" w:line="276"/>
      </w:pPr>
      <w:r>
        <w:rPr>
          <w:rFonts w:ascii="Arial" w:cs="Arial" w:eastAsia="Arial" w:hAnsi="Arial"/>
          <w:color w:val="242424"/>
        </w:rPr>
        <w:t xml:space="preserve">Visual Studio Code and Microsoft Edge or Google Chrome.</w:t>
      </w:r>
    </w:p>
    <w:p>
      <w:pPr>
        <w:pStyle w:val="ListParagraph"/>
        <w:numPr>
          <w:ilvl w:val="0"/>
          <w:numId w:val="2"/>
        </w:numPr>
        <w:spacing w:after="80" w:line="276"/>
      </w:pPr>
      <w:r>
        <w:rPr>
          <w:rFonts w:ascii="Arial" w:cs="Arial" w:eastAsia="Arial" w:hAnsi="Arial"/>
          <w:color w:val="242424"/>
        </w:rPr>
        <w:t xml:space="preserve">An Azure account that can create virtual machines, networking, managed disks, Azure DocumentDB, and Azure Database Migration Service resources.</w:t>
      </w:r>
    </w:p>
    <w:p>
      <w:pPr>
        <w:pStyle w:val="Heading2"/>
      </w:pPr>
      <w:r>
        <w:rPr>
          <w:rFonts w:ascii="Arial" w:cs="Arial" w:eastAsia="Arial" w:hAnsi="Arial"/>
          <w:b/>
          <w:bCs/>
          <w:color w:val="242424"/>
        </w:rPr>
        <w:t xml:space="preserve">3.2 Migration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3726"/>
      </w:tblGrid>
      <w:tr>
        <w:trPr>
          <w:tblHeader/>
        </w:trPr>
        <w:tc>
          <w:tcPr>
            <w:tcW w:type="dxa" w:w="3000"/>
            <w:tcBorders>
              <w:top w:val="single" w:color="CFCFCF" w:sz="1"/>
              <w:left w:val="single" w:color="CFCFCF" w:sz="1"/>
              <w:bottom w:val="single" w:color="CFCFCF" w:sz="1"/>
              <w:right w:val="single" w:color="CFCFCF" w:sz="1"/>
            </w:tcBorders>
            <w:shd w:fill="B11F4B" w:val="clear"/>
            <w:tcMar>
              <w:top w:type="dxa" w:w="90"/>
              <w:left w:type="dxa" w:w="120"/>
              <w:bottom w:type="dxa" w:w="90"/>
              <w:right w:type="dxa" w:w="120"/>
            </w:tcMar>
          </w:tcPr>
          <w:p>
            <w:pPr>
              <w:spacing w:after="0" w:line="240"/>
            </w:pPr>
            <w:r>
              <w:rPr>
                <w:rFonts w:ascii="Arial" w:cs="Arial" w:eastAsia="Arial" w:hAnsi="Arial"/>
                <w:b/>
                <w:bCs/>
                <w:color w:val="FFFFFF"/>
                <w:sz w:val="19"/>
                <w:szCs w:val="19"/>
              </w:rPr>
              <w:t xml:space="preserve">Role</w:t>
            </w:r>
          </w:p>
        </w:tc>
        <w:tc>
          <w:tcPr>
            <w:tcW w:type="dxa" w:w="2300"/>
            <w:tcBorders>
              <w:top w:val="single" w:color="CFCFCF" w:sz="1"/>
              <w:left w:val="single" w:color="CFCFCF" w:sz="1"/>
              <w:bottom w:val="single" w:color="CFCFCF" w:sz="1"/>
              <w:right w:val="single" w:color="CFCFCF" w:sz="1"/>
            </w:tcBorders>
            <w:shd w:fill="B11F4B" w:val="clear"/>
            <w:tcMar>
              <w:top w:type="dxa" w:w="90"/>
              <w:left w:type="dxa" w:w="120"/>
              <w:bottom w:type="dxa" w:w="90"/>
              <w:right w:type="dxa" w:w="120"/>
            </w:tcMar>
          </w:tcPr>
          <w:p>
            <w:pPr>
              <w:spacing w:after="0" w:line="240"/>
            </w:pPr>
            <w:r>
              <w:rPr>
                <w:rFonts w:ascii="Arial" w:cs="Arial" w:eastAsia="Arial" w:hAnsi="Arial"/>
                <w:b/>
                <w:bCs/>
                <w:color w:val="FFFFFF"/>
                <w:sz w:val="19"/>
                <w:szCs w:val="19"/>
              </w:rPr>
              <w:t xml:space="preserve">Scope</w:t>
            </w:r>
          </w:p>
        </w:tc>
        <w:tc>
          <w:tcPr>
            <w:tcW w:type="dxa" w:w="3726"/>
            <w:tcBorders>
              <w:top w:val="single" w:color="CFCFCF" w:sz="1"/>
              <w:left w:val="single" w:color="CFCFCF" w:sz="1"/>
              <w:bottom w:val="single" w:color="CFCFCF" w:sz="1"/>
              <w:right w:val="single" w:color="CFCFCF" w:sz="1"/>
            </w:tcBorders>
            <w:shd w:fill="B11F4B" w:val="clear"/>
            <w:tcMar>
              <w:top w:type="dxa" w:w="90"/>
              <w:left w:type="dxa" w:w="120"/>
              <w:bottom w:type="dxa" w:w="90"/>
              <w:right w:type="dxa" w:w="120"/>
            </w:tcMar>
          </w:tcPr>
          <w:p>
            <w:pPr>
              <w:spacing w:after="0" w:line="240"/>
            </w:pPr>
            <w:r>
              <w:rPr>
                <w:rFonts w:ascii="Arial" w:cs="Arial" w:eastAsia="Arial" w:hAnsi="Arial"/>
                <w:b/>
                <w:bCs/>
                <w:color w:val="FFFFFF"/>
                <w:sz w:val="19"/>
                <w:szCs w:val="19"/>
              </w:rPr>
              <w:t xml:space="preserve">Why it is needed</w:t>
            </w:r>
          </w:p>
        </w:tc>
      </w:tr>
      <w:tr>
        <w:tc>
          <w:tcPr>
            <w:tcW w:type="dxa" w:w="30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Reader</w:t>
            </w:r>
          </w:p>
        </w:tc>
        <w:tc>
          <w:tcPr>
            <w:tcW w:type="dxa" w:w="23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Subscription</w:t>
            </w:r>
          </w:p>
        </w:tc>
        <w:tc>
          <w:tcPr>
            <w:tcW w:type="dxa" w:w="37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Lists subscriptions and resource groups for each job</w:t>
            </w:r>
          </w:p>
        </w:tc>
      </w:tr>
      <w:tr>
        <w:tc>
          <w:tcPr>
            <w:tcW w:type="dxa" w:w="30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Azure Database Migration Service Contributor</w:t>
            </w:r>
          </w:p>
        </w:tc>
        <w:tc>
          <w:tcPr>
            <w:tcW w:type="dxa" w:w="23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Resource group</w:t>
            </w:r>
          </w:p>
        </w:tc>
        <w:tc>
          <w:tcPr>
            <w:tcW w:type="dxa" w:w="37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Creates or uses DMS</w:t>
            </w:r>
          </w:p>
        </w:tc>
      </w:tr>
      <w:tr>
        <w:tc>
          <w:tcPr>
            <w:tcW w:type="dxa" w:w="30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Contributor</w:t>
            </w:r>
          </w:p>
        </w:tc>
        <w:tc>
          <w:tcPr>
            <w:tcW w:type="dxa" w:w="23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Subscription</w:t>
            </w:r>
          </w:p>
        </w:tc>
        <w:tc>
          <w:tcPr>
            <w:tcW w:type="dxa" w:w="37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Registers Microsoft.DataMigration once</w:t>
            </w:r>
          </w:p>
        </w:tc>
      </w:tr>
      <w:tr>
        <w:tc>
          <w:tcPr>
            <w:tcW w:type="dxa" w:w="30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Contributor</w:t>
            </w:r>
          </w:p>
        </w:tc>
        <w:tc>
          <w:tcPr>
            <w:tcW w:type="dxa" w:w="23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Azure DocumentDB</w:t>
            </w:r>
          </w:p>
        </w:tc>
        <w:tc>
          <w:tcPr>
            <w:tcW w:type="dxa" w:w="37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Triggers the migration job</w:t>
            </w:r>
          </w:p>
        </w:tc>
      </w:tr>
      <w:tr>
        <w:tc>
          <w:tcPr>
            <w:tcW w:type="dxa" w:w="30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User Access Administrator</w:t>
            </w:r>
          </w:p>
        </w:tc>
        <w:tc>
          <w:tcPr>
            <w:tcW w:type="dxa" w:w="23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Virtual network; private mode only</w:t>
            </w:r>
          </w:p>
        </w:tc>
        <w:tc>
          <w:tcPr>
            <w:tcW w:type="dxa" w:w="37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Assigns Network Contributor to the DMS principal</w:t>
            </w:r>
          </w:p>
        </w:tc>
      </w:tr>
    </w:tbl>
    <w:p>
      <w:pPr>
        <w:spacing w:after="120" w:line="276"/>
      </w:pPr>
      <w:r>
        <w:rPr>
          <w:rFonts w:ascii="Arial" w:cs="Arial" w:eastAsia="Arial" w:hAnsi="Arial"/>
          <w:color w:val="242424"/>
        </w:rPr>
        <w:t xml:space="preserve">Migration jobs currently require native Azure DocumentDB authentication. Microsoft Entra ID authentication is not supported for the migration job connection.</w:t>
      </w:r>
    </w:p>
    <w:p>
      <w:pPr>
        <w:pStyle w:val="Heading1"/>
      </w:pPr>
      <w:r>
        <w:rPr>
          <w:rFonts w:ascii="Arial" w:cs="Arial" w:eastAsia="Arial" w:hAnsi="Arial"/>
          <w:b/>
          <w:bCs/>
          <w:color w:val="242424"/>
        </w:rPr>
        <w:t xml:space="preserve">4. Configure the lab</w:t>
      </w:r>
    </w:p>
    <w:p>
      <w:pPr>
        <w:pStyle w:val="Heading2"/>
      </w:pPr>
      <w:r>
        <w:rPr>
          <w:rFonts w:ascii="Arial" w:cs="Arial" w:eastAsia="Arial" w:hAnsi="Arial"/>
          <w:b/>
          <w:bCs/>
          <w:color w:val="242424"/>
        </w:rPr>
        <w:t xml:space="preserve">4.1 Open the parameter editor</w:t>
      </w:r>
    </w:p>
    <w:p>
      <w:pPr>
        <w:pStyle w:val="ListParagraph"/>
        <w:numPr>
          <w:ilvl w:val="0"/>
          <w:numId w:val="3"/>
        </w:numPr>
        <w:spacing w:after="100" w:line="276"/>
      </w:pPr>
      <w:r>
        <w:rPr>
          <w:rFonts w:ascii="Arial" w:cs="Arial" w:eastAsia="Arial" w:hAnsi="Arial"/>
          <w:color w:val="242424"/>
        </w:rPr>
        <w:t xml:space="preserve">Open parameters-editor.html from the project folder in Microsoft Edge or Chrome.</w:t>
      </w:r>
    </w:p>
    <w:p>
      <w:pPr>
        <w:pStyle w:val="ListParagraph"/>
        <w:numPr>
          <w:ilvl w:val="0"/>
          <w:numId w:val="3"/>
        </w:numPr>
        <w:spacing w:after="100" w:line="276"/>
      </w:pPr>
      <w:r>
        <w:rPr>
          <w:rFonts w:ascii="Arial" w:cs="Arial" w:eastAsia="Arial" w:hAnsi="Arial"/>
          <w:color w:val="242424"/>
        </w:rPr>
        <w:t xml:space="preserve">Select Open JSON and choose parameters.json.</w:t>
      </w:r>
    </w:p>
    <w:p>
      <w:pPr>
        <w:pStyle w:val="ListParagraph"/>
        <w:numPr>
          <w:ilvl w:val="0"/>
          <w:numId w:val="3"/>
        </w:numPr>
        <w:spacing w:after="100" w:line="276"/>
      </w:pPr>
      <w:r>
        <w:rPr>
          <w:rFonts w:ascii="Arial" w:cs="Arial" w:eastAsia="Arial" w:hAnsi="Arial"/>
          <w:color w:val="242424"/>
        </w:rPr>
        <w:t xml:space="preserve">Change the required fields, then select Save. The browser asks for explicit file permission before it can overwrite the file.</w:t>
      </w:r>
    </w:p>
    <w:p>
      <w:pPr>
        <w:pStyle w:val="ListParagraph"/>
        <w:numPr>
          <w:ilvl w:val="0"/>
          <w:numId w:val="3"/>
        </w:numPr>
        <w:spacing w:after="100" w:line="276"/>
      </w:pPr>
      <w:r>
        <w:rPr>
          <w:rFonts w:ascii="Arial" w:cs="Arial" w:eastAsia="Arial" w:hAnsi="Arial"/>
          <w:color w:val="242424"/>
        </w:rPr>
        <w:t xml:space="preserve">Keep parameters.json private because it contains plaintext credentials and connection strings.</w:t>
      </w:r>
    </w:p>
    <w:p>
      <w:pPr>
        <w:pStyle w:val="Heading2"/>
      </w:pPr>
      <w:r>
        <w:rPr>
          <w:rFonts w:ascii="Arial" w:cs="Arial" w:eastAsia="Arial" w:hAnsi="Arial"/>
          <w:b/>
          <w:bCs/>
          <w:color w:val="242424"/>
        </w:rPr>
        <w:t xml:space="preserve">4.2 Required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FCFCF" w:sz="1"/>
              <w:left w:val="single" w:color="CFCFCF" w:sz="1"/>
              <w:bottom w:val="single" w:color="CFCFCF" w:sz="1"/>
              <w:right w:val="single" w:color="CFCFCF" w:sz="1"/>
            </w:tcBorders>
            <w:shd w:fill="B11F4B" w:val="clear"/>
            <w:tcMar>
              <w:top w:type="dxa" w:w="90"/>
              <w:left w:type="dxa" w:w="120"/>
              <w:bottom w:type="dxa" w:w="90"/>
              <w:right w:type="dxa" w:w="120"/>
            </w:tcMar>
          </w:tcPr>
          <w:p>
            <w:pPr>
              <w:spacing w:after="0" w:line="240"/>
            </w:pPr>
            <w:r>
              <w:rPr>
                <w:rFonts w:ascii="Arial" w:cs="Arial" w:eastAsia="Arial" w:hAnsi="Arial"/>
                <w:b/>
                <w:bCs/>
                <w:color w:val="FFFFFF"/>
                <w:sz w:val="19"/>
                <w:szCs w:val="19"/>
              </w:rPr>
              <w:t xml:space="preserve">Parameter</w:t>
            </w:r>
          </w:p>
        </w:tc>
        <w:tc>
          <w:tcPr>
            <w:tcW w:type="dxa" w:w="5726"/>
            <w:tcBorders>
              <w:top w:val="single" w:color="CFCFCF" w:sz="1"/>
              <w:left w:val="single" w:color="CFCFCF" w:sz="1"/>
              <w:bottom w:val="single" w:color="CFCFCF" w:sz="1"/>
              <w:right w:val="single" w:color="CFCFCF" w:sz="1"/>
            </w:tcBorders>
            <w:shd w:fill="B11F4B" w:val="clear"/>
            <w:tcMar>
              <w:top w:type="dxa" w:w="90"/>
              <w:left w:type="dxa" w:w="120"/>
              <w:bottom w:type="dxa" w:w="90"/>
              <w:right w:type="dxa" w:w="120"/>
            </w:tcMar>
          </w:tcPr>
          <w:p>
            <w:pPr>
              <w:spacing w:after="0" w:line="240"/>
            </w:pPr>
            <w:r>
              <w:rPr>
                <w:rFonts w:ascii="Arial" w:cs="Arial" w:eastAsia="Arial" w:hAnsi="Arial"/>
                <w:b/>
                <w:bCs/>
                <w:color w:val="FFFFFF"/>
                <w:sz w:val="19"/>
                <w:szCs w:val="19"/>
              </w:rPr>
              <w:t xml:space="preserve">Action before deployment</w:t>
            </w:r>
          </w:p>
        </w:tc>
      </w:tr>
      <w:tr>
        <w:tc>
          <w:tcPr>
            <w:tcW w:type="dxa" w:w="33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TenantId</w:t>
            </w:r>
          </w:p>
        </w:tc>
        <w:tc>
          <w:tcPr>
            <w:tcW w:type="dxa" w:w="57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Set the Microsoft Entra tenant used for Azure sign-in</w:t>
            </w:r>
          </w:p>
        </w:tc>
      </w:tr>
      <w:tr>
        <w:tc>
          <w:tcPr>
            <w:tcW w:type="dxa" w:w="33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ResourceToken</w:t>
            </w:r>
          </w:p>
        </w:tc>
        <w:tc>
          <w:tcPr>
            <w:tcW w:type="dxa" w:w="57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Use one to five lowercase letters; this is included in resource names</w:t>
            </w:r>
          </w:p>
        </w:tc>
      </w:tr>
      <w:tr>
        <w:tc>
          <w:tcPr>
            <w:tcW w:type="dxa" w:w="33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Location / FallbackLocations</w:t>
            </w:r>
          </w:p>
        </w:tc>
        <w:tc>
          <w:tcPr>
            <w:tcW w:type="dxa" w:w="57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Choose the preferred and fallback Azure regions</w:t>
            </w:r>
          </w:p>
        </w:tc>
      </w:tr>
      <w:tr>
        <w:tc>
          <w:tcPr>
            <w:tcW w:type="dxa" w:w="33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VmAdminUsername</w:t>
            </w:r>
          </w:p>
        </w:tc>
        <w:tc>
          <w:tcPr>
            <w:tcW w:type="dxa" w:w="57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Set the Linux administrator username</w:t>
            </w:r>
          </w:p>
        </w:tc>
      </w:tr>
      <w:tr>
        <w:tc>
          <w:tcPr>
            <w:tcW w:type="dxa" w:w="33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VmAdminPassword</w:t>
            </w:r>
          </w:p>
        </w:tc>
        <w:tc>
          <w:tcPr>
            <w:tcW w:type="dxa" w:w="57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Replace the sample value with a strong password</w:t>
            </w:r>
          </w:p>
        </w:tc>
      </w:tr>
      <w:tr>
        <w:tc>
          <w:tcPr>
            <w:tcW w:type="dxa" w:w="33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MongoUsername / MongoPassword</w:t>
            </w:r>
          </w:p>
        </w:tc>
        <w:tc>
          <w:tcPr>
            <w:tcW w:type="dxa" w:w="57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Set native MongoDB credentials; replace the sample password</w:t>
            </w:r>
          </w:p>
        </w:tc>
      </w:tr>
      <w:tr>
        <w:tc>
          <w:tcPr>
            <w:tcW w:type="dxa" w:w="33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FlaskSecretKey</w:t>
            </w:r>
          </w:p>
        </w:tc>
        <w:tc>
          <w:tcPr>
            <w:tcW w:type="dxa" w:w="57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Replace the placeholder with a long random value</w:t>
            </w:r>
          </w:p>
        </w:tc>
      </w:tr>
      <w:tr>
        <w:tc>
          <w:tcPr>
            <w:tcW w:type="dxa" w:w="33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SshSourceAddressPrefix</w:t>
            </w:r>
          </w:p>
        </w:tc>
        <w:tc>
          <w:tcPr>
            <w:tcW w:type="dxa" w:w="57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Leave empty to detect your public IP, or enter an IPv4 /32 CIDR</w:t>
            </w:r>
          </w:p>
        </w:tc>
      </w:tr>
      <w:tr>
        <w:tc>
          <w:tcPr>
            <w:tcW w:type="dxa" w:w="33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SeedUserCount / SeedProjectCount / SeedTasksPerProject</w:t>
            </w:r>
          </w:p>
        </w:tc>
        <w:tc>
          <w:tcPr>
            <w:tcW w:type="dxa" w:w="57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Adjust only if a different data volume is required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FCFCF" w:sz="1"/>
              <w:left w:val="single" w:color="CFCFCF" w:sz="1"/>
              <w:bottom w:val="single" w:color="CFCFCF" w:sz="1"/>
              <w:right w:val="single" w:color="CFCFCF" w:sz="1"/>
            </w:tcBorders>
            <w:shd w:fill="F4E8EC" w:val="clear"/>
            <w:tcMar>
              <w:top w:type="dxa" w:w="140"/>
              <w:left w:type="dxa" w:w="180"/>
              <w:bottom w:type="dxa" w:w="140"/>
              <w:right w:type="dxa" w:w="180"/>
            </w:tcMar>
          </w:tcPr>
          <w:p>
            <w:pPr>
              <w:spacing w:after="70"/>
            </w:pPr>
            <w:r>
              <w:rPr>
                <w:rFonts w:ascii="Arial" w:cs="Arial" w:eastAsia="Arial" w:hAnsi="Arial"/>
                <w:b/>
                <w:bCs/>
                <w:color w:val="B11F4B"/>
              </w:rPr>
              <w:t xml:space="preserve">Do not expose credentials</w:t>
            </w:r>
          </w:p>
          <w:p>
            <w:pPr>
              <w:spacing w:after="0"/>
            </w:pPr>
            <w:r>
              <w:rPr>
                <w:rFonts w:ascii="Arial" w:cs="Arial" w:eastAsia="Arial" w:hAnsi="Arial"/>
                <w:color w:val="242424"/>
              </w:rPr>
              <w:t xml:space="preserve">Do not paste real passwords or full connection strings into tickets, screenshots, email, source control, or this guide. Use the parameter names when documenting operations.</w:t>
            </w:r>
          </w:p>
        </w:tc>
      </w:tr>
    </w:tbl>
    <w:p>
      <w:pPr>
        <w:pStyle w:val="Heading1"/>
      </w:pPr>
      <w:r>
        <w:rPr>
          <w:rFonts w:ascii="Arial" w:cs="Arial" w:eastAsia="Arial" w:hAnsi="Arial"/>
          <w:b/>
          <w:bCs/>
          <w:color w:val="242424"/>
        </w:rPr>
        <w:t xml:space="preserve">5. Install MongoDB on Azure</w:t>
      </w:r>
    </w:p>
    <w:p>
      <w:pPr>
        <w:pStyle w:val="Heading2"/>
      </w:pPr>
      <w:r>
        <w:rPr>
          <w:rFonts w:ascii="Arial" w:cs="Arial" w:eastAsia="Arial" w:hAnsi="Arial"/>
          <w:b/>
          <w:bCs/>
          <w:color w:val="242424"/>
        </w:rPr>
        <w:t xml:space="preserve">5.1 Open PowerShell in the project</w:t>
      </w:r>
    </w:p>
    <w:p>
      <w:pPr>
        <w:shd w:fill="F5F5F5" w:val="clear"/>
        <w:spacing w:after="0" w:line="240"/>
        <w:ind w:left="280" w:right="280"/>
      </w:pPr>
      <w:r>
        <w:rPr>
          <w:rFonts w:ascii="Consolas" w:cs="Consolas" w:eastAsia="Consolas" w:hAnsi="Consolas"/>
          <w:color w:val="242424"/>
          <w:sz w:val="18"/>
          <w:szCs w:val="18"/>
        </w:rPr>
        <w:t xml:space="preserve">cd C:\Users\&lt;user&gt;\Downloads\mongolabmigration</w:t>
      </w:r>
    </w:p>
    <w:p>
      <w:pPr>
        <w:shd w:fill="F5F5F5" w:val="clear"/>
        <w:spacing w:after="0" w:line="240"/>
        <w:ind w:left="280" w:right="280"/>
      </w:pPr>
      <w:r>
        <w:rPr>
          <w:rFonts w:ascii="Consolas" w:cs="Consolas" w:eastAsia="Consolas" w:hAnsi="Consolas"/>
          <w:color w:val="242424"/>
          <w:sz w:val="18"/>
          <w:szCs w:val="18"/>
        </w:rPr>
        <w:t xml:space="preserve">Set-ExecutionPolicy -Scope Process -ExecutionPolicy RemoteSigned</w:t>
      </w:r>
    </w:p>
    <w:p>
      <w:pPr>
        <w:shd w:fill="F5F5F5" w:val="clear"/>
        <w:spacing w:after="0" w:line="240"/>
        <w:ind w:left="280" w:right="280"/>
      </w:pPr>
      <w:r>
        <w:rPr>
          <w:rFonts w:ascii="Consolas" w:cs="Consolas" w:eastAsia="Consolas" w:hAnsi="Consolas"/>
          <w:color w:val="242424"/>
          <w:sz w:val="18"/>
          <w:szCs w:val="18"/>
        </w:rPr>
        <w:t xml:space="preserve">.\deploy.ps1</w:t>
      </w:r>
    </w:p>
    <w:p>
      <w:pPr>
        <w:pStyle w:val="Heading2"/>
      </w:pPr>
      <w:r>
        <w:rPr>
          <w:rFonts w:ascii="Arial" w:cs="Arial" w:eastAsia="Arial" w:hAnsi="Arial"/>
          <w:b/>
          <w:bCs/>
          <w:color w:val="242424"/>
        </w:rPr>
        <w:t xml:space="preserve">5.2 Complete interactive Azure sign-in</w:t>
      </w:r>
    </w:p>
    <w:p>
      <w:pPr>
        <w:pStyle w:val="ListParagraph"/>
        <w:numPr>
          <w:ilvl w:val="0"/>
          <w:numId w:val="4"/>
        </w:numPr>
        <w:spacing w:after="100" w:line="276"/>
      </w:pPr>
      <w:r>
        <w:rPr>
          <w:rFonts w:ascii="Arial" w:cs="Arial" w:eastAsia="Arial" w:hAnsi="Arial"/>
          <w:color w:val="242424"/>
        </w:rPr>
        <w:t xml:space="preserve">Open the device-login URL displayed by Azure CLI in an InPrivate or Incognito window.</w:t>
      </w:r>
    </w:p>
    <w:p>
      <w:pPr>
        <w:pStyle w:val="ListParagraph"/>
        <w:numPr>
          <w:ilvl w:val="0"/>
          <w:numId w:val="4"/>
        </w:numPr>
        <w:spacing w:after="100" w:line="276"/>
      </w:pPr>
      <w:r>
        <w:rPr>
          <w:rFonts w:ascii="Arial" w:cs="Arial" w:eastAsia="Arial" w:hAnsi="Arial"/>
          <w:color w:val="242424"/>
        </w:rPr>
        <w:t xml:space="preserve">Enter the device code and authenticate in the tenant configured by TenantId.</w:t>
      </w:r>
    </w:p>
    <w:p>
      <w:pPr>
        <w:pStyle w:val="ListParagraph"/>
        <w:numPr>
          <w:ilvl w:val="0"/>
          <w:numId w:val="4"/>
        </w:numPr>
        <w:spacing w:after="100" w:line="276"/>
      </w:pPr>
      <w:r>
        <w:rPr>
          <w:rFonts w:ascii="Arial" w:cs="Arial" w:eastAsia="Arial" w:hAnsi="Arial"/>
          <w:color w:val="242424"/>
        </w:rPr>
        <w:t xml:space="preserve">Return to the terminal and select an enabled Azure subscription from the numbered list.</w:t>
      </w:r>
    </w:p>
    <w:p>
      <w:pPr>
        <w:pStyle w:val="ListParagraph"/>
        <w:numPr>
          <w:ilvl w:val="0"/>
          <w:numId w:val="4"/>
        </w:numPr>
        <w:spacing w:after="100" w:line="276"/>
      </w:pPr>
      <w:r>
        <w:rPr>
          <w:rFonts w:ascii="Arial" w:cs="Arial" w:eastAsia="Arial" w:hAnsi="Arial"/>
          <w:color w:val="242424"/>
        </w:rPr>
        <w:t xml:space="preserve">Read the deletion warning carefully. The generated resource group is removed and recreated.</w:t>
      </w:r>
    </w:p>
    <w:p>
      <w:pPr>
        <w:pStyle w:val="Heading2"/>
      </w:pPr>
      <w:r>
        <w:rPr>
          <w:rFonts w:ascii="Arial" w:cs="Arial" w:eastAsia="Arial" w:hAnsi="Arial"/>
          <w:b/>
          <w:bCs/>
          <w:color w:val="242424"/>
        </w:rPr>
        <w:t xml:space="preserve">5.3 What the installer creates</w:t>
      </w:r>
    </w:p>
    <w:p>
      <w:pPr>
        <w:pStyle w:val="ListParagraph"/>
        <w:numPr>
          <w:ilvl w:val="0"/>
          <w:numId w:val="2"/>
        </w:numPr>
        <w:spacing w:after="80" w:line="276"/>
      </w:pPr>
      <w:r>
        <w:rPr>
          <w:rFonts w:ascii="Arial" w:cs="Arial" w:eastAsia="Arial" w:hAnsi="Arial"/>
          <w:color w:val="242424"/>
        </w:rPr>
        <w:t xml:space="preserve">A resource group, virtual network, subnet, network security group, static public IP, network interface, Ubuntu VM, and managed data disk.</w:t>
      </w:r>
    </w:p>
    <w:p>
      <w:pPr>
        <w:pStyle w:val="ListParagraph"/>
        <w:numPr>
          <w:ilvl w:val="0"/>
          <w:numId w:val="2"/>
        </w:numPr>
        <w:spacing w:after="80" w:line="276"/>
      </w:pPr>
      <w:r>
        <w:rPr>
          <w:rFonts w:ascii="Arial" w:cs="Arial" w:eastAsia="Arial" w:hAnsi="Arial"/>
          <w:color w:val="242424"/>
        </w:rPr>
        <w:t xml:space="preserve">Inbound SSH and MongoDB rules restricted to SshSourceAddressPrefix.</w:t>
      </w:r>
    </w:p>
    <w:p>
      <w:pPr>
        <w:pStyle w:val="ListParagraph"/>
        <w:numPr>
          <w:ilvl w:val="0"/>
          <w:numId w:val="2"/>
        </w:numPr>
        <w:spacing w:after="80" w:line="276"/>
      </w:pPr>
      <w:r>
        <w:rPr>
          <w:rFonts w:ascii="Arial" w:cs="Arial" w:eastAsia="Arial" w:hAnsi="Arial"/>
          <w:color w:val="242424"/>
        </w:rPr>
        <w:t xml:space="preserve">MongoDB Community Edition 8.0, enabled as a systemd service.</w:t>
      </w:r>
    </w:p>
    <w:p>
      <w:pPr>
        <w:pStyle w:val="ListParagraph"/>
        <w:numPr>
          <w:ilvl w:val="0"/>
          <w:numId w:val="2"/>
        </w:numPr>
        <w:spacing w:after="80" w:line="276"/>
      </w:pPr>
      <w:r>
        <w:rPr>
          <w:rFonts w:ascii="Arial" w:cs="Arial" w:eastAsia="Arial" w:hAnsi="Arial"/>
          <w:color w:val="242424"/>
        </w:rPr>
        <w:t xml:space="preserve">MongoDB data on /data/db when the managed disk is available.</w:t>
      </w:r>
    </w:p>
    <w:p>
      <w:pPr>
        <w:pStyle w:val="ListParagraph"/>
        <w:numPr>
          <w:ilvl w:val="0"/>
          <w:numId w:val="2"/>
        </w:numPr>
        <w:spacing w:after="80" w:line="276"/>
      </w:pPr>
      <w:r>
        <w:rPr>
          <w:rFonts w:ascii="Arial" w:cs="Arial" w:eastAsia="Arial" w:hAnsi="Arial"/>
          <w:color w:val="242424"/>
        </w:rPr>
        <w:t xml:space="preserve">Native MongoDB authorization and the configured application user.</w:t>
      </w:r>
    </w:p>
    <w:p>
      <w:pPr>
        <w:pStyle w:val="ListParagraph"/>
        <w:numPr>
          <w:ilvl w:val="0"/>
          <w:numId w:val="2"/>
        </w:numPr>
        <w:spacing w:after="80" w:line="276"/>
      </w:pPr>
      <w:r>
        <w:rPr>
          <w:rFonts w:ascii="Arial" w:cs="Arial" w:eastAsia="Arial" w:hAnsi="Arial"/>
          <w:color w:val="242424"/>
        </w:rPr>
        <w:t xml:space="preserve">Trusted Launch, Secure Boot, vTPM, managed identity, and automatic shutdown.</w:t>
      </w:r>
    </w:p>
    <w:p>
      <w:pPr>
        <w:pStyle w:val="Heading2"/>
      </w:pPr>
      <w:r>
        <w:rPr>
          <w:rFonts w:ascii="Arial" w:cs="Arial" w:eastAsia="Arial" w:hAnsi="Arial"/>
          <w:b/>
          <w:bCs/>
          <w:color w:val="242424"/>
        </w:rPr>
        <w:t xml:space="preserve">5.4 Confirm installation</w:t>
      </w:r>
    </w:p>
    <w:p>
      <w:pPr>
        <w:spacing w:after="120" w:line="276"/>
      </w:pPr>
      <w:r>
        <w:rPr>
          <w:rFonts w:ascii="Arial" w:cs="Arial" w:eastAsia="Arial" w:hAnsi="Arial"/>
          <w:color w:val="242424"/>
        </w:rPr>
        <w:t xml:space="preserve">Wait for Deployment complete. The script updates MongoUri, PublicIpAddress, DeploymentLocation, ResourceGroupName, and VmName in parameters.json.</w:t>
      </w:r>
    </w:p>
    <w:p>
      <w:pPr>
        <w:shd w:fill="F5F5F5" w:val="clear"/>
        <w:spacing w:after="0" w:line="240"/>
        <w:ind w:left="280" w:right="280"/>
      </w:pPr>
      <w:r>
        <w:rPr>
          <w:rFonts w:ascii="Consolas" w:cs="Consolas" w:eastAsia="Consolas" w:hAnsi="Consolas"/>
          <w:color w:val="242424"/>
          <w:sz w:val="18"/>
          <w:szCs w:val="18"/>
        </w:rPr>
        <w:t xml:space="preserve">ssh &lt;VmAdminUsername&gt;@&lt;PublicIpAddress&gt;</w:t>
      </w:r>
    </w:p>
    <w:p>
      <w:pPr>
        <w:shd w:fill="F5F5F5" w:val="clear"/>
        <w:spacing w:after="0" w:line="240"/>
        <w:ind w:left="280" w:right="280"/>
      </w:pPr>
      <w:r>
        <w:rPr>
          <w:rFonts w:ascii="Consolas" w:cs="Consolas" w:eastAsia="Consolas" w:hAnsi="Consolas"/>
          <w:color w:val="242424"/>
          <w:sz w:val="18"/>
          <w:szCs w:val="18"/>
        </w:rPr>
        <w:t xml:space="preserve">sudo cloud-init status --long</w:t>
      </w:r>
    </w:p>
    <w:p>
      <w:pPr>
        <w:shd w:fill="F5F5F5" w:val="clear"/>
        <w:spacing w:after="0" w:line="240"/>
        <w:ind w:left="280" w:right="280"/>
      </w:pPr>
      <w:r>
        <w:rPr>
          <w:rFonts w:ascii="Consolas" w:cs="Consolas" w:eastAsia="Consolas" w:hAnsi="Consolas"/>
          <w:color w:val="242424"/>
          <w:sz w:val="18"/>
          <w:szCs w:val="18"/>
        </w:rPr>
        <w:t xml:space="preserve">sudo systemctl status mongod --no-pager</w:t>
      </w:r>
    </w:p>
    <w:p>
      <w:pPr>
        <w:shd w:fill="F5F5F5" w:val="clear"/>
        <w:spacing w:after="0" w:line="240"/>
        <w:ind w:left="280" w:right="280"/>
      </w:pPr>
      <w:r>
        <w:rPr>
          <w:rFonts w:ascii="Consolas" w:cs="Consolas" w:eastAsia="Consolas" w:hAnsi="Consolas"/>
          <w:color w:val="242424"/>
          <w:sz w:val="18"/>
          <w:szCs w:val="18"/>
        </w:rPr>
        <w:t xml:space="preserve">sudo journalctl -u cloud-final -u mongod --no-pager</w:t>
      </w:r>
    </w:p>
    <w:p>
      <w:pPr>
        <w:shd w:fill="F5F5F5" w:val="clear"/>
        <w:spacing w:after="0" w:line="240"/>
        <w:ind w:left="280" w:right="280"/>
      </w:pPr>
      <w:r>
        <w:rPr>
          <w:rFonts w:ascii="Consolas" w:cs="Consolas" w:eastAsia="Consolas" w:hAnsi="Consolas"/>
          <w:color w:val="242424"/>
          <w:sz w:val="18"/>
          <w:szCs w:val="18"/>
        </w:rPr>
        <w:t xml:space="preserve">exit</w:t>
      </w:r>
    </w:p>
    <w:p>
      <w:pPr>
        <w:spacing w:after="120" w:line="276"/>
      </w:pPr>
      <w:r>
        <w:rPr>
          <w:rFonts w:ascii="Arial" w:cs="Arial" w:eastAsia="Arial" w:hAnsi="Arial"/>
          <w:color w:val="242424"/>
        </w:rPr>
        <w:t xml:space="preserve">From the local workstation, test the source port:</w:t>
      </w:r>
    </w:p>
    <w:p>
      <w:pPr>
        <w:shd w:fill="F5F5F5" w:val="clear"/>
        <w:spacing w:after="0" w:line="240"/>
        <w:ind w:left="280" w:right="280"/>
      </w:pPr>
      <w:r>
        <w:rPr>
          <w:rFonts w:ascii="Consolas" w:cs="Consolas" w:eastAsia="Consolas" w:hAnsi="Consolas"/>
          <w:color w:val="242424"/>
          <w:sz w:val="18"/>
          <w:szCs w:val="18"/>
        </w:rPr>
        <w:t xml:space="preserve">Test-NetConnection -ComputerName &lt;PublicIpAddress&gt; -Port &lt;MongoPort&gt;</w:t>
      </w:r>
    </w:p>
    <w:p>
      <w:pPr>
        <w:spacing w:after="120" w:line="276"/>
      </w:pPr>
      <w:r>
        <w:rPr>
          <w:rFonts w:ascii="Arial" w:cs="Arial" w:eastAsia="Arial" w:hAnsi="Arial"/>
          <w:color w:val="242424"/>
        </w:rPr>
        <w:t xml:space="preserve">Expected result: TcpTestSucceeded is True.</w:t>
      </w:r>
    </w:p>
    <w:p>
      <w:pPr>
        <w:pStyle w:val="Heading1"/>
      </w:pPr>
      <w:r>
        <w:rPr>
          <w:rFonts w:ascii="Arial" w:cs="Arial" w:eastAsia="Arial" w:hAnsi="Arial"/>
          <w:b/>
          <w:bCs/>
          <w:color w:val="242424"/>
        </w:rPr>
        <w:t xml:space="preserve">6. Prepare Python and load data</w:t>
      </w:r>
    </w:p>
    <w:p>
      <w:pPr>
        <w:pStyle w:val="Heading2"/>
      </w:pPr>
      <w:r>
        <w:rPr>
          <w:rFonts w:ascii="Arial" w:cs="Arial" w:eastAsia="Arial" w:hAnsi="Arial"/>
          <w:b/>
          <w:bCs/>
          <w:color w:val="242424"/>
        </w:rPr>
        <w:t xml:space="preserve">6.1 Create the virtual environment</w:t>
      </w:r>
    </w:p>
    <w:p>
      <w:pPr>
        <w:shd w:fill="F5F5F5" w:val="clear"/>
        <w:spacing w:after="0" w:line="240"/>
        <w:ind w:left="280" w:right="280"/>
      </w:pPr>
      <w:r>
        <w:rPr>
          <w:rFonts w:ascii="Consolas" w:cs="Consolas" w:eastAsia="Consolas" w:hAnsi="Consolas"/>
          <w:color w:val="242424"/>
          <w:sz w:val="18"/>
          <w:szCs w:val="18"/>
        </w:rPr>
        <w:t xml:space="preserve">python -m venv .venv</w:t>
      </w:r>
    </w:p>
    <w:p>
      <w:pPr>
        <w:shd w:fill="F5F5F5" w:val="clear"/>
        <w:spacing w:after="0" w:line="240"/>
        <w:ind w:left="280" w:right="280"/>
      </w:pPr>
      <w:r>
        <w:rPr>
          <w:rFonts w:ascii="Consolas" w:cs="Consolas" w:eastAsia="Consolas" w:hAnsi="Consolas"/>
          <w:color w:val="242424"/>
          <w:sz w:val="18"/>
          <w:szCs w:val="18"/>
        </w:rPr>
        <w:t xml:space="preserve">.\.venv\Scripts\Activate.ps1</w:t>
      </w:r>
    </w:p>
    <w:p>
      <w:pPr>
        <w:shd w:fill="F5F5F5" w:val="clear"/>
        <w:spacing w:after="0" w:line="240"/>
        <w:ind w:left="280" w:right="280"/>
      </w:pPr>
      <w:r>
        <w:rPr>
          <w:rFonts w:ascii="Consolas" w:cs="Consolas" w:eastAsia="Consolas" w:hAnsi="Consolas"/>
          <w:color w:val="242424"/>
          <w:sz w:val="18"/>
          <w:szCs w:val="18"/>
        </w:rPr>
        <w:t xml:space="preserve">python -m pip install --upgrade pip</w:t>
      </w:r>
    </w:p>
    <w:p>
      <w:pPr>
        <w:shd w:fill="F5F5F5" w:val="clear"/>
        <w:spacing w:after="0" w:line="240"/>
        <w:ind w:left="280" w:right="280"/>
      </w:pPr>
      <w:r>
        <w:rPr>
          <w:rFonts w:ascii="Consolas" w:cs="Consolas" w:eastAsia="Consolas" w:hAnsi="Consolas"/>
          <w:color w:val="242424"/>
          <w:sz w:val="18"/>
          <w:szCs w:val="18"/>
        </w:rPr>
        <w:t xml:space="preserve">python -m pip install -r requirements.txt</w:t>
      </w:r>
    </w:p>
    <w:p>
      <w:pPr>
        <w:pStyle w:val="Heading2"/>
      </w:pPr>
      <w:r>
        <w:rPr>
          <w:rFonts w:ascii="Arial" w:cs="Arial" w:eastAsia="Arial" w:hAnsi="Arial"/>
          <w:b/>
          <w:bCs/>
          <w:color w:val="242424"/>
        </w:rPr>
        <w:t xml:space="preserve">6.2 Load the sample database</w:t>
      </w:r>
    </w:p>
    <w:p>
      <w:pPr>
        <w:shd w:fill="F5F5F5" w:val="clear"/>
        <w:spacing w:after="0" w:line="240"/>
        <w:ind w:left="280" w:right="280"/>
      </w:pPr>
      <w:r>
        <w:rPr>
          <w:rFonts w:ascii="Consolas" w:cs="Consolas" w:eastAsia="Consolas" w:hAnsi="Consolas"/>
          <w:color w:val="242424"/>
          <w:sz w:val="18"/>
          <w:szCs w:val="18"/>
        </w:rPr>
        <w:t xml:space="preserve">python .\seed_mongo.py</w:t>
      </w:r>
    </w:p>
    <w:p>
      <w:pPr>
        <w:spacing w:after="120" w:line="276"/>
      </w:pPr>
      <w:r>
        <w:rPr>
          <w:rFonts w:ascii="Arial" w:cs="Arial" w:eastAsia="Arial" w:hAnsi="Arial"/>
          <w:color w:val="242424"/>
        </w:rPr>
        <w:t xml:space="preserve">The default configuration creates 20 users, 500 projects, and 100 tasks per project, for a total of 50,000 tasks.</w:t>
      </w:r>
    </w:p>
    <w:p>
      <w:pPr>
        <w:spacing w:after="120" w:line="276"/>
      </w:pPr>
      <w:r>
        <w:rPr>
          <w:rFonts w:ascii="Arial" w:cs="Arial" w:eastAsia="Arial" w:hAnsi="Arial"/>
          <w:color w:val="242424"/>
        </w:rPr>
        <w:t xml:space="preserve">With the default values, the expected output is:</w:t>
      </w:r>
    </w:p>
    <w:p>
      <w:pPr>
        <w:shd w:fill="F5F5F5" w:val="clear"/>
        <w:spacing w:after="0" w:line="240"/>
        <w:ind w:left="280" w:right="280"/>
      </w:pPr>
      <w:r>
        <w:rPr>
          <w:rFonts w:ascii="Consolas" w:cs="Consolas" w:eastAsia="Consolas" w:hAnsi="Consolas"/>
          <w:color w:val="242424"/>
          <w:sz w:val="18"/>
          <w:szCs w:val="18"/>
        </w:rPr>
        <w:t xml:space="preserve">Seeded 20 users, 500 projects, and 50000 tasks.</w:t>
      </w:r>
    </w:p>
    <w:p>
      <w:pPr>
        <w:spacing w:after="120" w:line="276"/>
      </w:pPr>
      <w:r>
        <w:rPr>
          <w:rFonts w:ascii="Arial" w:cs="Arial" w:eastAsia="Arial" w:hAnsi="Arial"/>
          <w:color w:val="242424"/>
        </w:rPr>
        <w:t xml:space="preserve">The script creates project_tasks_db, replaces the users, projects, and tasks data, and creates indexes for project_id, assigned_user_id, status, and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FCFCF" w:sz="1"/>
              <w:left w:val="single" w:color="CFCFCF" w:sz="1"/>
              <w:bottom w:val="single" w:color="CFCFCF" w:sz="1"/>
              <w:right w:val="single" w:color="CFCFCF" w:sz="1"/>
            </w:tcBorders>
            <w:shd w:fill="F4E8EC" w:val="clear"/>
            <w:tcMar>
              <w:top w:type="dxa" w:w="140"/>
              <w:left w:type="dxa" w:w="180"/>
              <w:bottom w:type="dxa" w:w="140"/>
              <w:right w:type="dxa" w:w="180"/>
            </w:tcMar>
          </w:tcPr>
          <w:p>
            <w:pPr>
              <w:spacing w:after="70"/>
            </w:pPr>
            <w:r>
              <w:rPr>
                <w:rFonts w:ascii="Arial" w:cs="Arial" w:eastAsia="Arial" w:hAnsi="Arial"/>
                <w:b/>
                <w:bCs/>
                <w:color w:val="B11F4B"/>
              </w:rPr>
              <w:t xml:space="preserve">Destructive seed operation</w:t>
            </w:r>
          </w:p>
          <w:p>
            <w:pPr>
              <w:spacing w:after="0"/>
            </w:pPr>
            <w:r>
              <w:rPr>
                <w:rFonts w:ascii="Arial" w:cs="Arial" w:eastAsia="Arial" w:hAnsi="Arial"/>
                <w:color w:val="242424"/>
              </w:rPr>
              <w:t xml:space="preserve">seed_mongo.py calls delete_many on all three application collections. Run it only on the source lab database before migration. Do not run it after changing MongoUri to the Azure DocumentDB target unless you intentionally want to replace target data.</w:t>
            </w:r>
          </w:p>
        </w:tc>
      </w:tr>
    </w:tbl>
    <w:p>
      <w:pPr>
        <w:pStyle w:val="Heading2"/>
      </w:pPr>
      <w:r>
        <w:rPr>
          <w:rFonts w:ascii="Arial" w:cs="Arial" w:eastAsia="Arial" w:hAnsi="Arial"/>
          <w:b/>
          <w:bCs/>
          <w:color w:val="242424"/>
        </w:rPr>
        <w:t xml:space="preserve">6.3 Optional automated test</w:t>
      </w:r>
    </w:p>
    <w:p>
      <w:pPr>
        <w:shd w:fill="F5F5F5" w:val="clear"/>
        <w:spacing w:after="0" w:line="240"/>
        <w:ind w:left="280" w:right="280"/>
      </w:pPr>
      <w:r>
        <w:rPr>
          <w:rFonts w:ascii="Consolas" w:cs="Consolas" w:eastAsia="Consolas" w:hAnsi="Consolas"/>
          <w:color w:val="242424"/>
          <w:sz w:val="18"/>
          <w:szCs w:val="18"/>
        </w:rPr>
        <w:t xml:space="preserve">python -m pip install -r requirements-dev.txt</w:t>
      </w:r>
    </w:p>
    <w:p>
      <w:pPr>
        <w:shd w:fill="F5F5F5" w:val="clear"/>
        <w:spacing w:after="0" w:line="240"/>
        <w:ind w:left="280" w:right="280"/>
      </w:pPr>
      <w:r>
        <w:rPr>
          <w:rFonts w:ascii="Consolas" w:cs="Consolas" w:eastAsia="Consolas" w:hAnsi="Consolas"/>
          <w:color w:val="242424"/>
          <w:sz w:val="18"/>
          <w:szCs w:val="18"/>
        </w:rPr>
        <w:t xml:space="preserve">python -m pytest -q</w:t>
      </w:r>
    </w:p>
    <w:p>
      <w:pPr>
        <w:spacing w:after="120" w:line="276"/>
      </w:pPr>
      <w:r>
        <w:rPr>
          <w:rFonts w:ascii="Arial" w:cs="Arial" w:eastAsia="Arial" w:hAnsi="Arial"/>
          <w:color w:val="242424"/>
        </w:rPr>
        <w:t xml:space="preserve">The tests use mongomock and do not modify the Azure MongoDB database.</w:t>
      </w:r>
    </w:p>
    <w:p>
      <w:pPr>
        <w:pStyle w:val="Heading1"/>
      </w:pPr>
      <w:r>
        <w:rPr>
          <w:rFonts w:ascii="Arial" w:cs="Arial" w:eastAsia="Arial" w:hAnsi="Arial"/>
          <w:b/>
          <w:bCs/>
          <w:color w:val="242424"/>
        </w:rPr>
        <w:t xml:space="preserve">7. Launch and verify the application</w:t>
      </w:r>
    </w:p>
    <w:p>
      <w:pPr>
        <w:pStyle w:val="Heading2"/>
      </w:pPr>
      <w:r>
        <w:rPr>
          <w:rFonts w:ascii="Arial" w:cs="Arial" w:eastAsia="Arial" w:hAnsi="Arial"/>
          <w:b/>
          <w:bCs/>
          <w:color w:val="242424"/>
        </w:rPr>
        <w:t xml:space="preserve">7.1 Start Flask</w:t>
      </w:r>
    </w:p>
    <w:p>
      <w:pPr>
        <w:shd w:fill="F5F5F5" w:val="clear"/>
        <w:spacing w:after="0" w:line="240"/>
        <w:ind w:left="280" w:right="280"/>
      </w:pPr>
      <w:r>
        <w:rPr>
          <w:rFonts w:ascii="Consolas" w:cs="Consolas" w:eastAsia="Consolas" w:hAnsi="Consolas"/>
          <w:color w:val="242424"/>
          <w:sz w:val="18"/>
          <w:szCs w:val="18"/>
        </w:rPr>
        <w:t xml:space="preserve">python .\app.py</w:t>
      </w:r>
    </w:p>
    <w:p>
      <w:pPr>
        <w:pStyle w:val="ListParagraph"/>
        <w:numPr>
          <w:ilvl w:val="0"/>
          <w:numId w:val="5"/>
        </w:numPr>
        <w:spacing w:after="100" w:line="276"/>
      </w:pPr>
      <w:r>
        <w:rPr>
          <w:rFonts w:ascii="Arial" w:cs="Arial" w:eastAsia="Arial" w:hAnsi="Arial"/>
          <w:color w:val="242424"/>
        </w:rPr>
        <w:t xml:space="preserve">Open http://127.0.0.1:5000, or use the FlaskPort value if it was changed.</w:t>
      </w:r>
    </w:p>
    <w:p>
      <w:pPr>
        <w:pStyle w:val="ListParagraph"/>
        <w:numPr>
          <w:ilvl w:val="0"/>
          <w:numId w:val="5"/>
        </w:numPr>
        <w:spacing w:after="100" w:line="276"/>
      </w:pPr>
      <w:r>
        <w:rPr>
          <w:rFonts w:ascii="Arial" w:cs="Arial" w:eastAsia="Arial" w:hAnsi="Arial"/>
          <w:color w:val="242424"/>
        </w:rPr>
        <w:t xml:space="preserve">Confirm that the dashboard reports the expected user, project, and task counts.</w:t>
      </w:r>
    </w:p>
    <w:p>
      <w:pPr>
        <w:pStyle w:val="ListParagraph"/>
        <w:numPr>
          <w:ilvl w:val="0"/>
          <w:numId w:val="5"/>
        </w:numPr>
        <w:spacing w:after="100" w:line="276"/>
      </w:pPr>
      <w:r>
        <w:rPr>
          <w:rFonts w:ascii="Arial" w:cs="Arial" w:eastAsia="Arial" w:hAnsi="Arial"/>
          <w:color w:val="242424"/>
        </w:rPr>
        <w:t xml:space="preserve">Open Users, Projects, a project task list, and a task detail page.</w:t>
      </w:r>
    </w:p>
    <w:p>
      <w:pPr>
        <w:pStyle w:val="ListParagraph"/>
        <w:numPr>
          <w:ilvl w:val="0"/>
          <w:numId w:val="5"/>
        </w:numPr>
        <w:spacing w:after="100" w:line="276"/>
      </w:pPr>
      <w:r>
        <w:rPr>
          <w:rFonts w:ascii="Arial" w:cs="Arial" w:eastAsia="Arial" w:hAnsi="Arial"/>
          <w:color w:val="242424"/>
        </w:rPr>
        <w:t xml:space="preserve">Test health from another PowerShell terminal.</w:t>
      </w:r>
    </w:p>
    <w:p>
      <w:pPr>
        <w:shd w:fill="F5F5F5" w:val="clear"/>
        <w:spacing w:after="0" w:line="240"/>
        <w:ind w:left="280" w:right="280"/>
      </w:pPr>
      <w:r>
        <w:rPr>
          <w:rFonts w:ascii="Consolas" w:cs="Consolas" w:eastAsia="Consolas" w:hAnsi="Consolas"/>
          <w:color w:val="242424"/>
          <w:sz w:val="18"/>
          <w:szCs w:val="18"/>
        </w:rPr>
        <w:t xml:space="preserve">Invoke-RestMethod http://127.0.0.1:5000/health</w:t>
      </w:r>
    </w:p>
    <w:p>
      <w:pPr>
        <w:spacing w:after="120" w:line="276"/>
      </w:pPr>
      <w:r>
        <w:rPr>
          <w:rFonts w:ascii="Arial" w:cs="Arial" w:eastAsia="Arial" w:hAnsi="Arial"/>
          <w:color w:val="242424"/>
        </w:rPr>
        <w:t xml:space="preserve">Expected response: status is ok. Stop Flask with Ctrl+C when required.</w:t>
      </w:r>
    </w:p>
    <w:p>
      <w:pPr>
        <w:pStyle w:val="Heading1"/>
      </w:pPr>
      <w:r>
        <w:rPr>
          <w:rFonts w:ascii="Arial" w:cs="Arial" w:eastAsia="Arial" w:hAnsi="Arial"/>
          <w:b/>
          <w:bCs/>
          <w:color w:val="242424"/>
        </w:rPr>
        <w:t xml:space="preserve">8. Plan the Azure DocumentDB migration</w:t>
      </w:r>
    </w:p>
    <w:p>
      <w:pPr>
        <w:pStyle w:val="Heading2"/>
      </w:pPr>
      <w:r>
        <w:rPr>
          <w:rFonts w:ascii="Arial" w:cs="Arial" w:eastAsia="Arial" w:hAnsi="Arial"/>
          <w:b/>
          <w:bCs/>
          <w:color w:val="242424"/>
        </w:rPr>
        <w:t xml:space="preserve">8.1 Recommended mode for this lab</w:t>
      </w:r>
    </w:p>
    <w:p>
      <w:pPr>
        <w:spacing w:after="120" w:line="276"/>
      </w:pPr>
      <w:r>
        <w:rPr>
          <w:rFonts w:ascii="Arial" w:cs="Arial" w:eastAsia="Arial" w:hAnsi="Arial"/>
          <w:color w:val="242424"/>
        </w:rPr>
        <w:t xml:space="preserve">Use Offline migration with Public connectivity for the initial lab migration. The dataset is reproducible, the source VM has a public endpoint, and the application can be stopped while the snapshot is copied. Offline mode is simpler and completes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3926"/>
      </w:tblGrid>
      <w:tr>
        <w:trPr>
          <w:tblHeader/>
        </w:trPr>
        <w:tc>
          <w:tcPr>
            <w:tcW w:type="dxa" w:w="1600"/>
            <w:tcBorders>
              <w:top w:val="single" w:color="CFCFCF" w:sz="1"/>
              <w:left w:val="single" w:color="CFCFCF" w:sz="1"/>
              <w:bottom w:val="single" w:color="CFCFCF" w:sz="1"/>
              <w:right w:val="single" w:color="CFCFCF" w:sz="1"/>
            </w:tcBorders>
            <w:shd w:fill="B11F4B" w:val="clear"/>
            <w:tcMar>
              <w:top w:type="dxa" w:w="90"/>
              <w:left w:type="dxa" w:w="120"/>
              <w:bottom w:type="dxa" w:w="90"/>
              <w:right w:type="dxa" w:w="120"/>
            </w:tcMar>
          </w:tcPr>
          <w:p>
            <w:pPr>
              <w:spacing w:after="0" w:line="240"/>
            </w:pPr>
            <w:r>
              <w:rPr>
                <w:rFonts w:ascii="Arial" w:cs="Arial" w:eastAsia="Arial" w:hAnsi="Arial"/>
                <w:b/>
                <w:bCs/>
                <w:color w:val="FFFFFF"/>
                <w:sz w:val="19"/>
                <w:szCs w:val="19"/>
              </w:rPr>
              <w:t xml:space="preserve">Choice</w:t>
            </w:r>
          </w:p>
        </w:tc>
        <w:tc>
          <w:tcPr>
            <w:tcW w:type="dxa" w:w="3500"/>
            <w:tcBorders>
              <w:top w:val="single" w:color="CFCFCF" w:sz="1"/>
              <w:left w:val="single" w:color="CFCFCF" w:sz="1"/>
              <w:bottom w:val="single" w:color="CFCFCF" w:sz="1"/>
              <w:right w:val="single" w:color="CFCFCF" w:sz="1"/>
            </w:tcBorders>
            <w:shd w:fill="B11F4B" w:val="clear"/>
            <w:tcMar>
              <w:top w:type="dxa" w:w="90"/>
              <w:left w:type="dxa" w:w="120"/>
              <w:bottom w:type="dxa" w:w="90"/>
              <w:right w:type="dxa" w:w="120"/>
            </w:tcMar>
          </w:tcPr>
          <w:p>
            <w:pPr>
              <w:spacing w:after="0" w:line="240"/>
            </w:pPr>
            <w:r>
              <w:rPr>
                <w:rFonts w:ascii="Arial" w:cs="Arial" w:eastAsia="Arial" w:hAnsi="Arial"/>
                <w:b/>
                <w:bCs/>
                <w:color w:val="FFFFFF"/>
                <w:sz w:val="19"/>
                <w:szCs w:val="19"/>
              </w:rPr>
              <w:t xml:space="preserve">Use when</w:t>
            </w:r>
          </w:p>
        </w:tc>
        <w:tc>
          <w:tcPr>
            <w:tcW w:type="dxa" w:w="3926"/>
            <w:tcBorders>
              <w:top w:val="single" w:color="CFCFCF" w:sz="1"/>
              <w:left w:val="single" w:color="CFCFCF" w:sz="1"/>
              <w:bottom w:val="single" w:color="CFCFCF" w:sz="1"/>
              <w:right w:val="single" w:color="CFCFCF" w:sz="1"/>
            </w:tcBorders>
            <w:shd w:fill="B11F4B" w:val="clear"/>
            <w:tcMar>
              <w:top w:type="dxa" w:w="90"/>
              <w:left w:type="dxa" w:w="120"/>
              <w:bottom w:type="dxa" w:w="90"/>
              <w:right w:type="dxa" w:w="120"/>
            </w:tcMar>
          </w:tcPr>
          <w:p>
            <w:pPr>
              <w:spacing w:after="0" w:line="240"/>
            </w:pPr>
            <w:r>
              <w:rPr>
                <w:rFonts w:ascii="Arial" w:cs="Arial" w:eastAsia="Arial" w:hAnsi="Arial"/>
                <w:b/>
                <w:bCs/>
                <w:color w:val="FFFFFF"/>
                <w:sz w:val="19"/>
                <w:szCs w:val="19"/>
              </w:rPr>
              <w:t xml:space="preserve">Important behavior</w:t>
            </w:r>
          </w:p>
        </w:tc>
      </w:tr>
      <w:tr>
        <w:tc>
          <w:tcPr>
            <w:tcW w:type="dxa" w:w="16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Offline</w:t>
            </w:r>
          </w:p>
        </w:tc>
        <w:tc>
          <w:tcPr>
            <w:tcW w:type="dxa" w:w="35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A static snapshot and short outage are acceptable</w:t>
            </w:r>
          </w:p>
        </w:tc>
        <w:tc>
          <w:tcPr>
            <w:tcW w:type="dxa" w:w="39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Automatically completes after collection snapshots are copied</w:t>
            </w:r>
          </w:p>
        </w:tc>
      </w:tr>
      <w:tr>
        <w:tc>
          <w:tcPr>
            <w:tcW w:type="dxa" w:w="16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Online</w:t>
            </w:r>
          </w:p>
        </w:tc>
        <w:tc>
          <w:tcPr>
            <w:tcW w:type="dxa" w:w="35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Writes must continue during the initial copy</w:t>
            </w:r>
          </w:p>
        </w:tc>
        <w:tc>
          <w:tcPr>
            <w:tcW w:type="dxa" w:w="39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Requires MongoDB ChangeStream and a manual cutover</w:t>
            </w:r>
          </w:p>
        </w:tc>
      </w:tr>
      <w:tr>
        <w:tc>
          <w:tcPr>
            <w:tcW w:type="dxa" w:w="16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Public</w:t>
            </w:r>
          </w:p>
        </w:tc>
        <w:tc>
          <w:tcPr>
            <w:tcW w:type="dxa" w:w="35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Both endpoints can be allowlisted over public IPs</w:t>
            </w:r>
          </w:p>
        </w:tc>
        <w:tc>
          <w:tcPr>
            <w:tcW w:type="dxa" w:w="39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Add DMS static IPs to source and target firewalls</w:t>
            </w:r>
          </w:p>
        </w:tc>
      </w:tr>
      <w:tr>
        <w:tc>
          <w:tcPr>
            <w:tcW w:type="dxa" w:w="16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Private</w:t>
            </w:r>
          </w:p>
        </w:tc>
        <w:tc>
          <w:tcPr>
            <w:tcW w:type="dxa" w:w="35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Public exposure is prohibited</w:t>
            </w:r>
          </w:p>
        </w:tc>
        <w:tc>
          <w:tcPr>
            <w:tcW w:type="dxa" w:w="39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Requires VNet selection, nonoverlapping DMS CIDR, peering, routing, DNS, and extra RBAC</w:t>
            </w:r>
          </w:p>
        </w:tc>
      </w:tr>
    </w:tbl>
    <w:p>
      <w:pPr>
        <w:pStyle w:val="Heading2"/>
      </w:pPr>
      <w:r>
        <w:rPr>
          <w:rFonts w:ascii="Arial" w:cs="Arial" w:eastAsia="Arial" w:hAnsi="Arial"/>
          <w:b/>
          <w:bCs/>
          <w:color w:val="242424"/>
        </w:rPr>
        <w:t xml:space="preserve">8.2 Create and prepare the target</w:t>
      </w:r>
    </w:p>
    <w:p>
      <w:pPr>
        <w:pStyle w:val="ListParagraph"/>
        <w:numPr>
          <w:ilvl w:val="0"/>
          <w:numId w:val="6"/>
        </w:numPr>
        <w:spacing w:after="100" w:line="276"/>
      </w:pPr>
      <w:r>
        <w:rPr>
          <w:rFonts w:ascii="Arial" w:cs="Arial" w:eastAsia="Arial" w:hAnsi="Arial"/>
          <w:color w:val="242424"/>
        </w:rPr>
        <w:t xml:space="preserve">Create an Azure DocumentDB cluster in the chosen subscription, resource group, and region.</w:t>
      </w:r>
    </w:p>
    <w:p>
      <w:pPr>
        <w:pStyle w:val="ListParagraph"/>
        <w:numPr>
          <w:ilvl w:val="0"/>
          <w:numId w:val="6"/>
        </w:numPr>
        <w:spacing w:after="100" w:line="276"/>
      </w:pPr>
      <w:r>
        <w:rPr>
          <w:rFonts w:ascii="Arial" w:cs="Arial" w:eastAsia="Arial" w:hAnsi="Arial"/>
          <w:color w:val="242424"/>
        </w:rPr>
        <w:t xml:space="preserve">Gather its native username, password, hostname, port, and connection string.</w:t>
      </w:r>
    </w:p>
    <w:p>
      <w:pPr>
        <w:pStyle w:val="ListParagraph"/>
        <w:numPr>
          <w:ilvl w:val="0"/>
          <w:numId w:val="6"/>
        </w:numPr>
        <w:spacing w:after="100" w:line="276"/>
      </w:pPr>
      <w:r>
        <w:rPr>
          <w:rFonts w:ascii="Arial" w:cs="Arial" w:eastAsia="Arial" w:hAnsi="Arial"/>
          <w:color w:val="242424"/>
        </w:rPr>
        <w:t xml:space="preserve">Confirm the target user can createCollection, dropCollection, createIndex, insert, and listCollections.</w:t>
      </w:r>
    </w:p>
    <w:p>
      <w:pPr>
        <w:pStyle w:val="ListParagraph"/>
        <w:numPr>
          <w:ilvl w:val="0"/>
          <w:numId w:val="6"/>
        </w:numPr>
        <w:spacing w:after="100" w:line="276"/>
      </w:pPr>
      <w:r>
        <w:rPr>
          <w:rFonts w:ascii="Arial" w:cs="Arial" w:eastAsia="Arial" w:hAnsi="Arial"/>
          <w:color w:val="242424"/>
        </w:rPr>
        <w:t xml:space="preserve">Register Microsoft.DataMigration once in the subscription.</w:t>
      </w:r>
    </w:p>
    <w:p>
      <w:pPr>
        <w:shd w:fill="F5F5F5" w:val="clear"/>
        <w:spacing w:after="0" w:line="240"/>
        <w:ind w:left="280" w:right="280"/>
      </w:pPr>
      <w:r>
        <w:rPr>
          <w:rFonts w:ascii="Consolas" w:cs="Consolas" w:eastAsia="Consolas" w:hAnsi="Consolas"/>
          <w:color w:val="242424"/>
          <w:sz w:val="18"/>
          <w:szCs w:val="18"/>
        </w:rPr>
        <w:t xml:space="preserve">az provider register --namespace Microsoft.DataMigration</w:t>
      </w:r>
    </w:p>
    <w:p>
      <w:pPr>
        <w:shd w:fill="F5F5F5" w:val="clear"/>
        <w:spacing w:after="0" w:line="240"/>
        <w:ind w:left="280" w:right="280"/>
      </w:pPr>
      <w:r>
        <w:rPr>
          <w:rFonts w:ascii="Consolas" w:cs="Consolas" w:eastAsia="Consolas" w:hAnsi="Consolas"/>
          <w:color w:val="242424"/>
          <w:sz w:val="18"/>
          <w:szCs w:val="18"/>
        </w:rPr>
        <w:t xml:space="preserve">az provider show --namespace Microsoft.DataMigration --query registrationState -o tsv</w:t>
      </w:r>
    </w:p>
    <w:p>
      <w:pPr>
        <w:spacing w:after="120" w:line="276"/>
      </w:pPr>
      <w:r>
        <w:rPr>
          <w:rFonts w:ascii="Arial" w:cs="Arial" w:eastAsia="Arial" w:hAnsi="Arial"/>
          <w:color w:val="242424"/>
        </w:rPr>
        <w:t xml:space="preserve">Wait until the registration state is Registered.</w:t>
      </w:r>
    </w:p>
    <w:p>
      <w:pPr>
        <w:pStyle w:val="Heading2"/>
      </w:pPr>
      <w:r>
        <w:rPr>
          <w:rFonts w:ascii="Arial" w:cs="Arial" w:eastAsia="Arial" w:hAnsi="Arial"/>
          <w:b/>
          <w:bCs/>
          <w:color w:val="242424"/>
        </w:rPr>
        <w:t xml:space="preserve">8.3 Prepare the source account</w:t>
      </w:r>
    </w:p>
    <w:p>
      <w:pPr>
        <w:spacing w:after="120" w:line="276"/>
      </w:pPr>
      <w:r>
        <w:rPr>
          <w:rFonts w:ascii="Arial" w:cs="Arial" w:eastAsia="Arial" w:hAnsi="Arial"/>
          <w:color w:val="242424"/>
        </w:rPr>
        <w:t xml:space="preserve">Microsoft recommends a source migration user with readAnyDatabase and clusterMonitor on admin. The lab application user has clusterMonitor plus readWrite on project_tasks_db, but it does not have readAnyDatabase. Ask a MongoDB administrator to create a temporary native migration user or grant the required roles before starting the wizard.</w:t>
      </w:r>
    </w:p>
    <w:p>
      <w:pPr>
        <w:shd w:fill="F5F5F5" w:val="clear"/>
        <w:spacing w:after="0" w:line="240"/>
        <w:ind w:left="280" w:right="280"/>
      </w:pPr>
      <w:r>
        <w:rPr>
          <w:rFonts w:ascii="Consolas" w:cs="Consolas" w:eastAsia="Consolas" w:hAnsi="Consolas"/>
          <w:color w:val="242424"/>
          <w:sz w:val="18"/>
          <w:szCs w:val="18"/>
        </w:rPr>
        <w:t xml:space="preserve">use admin</w:t>
      </w:r>
    </w:p>
    <w:p>
      <w:pPr>
        <w:shd w:fill="F5F5F5" w:val="clear"/>
        <w:spacing w:after="0" w:line="240"/>
        <w:ind w:left="280" w:right="280"/>
      </w:pPr>
      <w:r>
        <w:rPr>
          <w:rFonts w:ascii="Consolas" w:cs="Consolas" w:eastAsia="Consolas" w:hAnsi="Consolas"/>
          <w:color w:val="242424"/>
          <w:sz w:val="18"/>
          <w:szCs w:val="18"/>
        </w:rPr>
        <w:t xml:space="preserve">db.createUser({</w:t>
      </w:r>
    </w:p>
    <w:p>
      <w:pPr>
        <w:shd w:fill="F5F5F5" w:val="clear"/>
        <w:spacing w:after="0" w:line="240"/>
        <w:ind w:left="280" w:right="280"/>
      </w:pPr>
      <w:r>
        <w:rPr>
          <w:rFonts w:ascii="Consolas" w:cs="Consolas" w:eastAsia="Consolas" w:hAnsi="Consolas"/>
          <w:color w:val="242424"/>
          <w:sz w:val="18"/>
          <w:szCs w:val="18"/>
        </w:rPr>
        <w:t xml:space="preserve">  user: "&lt;migration-user&gt;",</w:t>
      </w:r>
    </w:p>
    <w:p>
      <w:pPr>
        <w:shd w:fill="F5F5F5" w:val="clear"/>
        <w:spacing w:after="0" w:line="240"/>
        <w:ind w:left="280" w:right="280"/>
      </w:pPr>
      <w:r>
        <w:rPr>
          <w:rFonts w:ascii="Consolas" w:cs="Consolas" w:eastAsia="Consolas" w:hAnsi="Consolas"/>
          <w:color w:val="242424"/>
          <w:sz w:val="18"/>
          <w:szCs w:val="18"/>
        </w:rPr>
        <w:t xml:space="preserve">  pwd: "&lt;strong-temporary-password&gt;",</w:t>
      </w:r>
    </w:p>
    <w:p>
      <w:pPr>
        <w:shd w:fill="F5F5F5" w:val="clear"/>
        <w:spacing w:after="0" w:line="240"/>
        <w:ind w:left="280" w:right="280"/>
      </w:pPr>
      <w:r>
        <w:rPr>
          <w:rFonts w:ascii="Consolas" w:cs="Consolas" w:eastAsia="Consolas" w:hAnsi="Consolas"/>
          <w:color w:val="242424"/>
          <w:sz w:val="18"/>
          <w:szCs w:val="18"/>
        </w:rPr>
        <w:t xml:space="preserve">  roles: [</w:t>
      </w:r>
    </w:p>
    <w:p>
      <w:pPr>
        <w:shd w:fill="F5F5F5" w:val="clear"/>
        <w:spacing w:after="0" w:line="240"/>
        <w:ind w:left="280" w:right="280"/>
      </w:pPr>
      <w:r>
        <w:rPr>
          <w:rFonts w:ascii="Consolas" w:cs="Consolas" w:eastAsia="Consolas" w:hAnsi="Consolas"/>
          <w:color w:val="242424"/>
          <w:sz w:val="18"/>
          <w:szCs w:val="18"/>
        </w:rPr>
        <w:t xml:space="preserve">    { role: "readAnyDatabase", db: "admin" },</w:t>
      </w:r>
    </w:p>
    <w:p>
      <w:pPr>
        <w:shd w:fill="F5F5F5" w:val="clear"/>
        <w:spacing w:after="0" w:line="240"/>
        <w:ind w:left="280" w:right="280"/>
      </w:pPr>
      <w:r>
        <w:rPr>
          <w:rFonts w:ascii="Consolas" w:cs="Consolas" w:eastAsia="Consolas" w:hAnsi="Consolas"/>
          <w:color w:val="242424"/>
          <w:sz w:val="18"/>
          <w:szCs w:val="18"/>
        </w:rPr>
        <w:t xml:space="preserve">    { role: "clusterMonitor", db: "admin" }</w:t>
      </w:r>
    </w:p>
    <w:p>
      <w:pPr>
        <w:shd w:fill="F5F5F5" w:val="clear"/>
        <w:spacing w:after="0" w:line="240"/>
        <w:ind w:left="280" w:right="280"/>
      </w:pPr>
      <w:r>
        <w:rPr>
          <w:rFonts w:ascii="Consolas" w:cs="Consolas" w:eastAsia="Consolas" w:hAnsi="Consolas"/>
          <w:color w:val="242424"/>
          <w:sz w:val="18"/>
          <w:szCs w:val="18"/>
        </w:rPr>
        <w:t xml:space="preserve">  ]</w:t>
      </w:r>
    </w:p>
    <w:p>
      <w:pPr>
        <w:shd w:fill="F5F5F5" w:val="clear"/>
        <w:spacing w:after="0" w:line="240"/>
        <w:ind w:left="280" w:right="280"/>
      </w:pPr>
      <w:r>
        <w:rPr>
          <w:rFonts w:ascii="Consolas" w:cs="Consolas" w:eastAsia="Consolas" w:hAnsi="Consolas"/>
          <w:color w:val="242424"/>
          <w:sz w:val="18"/>
          <w:szCs w:val="18"/>
        </w:rPr>
        <w:t xml:space="preserve">})</w:t>
      </w:r>
    </w:p>
    <w:p>
      <w:pPr>
        <w:spacing w:after="120" w:line="276"/>
      </w:pPr>
      <w:r>
        <w:rPr>
          <w:rFonts w:ascii="Arial" w:cs="Arial" w:eastAsia="Arial" w:hAnsi="Arial"/>
          <w:color w:val="242424"/>
        </w:rPr>
        <w:t xml:space="preserve">Run this in mongosh while authenticated as a user with user-administration privileges. Remove the temporary user after migration.</w:t>
      </w:r>
    </w:p>
    <w:p>
      <w:pPr>
        <w:pStyle w:val="Heading2"/>
      </w:pPr>
      <w:r>
        <w:rPr>
          <w:rFonts w:ascii="Arial" w:cs="Arial" w:eastAsia="Arial" w:hAnsi="Arial"/>
          <w:b/>
          <w:bCs/>
          <w:color w:val="242424"/>
        </w:rPr>
        <w:t xml:space="preserve">8.4 Run a premigration assessment</w:t>
      </w:r>
    </w:p>
    <w:p>
      <w:pPr>
        <w:spacing w:after="120" w:line="276"/>
      </w:pPr>
      <w:r>
        <w:rPr>
          <w:rFonts w:ascii="Arial" w:cs="Arial" w:eastAsia="Arial" w:hAnsi="Arial"/>
          <w:color w:val="242424"/>
        </w:rPr>
        <w:t xml:space="preserve">Complete the assessment offered by the migration tooling before creating the job. Resolve incompatible commands, data types, index definitions, and other warnings. Record accepted exceptions in the migration change record.</w:t>
      </w:r>
    </w:p>
    <w:p>
      <w:pPr>
        <w:pStyle w:val="Heading1"/>
      </w:pPr>
      <w:r>
        <w:rPr>
          <w:rFonts w:ascii="Arial" w:cs="Arial" w:eastAsia="Arial" w:hAnsi="Arial"/>
          <w:b/>
          <w:bCs/>
          <w:color w:val="242424"/>
        </w:rPr>
        <w:t xml:space="preserve">9. Install and open the VS Code extensions</w:t>
      </w:r>
    </w:p>
    <w:p>
      <w:pPr>
        <w:pStyle w:val="ListParagraph"/>
        <w:numPr>
          <w:ilvl w:val="0"/>
          <w:numId w:val="7"/>
        </w:numPr>
        <w:spacing w:after="100" w:line="276"/>
      </w:pPr>
      <w:r>
        <w:rPr>
          <w:rFonts w:ascii="Arial" w:cs="Arial" w:eastAsia="Arial" w:hAnsi="Arial"/>
          <w:color w:val="242424"/>
        </w:rPr>
        <w:t xml:space="preserve">In Visual Studio Code, open Extensions with Ctrl+Shift+X.</w:t>
      </w:r>
    </w:p>
    <w:p>
      <w:pPr>
        <w:pStyle w:val="ListParagraph"/>
        <w:numPr>
          <w:ilvl w:val="0"/>
          <w:numId w:val="7"/>
        </w:numPr>
        <w:spacing w:after="100" w:line="276"/>
      </w:pPr>
      <w:r>
        <w:rPr>
          <w:rFonts w:ascii="Arial" w:cs="Arial" w:eastAsia="Arial" w:hAnsi="Arial"/>
          <w:color w:val="242424"/>
        </w:rPr>
        <w:t xml:space="preserve">Install Azure DocumentDB Migration Extension from https://aka.ms/azure-documentdb-migration-extension.</w:t>
      </w:r>
    </w:p>
    <w:p>
      <w:pPr>
        <w:pStyle w:val="ListParagraph"/>
        <w:numPr>
          <w:ilvl w:val="0"/>
          <w:numId w:val="7"/>
        </w:numPr>
        <w:spacing w:after="100" w:line="276"/>
      </w:pPr>
      <w:r>
        <w:rPr>
          <w:rFonts w:ascii="Arial" w:cs="Arial" w:eastAsia="Arial" w:hAnsi="Arial"/>
          <w:color w:val="242424"/>
        </w:rPr>
        <w:t xml:space="preserve">Allow installation of the prerequisite DocumentDB for Visual Studio Code extension.</w:t>
      </w:r>
    </w:p>
    <w:p>
      <w:pPr>
        <w:pStyle w:val="ListParagraph"/>
        <w:numPr>
          <w:ilvl w:val="0"/>
          <w:numId w:val="7"/>
        </w:numPr>
        <w:spacing w:after="100" w:line="276"/>
      </w:pPr>
      <w:r>
        <w:rPr>
          <w:rFonts w:ascii="Arial" w:cs="Arial" w:eastAsia="Arial" w:hAnsi="Arial"/>
          <w:color w:val="242424"/>
        </w:rPr>
        <w:t xml:space="preserve">Reload Visual Studio Code if prompted, then sign in to Azure using the intended tenant and subscription.</w:t>
      </w:r>
    </w:p>
    <w:p>
      <w:pPr>
        <w:spacing w:after="120" w:line="276"/>
      </w:pPr>
      <w:r>
        <w:rPr>
          <w:rFonts w:ascii="Arial" w:cs="Arial" w:eastAsia="Arial" w:hAnsi="Arial"/>
          <w:color w:val="242424"/>
        </w:rPr>
        <w:t xml:space="preserve">Official procedure: </w:t>
      </w:r>
      <w:hyperlink w:history="1" r:id="rIdx7u8b8x5uufdeevxwjt2b">
        <w:r>
          <w:rPr>
            <w:rStyle w:val="Hyperlink"/>
          </w:rPr>
          <w:t xml:space="preserve">Migrate MongoDB using Azure DocumentDB Migration Extension</w:t>
        </w:r>
      </w:hyperlink>
    </w:p>
    <w:p>
      <w:pPr>
        <w:pStyle w:val="Heading1"/>
      </w:pPr>
      <w:r>
        <w:rPr>
          <w:rFonts w:ascii="Arial" w:cs="Arial" w:eastAsia="Arial" w:hAnsi="Arial"/>
          <w:b/>
          <w:bCs/>
          <w:color w:val="242424"/>
        </w:rPr>
        <w:t xml:space="preserve">10. Connect the extension to source MongoDB</w:t>
      </w:r>
    </w:p>
    <w:p>
      <w:pPr>
        <w:pStyle w:val="ListParagraph"/>
        <w:numPr>
          <w:ilvl w:val="0"/>
          <w:numId w:val="8"/>
        </w:numPr>
        <w:spacing w:after="100" w:line="276"/>
      </w:pPr>
      <w:r>
        <w:rPr>
          <w:rFonts w:ascii="Arial" w:cs="Arial" w:eastAsia="Arial" w:hAnsi="Arial"/>
          <w:color w:val="242424"/>
        </w:rPr>
        <w:t xml:space="preserve">Open the DocumentDB view in the Visual Studio Code activity bar.</w:t>
      </w:r>
    </w:p>
    <w:p>
      <w:pPr>
        <w:pStyle w:val="ListParagraph"/>
        <w:numPr>
          <w:ilvl w:val="0"/>
          <w:numId w:val="8"/>
        </w:numPr>
        <w:spacing w:after="100" w:line="276"/>
      </w:pPr>
      <w:r>
        <w:rPr>
          <w:rFonts w:ascii="Arial" w:cs="Arial" w:eastAsia="Arial" w:hAnsi="Arial"/>
          <w:color w:val="242424"/>
        </w:rPr>
        <w:t xml:space="preserve">Under Document DB Connections, select Add New Connection.</w:t>
      </w:r>
    </w:p>
    <w:p>
      <w:pPr>
        <w:pStyle w:val="ListParagraph"/>
        <w:numPr>
          <w:ilvl w:val="0"/>
          <w:numId w:val="8"/>
        </w:numPr>
        <w:spacing w:after="100" w:line="276"/>
      </w:pPr>
      <w:r>
        <w:rPr>
          <w:rFonts w:ascii="Arial" w:cs="Arial" w:eastAsia="Arial" w:hAnsi="Arial"/>
          <w:color w:val="242424"/>
        </w:rPr>
        <w:t xml:space="preserve">Choose Connection String.</w:t>
      </w:r>
    </w:p>
    <w:p>
      <w:pPr>
        <w:pStyle w:val="ListParagraph"/>
        <w:numPr>
          <w:ilvl w:val="0"/>
          <w:numId w:val="8"/>
        </w:numPr>
        <w:spacing w:after="100" w:line="276"/>
      </w:pPr>
      <w:r>
        <w:rPr>
          <w:rFonts w:ascii="Arial" w:cs="Arial" w:eastAsia="Arial" w:hAnsi="Arial"/>
          <w:color w:val="242424"/>
        </w:rPr>
        <w:t xml:space="preserve">Paste a source connection string that uses the temporary migration user and authSource=admin. Base the host and port on PublicIpAddress and MongoPort in parameters.json.</w:t>
      </w:r>
    </w:p>
    <w:p>
      <w:pPr>
        <w:shd w:fill="F5F5F5" w:val="clear"/>
        <w:spacing w:after="0" w:line="240"/>
        <w:ind w:left="280" w:right="280"/>
      </w:pPr>
      <w:r>
        <w:rPr>
          <w:rFonts w:ascii="Consolas" w:cs="Consolas" w:eastAsia="Consolas" w:hAnsi="Consolas"/>
          <w:color w:val="242424"/>
          <w:sz w:val="18"/>
          <w:szCs w:val="18"/>
        </w:rPr>
        <w:t xml:space="preserve">mongodb://&lt;migration-user&gt;:&lt;encoded-password&gt;@&lt;PublicIpAddress&gt;:&lt;MongoPort&gt;/?authSource=admin</w:t>
      </w:r>
    </w:p>
    <w:p>
      <w:pPr>
        <w:pStyle w:val="ListParagraph"/>
        <w:numPr>
          <w:ilvl w:val="0"/>
          <w:numId w:val="8"/>
        </w:numPr>
        <w:spacing w:after="100" w:line="276"/>
      </w:pPr>
      <w:r>
        <w:rPr>
          <w:rFonts w:ascii="Arial" w:cs="Arial" w:eastAsia="Arial" w:hAnsi="Arial"/>
          <w:color w:val="242424"/>
        </w:rPr>
        <w:t xml:space="preserve">Expand the new connection and confirm that project_tasks_db and its three collections are visible.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FCFCF" w:sz="1"/>
              <w:left w:val="single" w:color="CFCFCF" w:sz="1"/>
              <w:bottom w:val="single" w:color="CFCFCF" w:sz="1"/>
              <w:right w:val="single" w:color="CFCFCF" w:sz="1"/>
            </w:tcBorders>
            <w:shd w:fill="F4E8EC" w:val="clear"/>
            <w:tcMar>
              <w:top w:type="dxa" w:w="140"/>
              <w:left w:type="dxa" w:w="180"/>
              <w:bottom w:type="dxa" w:w="140"/>
              <w:right w:type="dxa" w:w="180"/>
            </w:tcMar>
          </w:tcPr>
          <w:p>
            <w:pPr>
              <w:spacing w:after="70"/>
            </w:pPr>
            <w:r>
              <w:rPr>
                <w:rFonts w:ascii="Arial" w:cs="Arial" w:eastAsia="Arial" w:hAnsi="Arial"/>
                <w:b/>
                <w:bCs/>
                <w:color w:val="B11F4B"/>
              </w:rPr>
              <w:t xml:space="preserve">Local connectivity requirement</w:t>
            </w:r>
          </w:p>
          <w:p>
            <w:pPr>
              <w:spacing w:after="0"/>
            </w:pPr>
            <w:r>
              <w:rPr>
                <w:rFonts w:ascii="Arial" w:cs="Arial" w:eastAsia="Arial" w:hAnsi="Arial"/>
                <w:color w:val="242424"/>
              </w:rPr>
              <w:t xml:space="preserve">The wizard needs local connectivity to source and target while it enumerates databases and submits the job. After submission, Azure DMS performs the transfer and VS Code can be closed.</w:t>
            </w:r>
          </w:p>
        </w:tc>
      </w:tr>
    </w:tbl>
    <w:p>
      <w:pPr>
        <w:pStyle w:val="Heading1"/>
      </w:pPr>
      <w:r>
        <w:rPr>
          <w:rFonts w:ascii="Arial" w:cs="Arial" w:eastAsia="Arial" w:hAnsi="Arial"/>
          <w:b/>
          <w:bCs/>
          <w:color w:val="242424"/>
        </w:rPr>
        <w:t xml:space="preserve">11. Create the migration job</w:t>
      </w:r>
    </w:p>
    <w:p>
      <w:pPr>
        <w:spacing w:after="120" w:line="276"/>
      </w:pPr>
      <w:r>
        <w:rPr>
          <w:rFonts w:ascii="Arial" w:cs="Arial" w:eastAsia="Arial" w:hAnsi="Arial"/>
          <w:color w:val="242424"/>
        </w:rPr>
        <w:t xml:space="preserve">Right-click the expanded source connection, select Data Migration, select Migration to Azure DocumentDB, and then select Migrate to Azure DocumentDB. Complete all seven wizard steps.</w:t>
      </w:r>
    </w:p>
    <w:p>
      <w:pPr>
        <w:pStyle w:val="Heading2"/>
      </w:pPr>
      <w:r>
        <w:rPr>
          <w:rFonts w:ascii="Arial" w:cs="Arial" w:eastAsia="Arial" w:hAnsi="Arial"/>
          <w:b/>
          <w:bCs/>
          <w:color w:val="242424"/>
        </w:rPr>
        <w:t xml:space="preserve">11.1 Step 1 - Create job</w:t>
      </w:r>
    </w:p>
    <w:p>
      <w:pPr>
        <w:pStyle w:val="ListParagraph"/>
        <w:numPr>
          <w:ilvl w:val="0"/>
          <w:numId w:val="2"/>
        </w:numPr>
        <w:spacing w:after="80" w:line="276"/>
      </w:pPr>
      <w:r>
        <w:rPr>
          <w:rFonts w:ascii="Arial" w:cs="Arial" w:eastAsia="Arial" w:hAnsi="Arial"/>
          <w:color w:val="242424"/>
        </w:rPr>
        <w:t xml:space="preserve">Enter a descriptive job name, for example mongolab-project-tasks-offline-20260901.</w:t>
      </w:r>
    </w:p>
    <w:p>
      <w:pPr>
        <w:pStyle w:val="ListParagraph"/>
        <w:numPr>
          <w:ilvl w:val="0"/>
          <w:numId w:val="2"/>
        </w:numPr>
        <w:spacing w:after="80" w:line="276"/>
      </w:pPr>
      <w:r>
        <w:rPr>
          <w:rFonts w:ascii="Arial" w:cs="Arial" w:eastAsia="Arial" w:hAnsi="Arial"/>
          <w:color w:val="242424"/>
        </w:rPr>
        <w:t xml:space="preserve">Select Offline for this lab. Select Online only after enabling and validating ChangeStream.</w:t>
      </w:r>
    </w:p>
    <w:p>
      <w:pPr>
        <w:pStyle w:val="ListParagraph"/>
        <w:numPr>
          <w:ilvl w:val="0"/>
          <w:numId w:val="2"/>
        </w:numPr>
        <w:spacing w:after="80" w:line="276"/>
      </w:pPr>
      <w:r>
        <w:rPr>
          <w:rFonts w:ascii="Arial" w:cs="Arial" w:eastAsia="Arial" w:hAnsi="Arial"/>
          <w:color w:val="242424"/>
        </w:rPr>
        <w:t xml:space="preserve">Select Public for the current VM architecture. Select Private only when both network paths are prepared.</w:t>
      </w:r>
    </w:p>
    <w:p>
      <w:pPr>
        <w:pStyle w:val="Heading2"/>
      </w:pPr>
      <w:r>
        <w:rPr>
          <w:rFonts w:ascii="Arial" w:cs="Arial" w:eastAsia="Arial" w:hAnsi="Arial"/>
          <w:b/>
          <w:bCs/>
          <w:color w:val="242424"/>
        </w:rPr>
        <w:t xml:space="preserve">11.2 Step 2 - Select target</w:t>
      </w:r>
    </w:p>
    <w:p>
      <w:pPr>
        <w:pStyle w:val="ListParagraph"/>
        <w:numPr>
          <w:ilvl w:val="0"/>
          <w:numId w:val="2"/>
        </w:numPr>
        <w:spacing w:after="80" w:line="276"/>
      </w:pPr>
      <w:r>
        <w:rPr>
          <w:rFonts w:ascii="Arial" w:cs="Arial" w:eastAsia="Arial" w:hAnsi="Arial"/>
          <w:color w:val="242424"/>
        </w:rPr>
        <w:t xml:space="preserve">Select the target subscription, resource group, and Azure DocumentDB account.</w:t>
      </w:r>
    </w:p>
    <w:p>
      <w:pPr>
        <w:pStyle w:val="ListParagraph"/>
        <w:numPr>
          <w:ilvl w:val="0"/>
          <w:numId w:val="2"/>
        </w:numPr>
        <w:spacing w:after="80" w:line="276"/>
      </w:pPr>
      <w:r>
        <w:rPr>
          <w:rFonts w:ascii="Arial" w:cs="Arial" w:eastAsia="Arial" w:hAnsi="Arial"/>
          <w:color w:val="242424"/>
        </w:rPr>
        <w:t xml:space="preserve">Enter the native Azure DocumentDB connection string.</w:t>
      </w:r>
    </w:p>
    <w:p>
      <w:pPr>
        <w:pStyle w:val="ListParagraph"/>
        <w:numPr>
          <w:ilvl w:val="0"/>
          <w:numId w:val="2"/>
        </w:numPr>
        <w:spacing w:after="80" w:line="276"/>
      </w:pPr>
      <w:r>
        <w:rPr>
          <w:rFonts w:ascii="Arial" w:cs="Arial" w:eastAsia="Arial" w:hAnsi="Arial"/>
          <w:color w:val="242424"/>
        </w:rPr>
        <w:t xml:space="preserve">Add the IP shown by the wizard to the Azure DocumentDB firewall.</w:t>
      </w:r>
    </w:p>
    <w:p>
      <w:pPr>
        <w:pStyle w:val="Heading2"/>
      </w:pPr>
      <w:r>
        <w:rPr>
          <w:rFonts w:ascii="Arial" w:cs="Arial" w:eastAsia="Arial" w:hAnsi="Arial"/>
          <w:b/>
          <w:bCs/>
          <w:color w:val="242424"/>
        </w:rPr>
        <w:t xml:space="preserve">11.3 Step 3 - Select DMS</w:t>
      </w:r>
    </w:p>
    <w:p>
      <w:pPr>
        <w:pStyle w:val="ListParagraph"/>
        <w:numPr>
          <w:ilvl w:val="0"/>
          <w:numId w:val="2"/>
        </w:numPr>
        <w:spacing w:after="80" w:line="276"/>
      </w:pPr>
      <w:r>
        <w:rPr>
          <w:rFonts w:ascii="Arial" w:cs="Arial" w:eastAsia="Arial" w:hAnsi="Arial"/>
          <w:color w:val="242424"/>
        </w:rPr>
        <w:t xml:space="preserve">Choose an existing Azure Database Migration Service in the intended region or select Create DMS.</w:t>
      </w:r>
    </w:p>
    <w:p>
      <w:pPr>
        <w:pStyle w:val="ListParagraph"/>
        <w:numPr>
          <w:ilvl w:val="0"/>
          <w:numId w:val="2"/>
        </w:numPr>
        <w:spacing w:after="80" w:line="276"/>
      </w:pPr>
      <w:r>
        <w:rPr>
          <w:rFonts w:ascii="Arial" w:cs="Arial" w:eastAsia="Arial" w:hAnsi="Arial"/>
          <w:color w:val="242424"/>
        </w:rPr>
        <w:t xml:space="preserve">One DMS per region can serve multiple public migration jobs.</w:t>
      </w:r>
    </w:p>
    <w:p>
      <w:pPr>
        <w:pStyle w:val="Heading2"/>
      </w:pPr>
      <w:r>
        <w:rPr>
          <w:rFonts w:ascii="Arial" w:cs="Arial" w:eastAsia="Arial" w:hAnsi="Arial"/>
          <w:b/>
          <w:bCs/>
          <w:color w:val="242424"/>
        </w:rPr>
        <w:t xml:space="preserve">11.4 Step 4 - Configure public connectivity</w:t>
      </w:r>
    </w:p>
    <w:p>
      <w:pPr>
        <w:spacing w:after="120" w:line="276"/>
      </w:pPr>
      <w:r>
        <w:rPr>
          <w:rFonts w:ascii="Arial" w:cs="Arial" w:eastAsia="Arial" w:hAnsi="Arial"/>
          <w:color w:val="242424"/>
        </w:rPr>
        <w:t xml:space="preserve">The wizard displays one or more DMS static IP addresses. Allow each address on both endpoints. For the source VM, add temporary NSG rules without rerunning deploy.ps1, because rerunning the installer deletes the source resource group.</w:t>
      </w:r>
    </w:p>
    <w:p>
      <w:pPr>
        <w:shd w:fill="F5F5F5" w:val="clear"/>
        <w:spacing w:after="0" w:line="240"/>
        <w:ind w:left="280" w:right="280"/>
      </w:pPr>
      <w:r>
        <w:rPr>
          <w:rFonts w:ascii="Consolas" w:cs="Consolas" w:eastAsia="Consolas" w:hAnsi="Consolas"/>
          <w:color w:val="242424"/>
          <w:sz w:val="18"/>
          <w:szCs w:val="18"/>
        </w:rPr>
        <w:t xml:space="preserve">$resourceGroup = "&lt;ResourceGroupName&gt;"</w:t>
      </w:r>
    </w:p>
    <w:p>
      <w:pPr>
        <w:shd w:fill="F5F5F5" w:val="clear"/>
        <w:spacing w:after="0" w:line="240"/>
        <w:ind w:left="280" w:right="280"/>
      </w:pPr>
      <w:r>
        <w:rPr>
          <w:rFonts w:ascii="Consolas" w:cs="Consolas" w:eastAsia="Consolas" w:hAnsi="Consolas"/>
          <w:color w:val="242424"/>
          <w:sz w:val="18"/>
          <w:szCs w:val="18"/>
        </w:rPr>
        <w:t xml:space="preserve">$nsgName = "ng&lt;ResourceToken&gt;1"  # confirm the actual NSG name in Azure</w:t>
      </w:r>
    </w:p>
    <w:p>
      <w:pPr>
        <w:shd w:fill="F5F5F5" w:val="clear"/>
        <w:spacing w:after="0" w:line="240"/>
        <w:ind w:left="280" w:right="280"/>
      </w:pPr>
      <w:r>
        <w:rPr>
          <w:rFonts w:ascii="Consolas" w:cs="Consolas" w:eastAsia="Consolas" w:hAnsi="Consolas"/>
          <w:color w:val="242424"/>
          <w:sz w:val="18"/>
          <w:szCs w:val="18"/>
        </w:rPr>
        <w:t xml:space="preserve">$dmsIp = "&lt;DMS_STATIC_IP&gt;"</w:t>
      </w:r>
    </w:p>
    <w:p>
      <w:pPr>
        <w:shd w:fill="F5F5F5" w:val="clear"/>
        <w:spacing w:after="0" w:line="240"/>
        <w:ind w:left="280" w:right="280"/>
      </w:pPr>
      <w:r>
        <w:rPr>
          <w:rFonts w:ascii="Consolas" w:cs="Consolas" w:eastAsia="Consolas" w:hAnsi="Consolas"/>
          <w:color w:val="242424"/>
          <w:sz w:val="18"/>
          <w:szCs w:val="18"/>
        </w:rPr>
        <w:t xml:space="preserve">az network nsg rule create --resource-group $resourceGroup --nsg-name $nsgName `</w:t>
      </w:r>
    </w:p>
    <w:p>
      <w:pPr>
        <w:shd w:fill="F5F5F5" w:val="clear"/>
        <w:spacing w:after="0" w:line="240"/>
        <w:ind w:left="280" w:right="280"/>
      </w:pPr>
      <w:r>
        <w:rPr>
          <w:rFonts w:ascii="Consolas" w:cs="Consolas" w:eastAsia="Consolas" w:hAnsi="Consolas"/>
          <w:color w:val="242424"/>
          <w:sz w:val="18"/>
          <w:szCs w:val="18"/>
        </w:rPr>
        <w:t xml:space="preserve">  --name AllowMongoFromDms1 --priority 121 --direction Inbound --access Allow `</w:t>
      </w:r>
    </w:p>
    <w:p>
      <w:pPr>
        <w:shd w:fill="F5F5F5" w:val="clear"/>
        <w:spacing w:after="0" w:line="240"/>
        <w:ind w:left="280" w:right="280"/>
      </w:pPr>
      <w:r>
        <w:rPr>
          <w:rFonts w:ascii="Consolas" w:cs="Consolas" w:eastAsia="Consolas" w:hAnsi="Consolas"/>
          <w:color w:val="242424"/>
          <w:sz w:val="18"/>
          <w:szCs w:val="18"/>
        </w:rPr>
        <w:t xml:space="preserve">  --protocol Tcp --source-address-prefixes "$dmsIp/32" --destination-port-ranges 27017</w:t>
      </w:r>
    </w:p>
    <w:p>
      <w:pPr>
        <w:spacing w:after="120" w:line="276"/>
      </w:pPr>
      <w:r>
        <w:rPr>
          <w:rFonts w:ascii="Arial" w:cs="Arial" w:eastAsia="Arial" w:hAnsi="Arial"/>
          <w:color w:val="242424"/>
        </w:rPr>
        <w:t xml:space="preserve">Use a unique name and priority for each additional DMS IP. Add the same DMS IPs to the Azure DocumentDB firewall through the wizard or portal.</w:t>
      </w:r>
    </w:p>
    <w:p>
      <w:pPr>
        <w:pStyle w:val="Heading2"/>
      </w:pPr>
      <w:r>
        <w:rPr>
          <w:rFonts w:ascii="Arial" w:cs="Arial" w:eastAsia="Arial" w:hAnsi="Arial"/>
          <w:b/>
          <w:bCs/>
          <w:color w:val="242424"/>
        </w:rPr>
        <w:t xml:space="preserve">11.5 Step 5 - Select collections</w:t>
      </w:r>
    </w:p>
    <w:p>
      <w:pPr>
        <w:pStyle w:val="ListParagraph"/>
        <w:numPr>
          <w:ilvl w:val="0"/>
          <w:numId w:val="2"/>
        </w:numPr>
        <w:spacing w:after="80" w:line="276"/>
      </w:pPr>
      <w:r>
        <w:rPr>
          <w:rFonts w:ascii="Arial" w:cs="Arial" w:eastAsia="Arial" w:hAnsi="Arial"/>
          <w:color w:val="242424"/>
        </w:rPr>
        <w:t xml:space="preserve">Select project_tasks_db.users, project_tasks_db.projects, and project_tasks_db.tasks.</w:t>
      </w:r>
    </w:p>
    <w:p>
      <w:pPr>
        <w:pStyle w:val="ListParagraph"/>
        <w:numPr>
          <w:ilvl w:val="0"/>
          <w:numId w:val="2"/>
        </w:numPr>
        <w:spacing w:after="80" w:line="276"/>
      </w:pPr>
      <w:r>
        <w:rPr>
          <w:rFonts w:ascii="Arial" w:cs="Arial" w:eastAsia="Arial" w:hAnsi="Arial"/>
          <w:color w:val="242424"/>
        </w:rPr>
        <w:t xml:space="preserve">Select every required collection now; collections cannot be added after the job is created.</w:t>
      </w:r>
    </w:p>
    <w:p>
      <w:pPr>
        <w:pStyle w:val="Heading2"/>
      </w:pPr>
      <w:r>
        <w:rPr>
          <w:rFonts w:ascii="Arial" w:cs="Arial" w:eastAsia="Arial" w:hAnsi="Arial"/>
          <w:b/>
          <w:bCs/>
          <w:color w:val="242424"/>
        </w:rPr>
        <w:t xml:space="preserve">11.6 Step 6 - Configure collections</w:t>
      </w:r>
    </w:p>
    <w:p>
      <w:pPr>
        <w:pStyle w:val="ListParagraph"/>
        <w:numPr>
          <w:ilvl w:val="0"/>
          <w:numId w:val="2"/>
        </w:numPr>
        <w:spacing w:after="80" w:line="276"/>
      </w:pPr>
      <w:r>
        <w:rPr>
          <w:rFonts w:ascii="Arial" w:cs="Arial" w:eastAsia="Arial" w:hAnsi="Arial"/>
          <w:color w:val="242424"/>
        </w:rPr>
        <w:t xml:space="preserve">For an empty lab target, choose overwrite only if the wizard reports that a target collection already exists and replacement is intended.</w:t>
      </w:r>
    </w:p>
    <w:p>
      <w:pPr>
        <w:pStyle w:val="ListParagraph"/>
        <w:numPr>
          <w:ilvl w:val="0"/>
          <w:numId w:val="2"/>
        </w:numPr>
        <w:spacing w:after="80" w:line="276"/>
      </w:pPr>
      <w:r>
        <w:rPr>
          <w:rFonts w:ascii="Arial" w:cs="Arial" w:eastAsia="Arial" w:hAnsi="Arial"/>
          <w:color w:val="242424"/>
        </w:rPr>
        <w:t xml:space="preserve">Choose unsharded unless capacity testing demonstrates that sharding is required.</w:t>
      </w:r>
    </w:p>
    <w:p>
      <w:pPr>
        <w:pStyle w:val="ListParagraph"/>
        <w:numPr>
          <w:ilvl w:val="0"/>
          <w:numId w:val="2"/>
        </w:numPr>
        <w:spacing w:after="80" w:line="276"/>
      </w:pPr>
      <w:r>
        <w:rPr>
          <w:rFonts w:ascii="Arial" w:cs="Arial" w:eastAsia="Arial" w:hAnsi="Arial"/>
          <w:color w:val="242424"/>
        </w:rPr>
        <w:t xml:space="preserve">Choose Copy indexes from source so the four task indexes are migrated. Unique indexes are built before the initial load and nonunique indexes afterward.</w:t>
      </w:r>
    </w:p>
    <w:p>
      <w:pPr>
        <w:pStyle w:val="Heading2"/>
      </w:pPr>
      <w:r>
        <w:rPr>
          <w:rFonts w:ascii="Arial" w:cs="Arial" w:eastAsia="Arial" w:hAnsi="Arial"/>
          <w:b/>
          <w:bCs/>
          <w:color w:val="242424"/>
        </w:rPr>
        <w:t xml:space="preserve">11.7 Step 7 - Confirm and start</w:t>
      </w:r>
    </w:p>
    <w:p>
      <w:pPr>
        <w:pStyle w:val="ListParagraph"/>
        <w:numPr>
          <w:ilvl w:val="0"/>
          <w:numId w:val="2"/>
        </w:numPr>
        <w:spacing w:after="80" w:line="276"/>
      </w:pPr>
      <w:r>
        <w:rPr>
          <w:rFonts w:ascii="Arial" w:cs="Arial" w:eastAsia="Arial" w:hAnsi="Arial"/>
          <w:color w:val="242424"/>
        </w:rPr>
        <w:t xml:space="preserve">Review source, target, mode, connectivity, DMS, collections, overwrite behavior, sharding, and indexing.</w:t>
      </w:r>
    </w:p>
    <w:p>
      <w:pPr>
        <w:pStyle w:val="ListParagraph"/>
        <w:numPr>
          <w:ilvl w:val="0"/>
          <w:numId w:val="2"/>
        </w:numPr>
        <w:spacing w:after="80" w:line="276"/>
      </w:pPr>
      <w:r>
        <w:rPr>
          <w:rFonts w:ascii="Arial" w:cs="Arial" w:eastAsia="Arial" w:hAnsi="Arial"/>
          <w:color w:val="242424"/>
        </w:rPr>
        <w:t xml:space="preserve">Select Start Migration. The extension opens View Existing Jobs.</w:t>
      </w:r>
    </w:p>
    <w:p>
      <w:pPr>
        <w:pStyle w:val="Heading1"/>
      </w:pPr>
      <w:r>
        <w:rPr>
          <w:rFonts w:ascii="Arial" w:cs="Arial" w:eastAsia="Arial" w:hAnsi="Arial"/>
          <w:b/>
          <w:bCs/>
          <w:color w:val="242424"/>
        </w:rPr>
        <w:t xml:space="preserve">12. Monitor, validate, and cut over</w:t>
      </w:r>
    </w:p>
    <w:p>
      <w:pPr>
        <w:pStyle w:val="Heading2"/>
      </w:pPr>
      <w:r>
        <w:rPr>
          <w:rFonts w:ascii="Arial" w:cs="Arial" w:eastAsia="Arial" w:hAnsi="Arial"/>
          <w:b/>
          <w:bCs/>
          <w:color w:val="242424"/>
        </w:rPr>
        <w:t xml:space="preserve">12.1 Monitor the job</w:t>
      </w:r>
    </w:p>
    <w:p>
      <w:pPr>
        <w:pStyle w:val="ListParagraph"/>
        <w:numPr>
          <w:ilvl w:val="0"/>
          <w:numId w:val="2"/>
        </w:numPr>
        <w:spacing w:after="80" w:line="276"/>
      </w:pPr>
      <w:r>
        <w:rPr>
          <w:rFonts w:ascii="Arial" w:cs="Arial" w:eastAsia="Arial" w:hAnsi="Arial"/>
          <w:color w:val="242424"/>
        </w:rPr>
        <w:t xml:space="preserve">Use View Existing Jobs and select the correct DMS. Status refreshes automatically.</w:t>
      </w:r>
    </w:p>
    <w:p>
      <w:pPr>
        <w:pStyle w:val="ListParagraph"/>
        <w:numPr>
          <w:ilvl w:val="0"/>
          <w:numId w:val="2"/>
        </w:numPr>
        <w:spacing w:after="80" w:line="276"/>
      </w:pPr>
      <w:r>
        <w:rPr>
          <w:rFonts w:ascii="Arial" w:cs="Arial" w:eastAsia="Arial" w:hAnsi="Arial"/>
          <w:color w:val="242424"/>
        </w:rPr>
        <w:t xml:space="preserve">Select the job row to inspect collection-level status and failures.</w:t>
      </w:r>
    </w:p>
    <w:p>
      <w:pPr>
        <w:pStyle w:val="ListParagraph"/>
        <w:numPr>
          <w:ilvl w:val="0"/>
          <w:numId w:val="2"/>
        </w:numPr>
        <w:spacing w:after="80" w:line="276"/>
      </w:pPr>
      <w:r>
        <w:rPr>
          <w:rFonts w:ascii="Arial" w:cs="Arial" w:eastAsia="Arial" w:hAnsi="Arial"/>
          <w:color w:val="242424"/>
        </w:rPr>
        <w:t xml:space="preserve">Offline jobs complete automatically. Jobs can be paused and resumed at a logical point.</w:t>
      </w:r>
    </w:p>
    <w:p>
      <w:pPr>
        <w:pStyle w:val="Heading2"/>
      </w:pPr>
      <w:r>
        <w:rPr>
          <w:rFonts w:ascii="Arial" w:cs="Arial" w:eastAsia="Arial" w:hAnsi="Arial"/>
          <w:b/>
          <w:bCs/>
          <w:color w:val="242424"/>
        </w:rPr>
        <w:t xml:space="preserve">12.2 Validate the target</w:t>
      </w:r>
    </w:p>
    <w:p>
      <w:pPr>
        <w:pStyle w:val="ListParagraph"/>
        <w:numPr>
          <w:ilvl w:val="0"/>
          <w:numId w:val="9"/>
        </w:numPr>
        <w:spacing w:after="100" w:line="276"/>
      </w:pPr>
      <w:r>
        <w:rPr>
          <w:rFonts w:ascii="Arial" w:cs="Arial" w:eastAsia="Arial" w:hAnsi="Arial"/>
          <w:color w:val="242424"/>
        </w:rPr>
        <w:t xml:space="preserve">Connect to Azure DocumentDB with the DocumentDB extension or mongosh.</w:t>
      </w:r>
    </w:p>
    <w:p>
      <w:pPr>
        <w:pStyle w:val="ListParagraph"/>
        <w:numPr>
          <w:ilvl w:val="0"/>
          <w:numId w:val="9"/>
        </w:numPr>
        <w:spacing w:after="100" w:line="276"/>
      </w:pPr>
      <w:r>
        <w:rPr>
          <w:rFonts w:ascii="Arial" w:cs="Arial" w:eastAsia="Arial" w:hAnsi="Arial"/>
          <w:color w:val="242424"/>
        </w:rPr>
        <w:t xml:space="preserve">Confirm project_tasks_db contains users, projects, and tasks.</w:t>
      </w:r>
    </w:p>
    <w:p>
      <w:pPr>
        <w:pStyle w:val="ListParagraph"/>
        <w:numPr>
          <w:ilvl w:val="0"/>
          <w:numId w:val="9"/>
        </w:numPr>
        <w:spacing w:after="100" w:line="276"/>
      </w:pPr>
      <w:r>
        <w:rPr>
          <w:rFonts w:ascii="Arial" w:cs="Arial" w:eastAsia="Arial" w:hAnsi="Arial"/>
          <w:color w:val="242424"/>
        </w:rPr>
        <w:t xml:space="preserve">Compare source and target document counts. Defaults are 20 users, 500 projects, and 50,000 tasks.</w:t>
      </w:r>
    </w:p>
    <w:p>
      <w:pPr>
        <w:pStyle w:val="ListParagraph"/>
        <w:numPr>
          <w:ilvl w:val="0"/>
          <w:numId w:val="9"/>
        </w:numPr>
        <w:spacing w:after="100" w:line="276"/>
      </w:pPr>
      <w:r>
        <w:rPr>
          <w:rFonts w:ascii="Arial" w:cs="Arial" w:eastAsia="Arial" w:hAnsi="Arial"/>
          <w:color w:val="242424"/>
        </w:rPr>
        <w:t xml:space="preserve">Confirm the expected indexes exist on tasks: project_id, assigned_user_id, status, and dependencies.</w:t>
      </w:r>
    </w:p>
    <w:p>
      <w:pPr>
        <w:pStyle w:val="ListParagraph"/>
        <w:numPr>
          <w:ilvl w:val="0"/>
          <w:numId w:val="9"/>
        </w:numPr>
        <w:spacing w:after="100" w:line="276"/>
      </w:pPr>
      <w:r>
        <w:rPr>
          <w:rFonts w:ascii="Arial" w:cs="Arial" w:eastAsia="Arial" w:hAnsi="Arial"/>
          <w:color w:val="242424"/>
        </w:rPr>
        <w:t xml:space="preserve">Sample task documents and verify ObjectId references, dependencies arrays, statuses, and timestamps.</w:t>
      </w:r>
    </w:p>
    <w:p>
      <w:pPr>
        <w:shd w:fill="F5F5F5" w:val="clear"/>
        <w:spacing w:after="0" w:line="240"/>
        <w:ind w:left="280" w:right="280"/>
      </w:pPr>
      <w:r>
        <w:rPr>
          <w:rFonts w:ascii="Consolas" w:cs="Consolas" w:eastAsia="Consolas" w:hAnsi="Consolas"/>
          <w:color w:val="242424"/>
          <w:sz w:val="18"/>
          <w:szCs w:val="18"/>
        </w:rPr>
        <w:t xml:space="preserve">use project_tasks_db</w:t>
      </w:r>
    </w:p>
    <w:p>
      <w:pPr>
        <w:shd w:fill="F5F5F5" w:val="clear"/>
        <w:spacing w:after="0" w:line="240"/>
        <w:ind w:left="280" w:right="280"/>
      </w:pPr>
      <w:r>
        <w:rPr>
          <w:rFonts w:ascii="Consolas" w:cs="Consolas" w:eastAsia="Consolas" w:hAnsi="Consolas"/>
          <w:color w:val="242424"/>
          <w:sz w:val="18"/>
          <w:szCs w:val="18"/>
        </w:rPr>
        <w:t xml:space="preserve">db.users.countDocuments({})</w:t>
      </w:r>
    </w:p>
    <w:p>
      <w:pPr>
        <w:shd w:fill="F5F5F5" w:val="clear"/>
        <w:spacing w:after="0" w:line="240"/>
        <w:ind w:left="280" w:right="280"/>
      </w:pPr>
      <w:r>
        <w:rPr>
          <w:rFonts w:ascii="Consolas" w:cs="Consolas" w:eastAsia="Consolas" w:hAnsi="Consolas"/>
          <w:color w:val="242424"/>
          <w:sz w:val="18"/>
          <w:szCs w:val="18"/>
        </w:rPr>
        <w:t xml:space="preserve">db.projects.countDocuments({})</w:t>
      </w:r>
    </w:p>
    <w:p>
      <w:pPr>
        <w:shd w:fill="F5F5F5" w:val="clear"/>
        <w:spacing w:after="0" w:line="240"/>
        <w:ind w:left="280" w:right="280"/>
      </w:pPr>
      <w:r>
        <w:rPr>
          <w:rFonts w:ascii="Consolas" w:cs="Consolas" w:eastAsia="Consolas" w:hAnsi="Consolas"/>
          <w:color w:val="242424"/>
          <w:sz w:val="18"/>
          <w:szCs w:val="18"/>
        </w:rPr>
        <w:t xml:space="preserve">db.tasks.countDocuments({})</w:t>
      </w:r>
    </w:p>
    <w:p>
      <w:pPr>
        <w:shd w:fill="F5F5F5" w:val="clear"/>
        <w:spacing w:after="0" w:line="240"/>
        <w:ind w:left="280" w:right="280"/>
      </w:pPr>
      <w:r>
        <w:rPr>
          <w:rFonts w:ascii="Consolas" w:cs="Consolas" w:eastAsia="Consolas" w:hAnsi="Consolas"/>
          <w:color w:val="242424"/>
          <w:sz w:val="18"/>
          <w:szCs w:val="18"/>
        </w:rPr>
        <w:t xml:space="preserve">db.tasks.getIndexes()</w:t>
      </w:r>
    </w:p>
    <w:p>
      <w:pPr>
        <w:shd w:fill="F5F5F5" w:val="clear"/>
        <w:spacing w:after="0" w:line="240"/>
        <w:ind w:left="280" w:right="280"/>
      </w:pPr>
      <w:r>
        <w:rPr>
          <w:rFonts w:ascii="Consolas" w:cs="Consolas" w:eastAsia="Consolas" w:hAnsi="Consolas"/>
          <w:color w:val="242424"/>
          <w:sz w:val="18"/>
          <w:szCs w:val="18"/>
        </w:rPr>
        <w:t xml:space="preserve">db.tasks.findOne({})</w:t>
      </w:r>
    </w:p>
    <w:p>
      <w:pPr>
        <w:pStyle w:val="Heading2"/>
      </w:pPr>
      <w:r>
        <w:rPr>
          <w:rFonts w:ascii="Arial" w:cs="Arial" w:eastAsia="Arial" w:hAnsi="Arial"/>
          <w:b/>
          <w:bCs/>
          <w:color w:val="242424"/>
        </w:rPr>
        <w:t xml:space="preserve">12.3 Online migration cutover</w:t>
      </w:r>
    </w:p>
    <w:p>
      <w:pPr>
        <w:spacing w:after="120" w:line="276"/>
      </w:pPr>
      <w:r>
        <w:rPr>
          <w:rFonts w:ascii="Arial" w:cs="Arial" w:eastAsia="Arial" w:hAnsi="Arial"/>
          <w:color w:val="242424"/>
        </w:rPr>
        <w:t xml:space="preserve">Skip this subsection for offline mode. For an online job: wait for initial load to finish, stop all writes to the source, monitor Time Since Last Change, wait for Replication Changes Played to stabilize, compare source and target counts, then select Cutover. Cutting over before synchronization can lose data.</w:t>
      </w:r>
    </w:p>
    <w:p>
      <w:pPr>
        <w:pStyle w:val="Heading2"/>
      </w:pPr>
      <w:r>
        <w:rPr>
          <w:rFonts w:ascii="Arial" w:cs="Arial" w:eastAsia="Arial" w:hAnsi="Arial"/>
          <w:b/>
          <w:bCs/>
          <w:color w:val="242424"/>
        </w:rPr>
        <w:t xml:space="preserve">12.4 Point the application to Azure DocumentDB</w:t>
      </w:r>
    </w:p>
    <w:p>
      <w:pPr>
        <w:pStyle w:val="ListParagraph"/>
        <w:numPr>
          <w:ilvl w:val="0"/>
          <w:numId w:val="10"/>
        </w:numPr>
        <w:spacing w:after="100" w:line="276"/>
      </w:pPr>
      <w:r>
        <w:rPr>
          <w:rFonts w:ascii="Arial" w:cs="Arial" w:eastAsia="Arial" w:hAnsi="Arial"/>
          <w:color w:val="242424"/>
        </w:rPr>
        <w:t xml:space="preserve">Back up parameters.json.</w:t>
      </w:r>
    </w:p>
    <w:p>
      <w:pPr>
        <w:pStyle w:val="ListParagraph"/>
        <w:numPr>
          <w:ilvl w:val="0"/>
          <w:numId w:val="10"/>
        </w:numPr>
        <w:spacing w:after="100" w:line="276"/>
      </w:pPr>
      <w:r>
        <w:rPr>
          <w:rFonts w:ascii="Arial" w:cs="Arial" w:eastAsia="Arial" w:hAnsi="Arial"/>
          <w:color w:val="242424"/>
        </w:rPr>
        <w:t xml:space="preserve">Use parameters-editor.html to replace MongoUri with the Azure DocumentDB native connection string. Preserve its required TLS and authentication options.</w:t>
      </w:r>
    </w:p>
    <w:p>
      <w:pPr>
        <w:pStyle w:val="ListParagraph"/>
        <w:numPr>
          <w:ilvl w:val="0"/>
          <w:numId w:val="10"/>
        </w:numPr>
        <w:spacing w:after="100" w:line="276"/>
      </w:pPr>
      <w:r>
        <w:rPr>
          <w:rFonts w:ascii="Arial" w:cs="Arial" w:eastAsia="Arial" w:hAnsi="Arial"/>
          <w:color w:val="242424"/>
        </w:rPr>
        <w:t xml:space="preserve">Keep MongoDatabase as project_tasks_db unless the target uses a deliberately different database name.</w:t>
      </w:r>
    </w:p>
    <w:p>
      <w:pPr>
        <w:pStyle w:val="ListParagraph"/>
        <w:numPr>
          <w:ilvl w:val="0"/>
          <w:numId w:val="10"/>
        </w:numPr>
        <w:spacing w:after="100" w:line="276"/>
      </w:pPr>
      <w:r>
        <w:rPr>
          <w:rFonts w:ascii="Arial" w:cs="Arial" w:eastAsia="Arial" w:hAnsi="Arial"/>
          <w:color w:val="242424"/>
        </w:rPr>
        <w:t xml:space="preserve">Do not run seed_mongo.py against the target.</w:t>
      </w:r>
    </w:p>
    <w:p>
      <w:pPr>
        <w:pStyle w:val="ListParagraph"/>
        <w:numPr>
          <w:ilvl w:val="0"/>
          <w:numId w:val="10"/>
        </w:numPr>
        <w:spacing w:after="100" w:line="276"/>
      </w:pPr>
      <w:r>
        <w:rPr>
          <w:rFonts w:ascii="Arial" w:cs="Arial" w:eastAsia="Arial" w:hAnsi="Arial"/>
          <w:color w:val="242424"/>
        </w:rPr>
        <w:t xml:space="preserve">Start python app.py, call /health, and repeat the UI checks from Section 7.</w:t>
      </w:r>
    </w:p>
    <w:p>
      <w:pPr>
        <w:pStyle w:val="ListParagraph"/>
        <w:numPr>
          <w:ilvl w:val="0"/>
          <w:numId w:val="10"/>
        </w:numPr>
        <w:spacing w:after="100" w:line="276"/>
      </w:pPr>
      <w:r>
        <w:rPr>
          <w:rFonts w:ascii="Arial" w:cs="Arial" w:eastAsia="Arial" w:hAnsi="Arial"/>
          <w:color w:val="242424"/>
        </w:rPr>
        <w:t xml:space="preserve">Keep the source unchanged until business and technical validation is complete.</w:t>
      </w:r>
    </w:p>
    <w:p>
      <w:pPr>
        <w:pStyle w:val="Heading1"/>
      </w:pPr>
      <w:r>
        <w:rPr>
          <w:rFonts w:ascii="Arial" w:cs="Arial" w:eastAsia="Arial" w:hAnsi="Arial"/>
          <w:b/>
          <w:bCs/>
          <w:color w:val="242424"/>
        </w:rPr>
        <w:t xml:space="preserve">13. Rollback and cleanup</w:t>
      </w:r>
    </w:p>
    <w:p>
      <w:pPr>
        <w:pStyle w:val="Heading2"/>
      </w:pPr>
      <w:r>
        <w:rPr>
          <w:rFonts w:ascii="Arial" w:cs="Arial" w:eastAsia="Arial" w:hAnsi="Arial"/>
          <w:b/>
          <w:bCs/>
          <w:color w:val="242424"/>
        </w:rPr>
        <w:t xml:space="preserve">13.1 Rollback</w:t>
      </w:r>
    </w:p>
    <w:p>
      <w:pPr>
        <w:pStyle w:val="ListParagraph"/>
        <w:numPr>
          <w:ilvl w:val="0"/>
          <w:numId w:val="2"/>
        </w:numPr>
        <w:spacing w:after="80" w:line="276"/>
      </w:pPr>
      <w:r>
        <w:rPr>
          <w:rFonts w:ascii="Arial" w:cs="Arial" w:eastAsia="Arial" w:hAnsi="Arial"/>
          <w:color w:val="242424"/>
        </w:rPr>
        <w:t xml:space="preserve">Stop application writes to the target.</w:t>
      </w:r>
    </w:p>
    <w:p>
      <w:pPr>
        <w:pStyle w:val="ListParagraph"/>
        <w:numPr>
          <w:ilvl w:val="0"/>
          <w:numId w:val="2"/>
        </w:numPr>
        <w:spacing w:after="80" w:line="276"/>
      </w:pPr>
      <w:r>
        <w:rPr>
          <w:rFonts w:ascii="Arial" w:cs="Arial" w:eastAsia="Arial" w:hAnsi="Arial"/>
          <w:color w:val="242424"/>
        </w:rPr>
        <w:t xml:space="preserve">Restore the backed-up source MongoUri in parameters.json.</w:t>
      </w:r>
    </w:p>
    <w:p>
      <w:pPr>
        <w:pStyle w:val="ListParagraph"/>
        <w:numPr>
          <w:ilvl w:val="0"/>
          <w:numId w:val="2"/>
        </w:numPr>
        <w:spacing w:after="80" w:line="276"/>
      </w:pPr>
      <w:r>
        <w:rPr>
          <w:rFonts w:ascii="Arial" w:cs="Arial" w:eastAsia="Arial" w:hAnsi="Arial"/>
          <w:color w:val="242424"/>
        </w:rPr>
        <w:t xml:space="preserve">Start app.py and verify /health plus document counts.</w:t>
      </w:r>
    </w:p>
    <w:p>
      <w:pPr>
        <w:pStyle w:val="ListParagraph"/>
        <w:numPr>
          <w:ilvl w:val="0"/>
          <w:numId w:val="2"/>
        </w:numPr>
        <w:spacing w:after="80" w:line="276"/>
      </w:pPr>
      <w:r>
        <w:rPr>
          <w:rFonts w:ascii="Arial" w:cs="Arial" w:eastAsia="Arial" w:hAnsi="Arial"/>
          <w:color w:val="242424"/>
        </w:rPr>
        <w:t xml:space="preserve">Investigate and reconcile any writes accepted by the target after cutover before retrying.</w:t>
      </w:r>
    </w:p>
    <w:p>
      <w:pPr>
        <w:pStyle w:val="Heading2"/>
      </w:pPr>
      <w:r>
        <w:rPr>
          <w:rFonts w:ascii="Arial" w:cs="Arial" w:eastAsia="Arial" w:hAnsi="Arial"/>
          <w:b/>
          <w:bCs/>
          <w:color w:val="242424"/>
        </w:rPr>
        <w:t xml:space="preserve">13.2 Remove temporary migration access</w:t>
      </w:r>
    </w:p>
    <w:p>
      <w:pPr>
        <w:shd w:fill="F5F5F5" w:val="clear"/>
        <w:spacing w:after="0" w:line="240"/>
        <w:ind w:left="280" w:right="280"/>
      </w:pPr>
      <w:r>
        <w:rPr>
          <w:rFonts w:ascii="Consolas" w:cs="Consolas" w:eastAsia="Consolas" w:hAnsi="Consolas"/>
          <w:color w:val="242424"/>
          <w:sz w:val="18"/>
          <w:szCs w:val="18"/>
        </w:rPr>
        <w:t xml:space="preserve">az network nsg rule delete --resource-group &lt;ResourceGroupName&gt; --nsg-name &lt;NsgName&gt; --name AllowMongoFromDms1</w:t>
      </w:r>
    </w:p>
    <w:p>
      <w:pPr>
        <w:shd w:fill="F5F5F5" w:val="clear"/>
        <w:spacing w:after="0" w:line="240"/>
        <w:ind w:left="280" w:right="280"/>
      </w:pPr>
      <w:r>
        <w:rPr>
          <w:rFonts w:ascii="Consolas" w:cs="Consolas" w:eastAsia="Consolas" w:hAnsi="Consolas"/>
          <w:color w:val="242424"/>
          <w:sz w:val="18"/>
          <w:szCs w:val="18"/>
        </w:rPr>
        <w:t xml:space="preserve">use admin</w:t>
      </w:r>
    </w:p>
    <w:p>
      <w:pPr>
        <w:shd w:fill="F5F5F5" w:val="clear"/>
        <w:spacing w:after="0" w:line="240"/>
        <w:ind w:left="280" w:right="280"/>
      </w:pPr>
      <w:r>
        <w:rPr>
          <w:rFonts w:ascii="Consolas" w:cs="Consolas" w:eastAsia="Consolas" w:hAnsi="Consolas"/>
          <w:color w:val="242424"/>
          <w:sz w:val="18"/>
          <w:szCs w:val="18"/>
        </w:rPr>
        <w:t xml:space="preserve">db.dropUser("&lt;migration-user&gt;")</w:t>
      </w:r>
    </w:p>
    <w:p>
      <w:pPr>
        <w:pStyle w:val="ListParagraph"/>
        <w:numPr>
          <w:ilvl w:val="0"/>
          <w:numId w:val="2"/>
        </w:numPr>
        <w:spacing w:after="80" w:line="276"/>
      </w:pPr>
      <w:r>
        <w:rPr>
          <w:rFonts w:ascii="Arial" w:cs="Arial" w:eastAsia="Arial" w:hAnsi="Arial"/>
          <w:color w:val="242424"/>
        </w:rPr>
        <w:t xml:space="preserve">Remove every temporary DMS IP from the source NSG and target firewall.</w:t>
      </w:r>
    </w:p>
    <w:p>
      <w:pPr>
        <w:pStyle w:val="ListParagraph"/>
        <w:numPr>
          <w:ilvl w:val="0"/>
          <w:numId w:val="2"/>
        </w:numPr>
        <w:spacing w:after="80" w:line="276"/>
      </w:pPr>
      <w:r>
        <w:rPr>
          <w:rFonts w:ascii="Arial" w:cs="Arial" w:eastAsia="Arial" w:hAnsi="Arial"/>
          <w:color w:val="242424"/>
        </w:rPr>
        <w:t xml:space="preserve">Delete an unused DMS only after confirming it is not shared by other migration jobs.</w:t>
      </w:r>
    </w:p>
    <w:p>
      <w:pPr>
        <w:pStyle w:val="ListParagraph"/>
        <w:numPr>
          <w:ilvl w:val="0"/>
          <w:numId w:val="2"/>
        </w:numPr>
        <w:spacing w:after="80" w:line="276"/>
      </w:pPr>
      <w:r>
        <w:rPr>
          <w:rFonts w:ascii="Arial" w:cs="Arial" w:eastAsia="Arial" w:hAnsi="Arial"/>
          <w:color w:val="242424"/>
        </w:rPr>
        <w:t xml:space="preserve">Retain the source for the agreed rollback window, then remove it with the approved cleanup process.</w:t>
      </w:r>
    </w:p>
    <w:p>
      <w:pPr>
        <w:pStyle w:val="Heading1"/>
      </w:pPr>
      <w:r>
        <w:rPr>
          <w:rFonts w:ascii="Arial" w:cs="Arial" w:eastAsia="Arial" w:hAnsi="Arial"/>
          <w:b/>
          <w:bCs/>
          <w:color w:val="242424"/>
        </w:rPr>
        <w:t xml:space="preserve">14.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rPr>
          <w:tblHeader/>
        </w:trPr>
        <w:tc>
          <w:tcPr>
            <w:tcW w:type="dxa" w:w="2500"/>
            <w:tcBorders>
              <w:top w:val="single" w:color="CFCFCF" w:sz="1"/>
              <w:left w:val="single" w:color="CFCFCF" w:sz="1"/>
              <w:bottom w:val="single" w:color="CFCFCF" w:sz="1"/>
              <w:right w:val="single" w:color="CFCFCF" w:sz="1"/>
            </w:tcBorders>
            <w:shd w:fill="B11F4B" w:val="clear"/>
            <w:tcMar>
              <w:top w:type="dxa" w:w="90"/>
              <w:left w:type="dxa" w:w="120"/>
              <w:bottom w:type="dxa" w:w="90"/>
              <w:right w:type="dxa" w:w="120"/>
            </w:tcMar>
          </w:tcPr>
          <w:p>
            <w:pPr>
              <w:spacing w:after="0" w:line="240"/>
            </w:pPr>
            <w:r>
              <w:rPr>
                <w:rFonts w:ascii="Arial" w:cs="Arial" w:eastAsia="Arial" w:hAnsi="Arial"/>
                <w:b/>
                <w:bCs/>
                <w:color w:val="FFFFFF"/>
                <w:sz w:val="19"/>
                <w:szCs w:val="19"/>
              </w:rPr>
              <w:t xml:space="preserve">Symptom</w:t>
            </w:r>
          </w:p>
        </w:tc>
        <w:tc>
          <w:tcPr>
            <w:tcW w:type="dxa" w:w="2800"/>
            <w:tcBorders>
              <w:top w:val="single" w:color="CFCFCF" w:sz="1"/>
              <w:left w:val="single" w:color="CFCFCF" w:sz="1"/>
              <w:bottom w:val="single" w:color="CFCFCF" w:sz="1"/>
              <w:right w:val="single" w:color="CFCFCF" w:sz="1"/>
            </w:tcBorders>
            <w:shd w:fill="B11F4B" w:val="clear"/>
            <w:tcMar>
              <w:top w:type="dxa" w:w="90"/>
              <w:left w:type="dxa" w:w="120"/>
              <w:bottom w:type="dxa" w:w="90"/>
              <w:right w:type="dxa" w:w="120"/>
            </w:tcMar>
          </w:tcPr>
          <w:p>
            <w:pPr>
              <w:spacing w:after="0" w:line="240"/>
            </w:pPr>
            <w:r>
              <w:rPr>
                <w:rFonts w:ascii="Arial" w:cs="Arial" w:eastAsia="Arial" w:hAnsi="Arial"/>
                <w:b/>
                <w:bCs/>
                <w:color w:val="FFFFFF"/>
                <w:sz w:val="19"/>
                <w:szCs w:val="19"/>
              </w:rPr>
              <w:t xml:space="preserve">Likely cause</w:t>
            </w:r>
          </w:p>
        </w:tc>
        <w:tc>
          <w:tcPr>
            <w:tcW w:type="dxa" w:w="3726"/>
            <w:tcBorders>
              <w:top w:val="single" w:color="CFCFCF" w:sz="1"/>
              <w:left w:val="single" w:color="CFCFCF" w:sz="1"/>
              <w:bottom w:val="single" w:color="CFCFCF" w:sz="1"/>
              <w:right w:val="single" w:color="CFCFCF" w:sz="1"/>
            </w:tcBorders>
            <w:shd w:fill="B11F4B" w:val="clear"/>
            <w:tcMar>
              <w:top w:type="dxa" w:w="90"/>
              <w:left w:type="dxa" w:w="120"/>
              <w:bottom w:type="dxa" w:w="90"/>
              <w:right w:type="dxa" w:w="120"/>
            </w:tcMar>
          </w:tcPr>
          <w:p>
            <w:pPr>
              <w:spacing w:after="0" w:line="240"/>
            </w:pPr>
            <w:r>
              <w:rPr>
                <w:rFonts w:ascii="Arial" w:cs="Arial" w:eastAsia="Arial" w:hAnsi="Arial"/>
                <w:b/>
                <w:bCs/>
                <w:color w:val="FFFFFF"/>
                <w:sz w:val="19"/>
                <w:szCs w:val="19"/>
              </w:rPr>
              <w:t xml:space="preserve">Action</w:t>
            </w:r>
          </w:p>
        </w:tc>
      </w:tr>
      <w:tr>
        <w:tc>
          <w:tcPr>
            <w:tcW w:type="dxa" w:w="25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Source connection times out</w:t>
            </w:r>
          </w:p>
        </w:tc>
        <w:tc>
          <w:tcPr>
            <w:tcW w:type="dxa" w:w="28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NSG or source address is not allowed</w:t>
            </w:r>
          </w:p>
        </w:tc>
        <w:tc>
          <w:tcPr>
            <w:tcW w:type="dxa" w:w="37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Test port 27017; add the local or DMS /32 rule</w:t>
            </w:r>
          </w:p>
        </w:tc>
      </w:tr>
      <w:tr>
        <w:tc>
          <w:tcPr>
            <w:tcW w:type="dxa" w:w="25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Target connection times out</w:t>
            </w:r>
          </w:p>
        </w:tc>
        <w:tc>
          <w:tcPr>
            <w:tcW w:type="dxa" w:w="28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DocumentDB firewall or DNS</w:t>
            </w:r>
          </w:p>
        </w:tc>
        <w:tc>
          <w:tcPr>
            <w:tcW w:type="dxa" w:w="37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Allow the displayed IP and test target port 10260</w:t>
            </w:r>
          </w:p>
        </w:tc>
      </w:tr>
      <w:tr>
        <w:tc>
          <w:tcPr>
            <w:tcW w:type="dxa" w:w="25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Authentication failed</w:t>
            </w:r>
          </w:p>
        </w:tc>
        <w:tc>
          <w:tcPr>
            <w:tcW w:type="dxa" w:w="28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Wrong auth database, credentials, or mechanism</w:t>
            </w:r>
          </w:p>
        </w:tc>
        <w:tc>
          <w:tcPr>
            <w:tcW w:type="dxa" w:w="37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Use native credentials and verify authSource=admin</w:t>
            </w:r>
          </w:p>
        </w:tc>
      </w:tr>
      <w:tr>
        <w:tc>
          <w:tcPr>
            <w:tcW w:type="dxa" w:w="25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Database or collections not listed</w:t>
            </w:r>
          </w:p>
        </w:tc>
        <w:tc>
          <w:tcPr>
            <w:tcW w:type="dxa" w:w="28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Source role is insufficient</w:t>
            </w:r>
          </w:p>
        </w:tc>
        <w:tc>
          <w:tcPr>
            <w:tcW w:type="dxa" w:w="37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Grant readAnyDatabase and clusterMonitor to the migration user</w:t>
            </w:r>
          </w:p>
        </w:tc>
      </w:tr>
      <w:tr>
        <w:tc>
          <w:tcPr>
            <w:tcW w:type="dxa" w:w="25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Indexes fail</w:t>
            </w:r>
          </w:p>
        </w:tc>
        <w:tc>
          <w:tcPr>
            <w:tcW w:type="dxa" w:w="28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Unsupported or incompatible index definition</w:t>
            </w:r>
          </w:p>
        </w:tc>
        <w:tc>
          <w:tcPr>
            <w:tcW w:type="dxa" w:w="37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Review assessment and collection-level job details</w:t>
            </w:r>
          </w:p>
        </w:tc>
      </w:tr>
      <w:tr>
        <w:tc>
          <w:tcPr>
            <w:tcW w:type="dxa" w:w="25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Private peering fails</w:t>
            </w:r>
          </w:p>
        </w:tc>
        <w:tc>
          <w:tcPr>
            <w:tcW w:type="dxa" w:w="28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CIDR overlap, lock, RBAC, or wrong VNet</w:t>
            </w:r>
          </w:p>
        </w:tc>
        <w:tc>
          <w:tcPr>
            <w:tcW w:type="dxa" w:w="37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Use a nonoverlapping /24; validate routes, roles, and locks</w:t>
            </w:r>
          </w:p>
        </w:tc>
      </w:tr>
      <w:tr>
        <w:tc>
          <w:tcPr>
            <w:tcW w:type="dxa" w:w="25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Application fails after switch</w:t>
            </w:r>
          </w:p>
        </w:tc>
        <w:tc>
          <w:tcPr>
            <w:tcW w:type="dxa" w:w="28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Target URI, TLS options, firewall, or compatibility</w:t>
            </w:r>
          </w:p>
        </w:tc>
        <w:tc>
          <w:tcPr>
            <w:tcW w:type="dxa" w:w="37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Restore source URI, inspect error, then correct target settings</w:t>
            </w:r>
          </w:p>
        </w:tc>
      </w:tr>
    </w:tbl>
    <w:p>
      <w:pPr>
        <w:spacing w:after="120" w:line="276"/>
      </w:pPr>
      <w:r>
        <w:rPr>
          <w:rFonts w:ascii="Arial" w:cs="Arial" w:eastAsia="Arial" w:hAnsi="Arial"/>
          <w:color w:val="242424"/>
        </w:rPr>
        <w:t xml:space="preserve">Extension logs on Windows are stored in C:\Users\&lt;username&gt;\.dmamongo\logs\. Include relevant errors, job ID, timestamps, connectivity test results, and collection status when escalating.</w:t>
      </w:r>
    </w:p>
    <w:p>
      <w:pPr>
        <w:pStyle w:val="Heading1"/>
      </w:pPr>
      <w:r>
        <w:rPr>
          <w:rFonts w:ascii="Arial" w:cs="Arial" w:eastAsia="Arial" w:hAnsi="Arial"/>
          <w:b/>
          <w:bCs/>
          <w:color w:val="242424"/>
        </w:rPr>
        <w:t xml:space="preserve">15. Known migration limitations</w:t>
      </w:r>
    </w:p>
    <w:p>
      <w:pPr>
        <w:pStyle w:val="ListParagraph"/>
        <w:numPr>
          <w:ilvl w:val="0"/>
          <w:numId w:val="2"/>
        </w:numPr>
        <w:spacing w:after="80" w:line="276"/>
      </w:pPr>
      <w:r>
        <w:rPr>
          <w:rFonts w:ascii="Arial" w:cs="Arial" w:eastAsia="Arial" w:hAnsi="Arial"/>
          <w:color w:val="242424"/>
        </w:rPr>
        <w:t xml:space="preserve">Existing MongoDB views are not migrated by the extension; recreate them manually on the target.</w:t>
      </w:r>
    </w:p>
    <w:p>
      <w:pPr>
        <w:pStyle w:val="ListParagraph"/>
        <w:numPr>
          <w:ilvl w:val="0"/>
          <w:numId w:val="2"/>
        </w:numPr>
        <w:spacing w:after="80" w:line="276"/>
      </w:pPr>
      <w:r>
        <w:rPr>
          <w:rFonts w:ascii="Arial" w:cs="Arial" w:eastAsia="Arial" w:hAnsi="Arial"/>
          <w:color w:val="242424"/>
        </w:rPr>
        <w:t xml:space="preserve">Internal databases admin, local, and system config are skipped.</w:t>
      </w:r>
    </w:p>
    <w:p>
      <w:pPr>
        <w:pStyle w:val="ListParagraph"/>
        <w:numPr>
          <w:ilvl w:val="0"/>
          <w:numId w:val="2"/>
        </w:numPr>
        <w:spacing w:after="80" w:line="276"/>
      </w:pPr>
      <w:r>
        <w:rPr>
          <w:rFonts w:ascii="Arial" w:cs="Arial" w:eastAsia="Arial" w:hAnsi="Arial"/>
          <w:color w:val="242424"/>
        </w:rPr>
        <w:t xml:space="preserve">Collections beginning with system. are skipped.</w:t>
      </w:r>
    </w:p>
    <w:p>
      <w:pPr>
        <w:pStyle w:val="ListParagraph"/>
        <w:numPr>
          <w:ilvl w:val="0"/>
          <w:numId w:val="2"/>
        </w:numPr>
        <w:spacing w:after="80" w:line="276"/>
      </w:pPr>
      <w:r>
        <w:rPr>
          <w:rFonts w:ascii="Arial" w:cs="Arial" w:eastAsia="Arial" w:hAnsi="Arial"/>
          <w:color w:val="242424"/>
        </w:rPr>
        <w:t xml:space="preserve">Database and collection names cannot be changed during migration.</w:t>
      </w:r>
    </w:p>
    <w:p>
      <w:pPr>
        <w:pStyle w:val="ListParagraph"/>
        <w:numPr>
          <w:ilvl w:val="0"/>
          <w:numId w:val="2"/>
        </w:numPr>
        <w:spacing w:after="80" w:line="276"/>
      </w:pPr>
      <w:r>
        <w:rPr>
          <w:rFonts w:ascii="Arial" w:cs="Arial" w:eastAsia="Arial" w:hAnsi="Arial"/>
          <w:color w:val="242424"/>
        </w:rPr>
        <w:t xml:space="preserve">Private mode supports one active job per virtual network; use different virtual networks for concurrent private jobs.</w:t>
      </w:r>
    </w:p>
    <w:p>
      <w:pPr>
        <w:pStyle w:val="ListParagraph"/>
        <w:numPr>
          <w:ilvl w:val="0"/>
          <w:numId w:val="2"/>
        </w:numPr>
        <w:spacing w:after="80" w:line="276"/>
      </w:pPr>
      <w:r>
        <w:rPr>
          <w:rFonts w:ascii="Arial" w:cs="Arial" w:eastAsia="Arial" w:hAnsi="Arial"/>
          <w:color w:val="242424"/>
        </w:rPr>
        <w:t xml:space="preserve">For environments that prohibit Microsoft-hosted DMS networking, use the documented self-hosted Kubernetes migration option.</w:t>
      </w:r>
    </w:p>
    <w:p>
      <w:pPr>
        <w:pStyle w:val="Heading1"/>
      </w:pPr>
      <w:r>
        <w:rPr>
          <w:rFonts w:ascii="Arial" w:cs="Arial" w:eastAsia="Arial" w:hAnsi="Arial"/>
          <w:b/>
          <w:bCs/>
          <w:color w:val="242424"/>
        </w:rPr>
        <w:t xml:space="preserve">16. Operational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FCFCF" w:sz="1"/>
              <w:left w:val="single" w:color="CFCFCF" w:sz="1"/>
              <w:bottom w:val="single" w:color="CFCFCF" w:sz="1"/>
              <w:right w:val="single" w:color="CFCFCF" w:sz="1"/>
            </w:tcBorders>
            <w:shd w:fill="B11F4B" w:val="clear"/>
            <w:tcMar>
              <w:top w:type="dxa" w:w="90"/>
              <w:left w:type="dxa" w:w="120"/>
              <w:bottom w:type="dxa" w:w="90"/>
              <w:right w:type="dxa" w:w="120"/>
            </w:tcMar>
          </w:tcPr>
          <w:p>
            <w:pPr>
              <w:spacing w:after="0" w:line="240"/>
            </w:pPr>
            <w:r>
              <w:rPr>
                <w:rFonts w:ascii="Arial" w:cs="Arial" w:eastAsia="Arial" w:hAnsi="Arial"/>
                <w:b/>
                <w:bCs/>
                <w:color w:val="FFFFFF"/>
                <w:sz w:val="19"/>
                <w:szCs w:val="19"/>
              </w:rPr>
              <w:t xml:space="preserve">Phase</w:t>
            </w:r>
          </w:p>
        </w:tc>
        <w:tc>
          <w:tcPr>
            <w:tcW w:type="dxa" w:w="6826"/>
            <w:tcBorders>
              <w:top w:val="single" w:color="CFCFCF" w:sz="1"/>
              <w:left w:val="single" w:color="CFCFCF" w:sz="1"/>
              <w:bottom w:val="single" w:color="CFCFCF" w:sz="1"/>
              <w:right w:val="single" w:color="CFCFCF" w:sz="1"/>
            </w:tcBorders>
            <w:shd w:fill="B11F4B" w:val="clear"/>
            <w:tcMar>
              <w:top w:type="dxa" w:w="90"/>
              <w:left w:type="dxa" w:w="120"/>
              <w:bottom w:type="dxa" w:w="90"/>
              <w:right w:type="dxa" w:w="120"/>
            </w:tcMar>
          </w:tcPr>
          <w:p>
            <w:pPr>
              <w:spacing w:after="0" w:line="240"/>
            </w:pPr>
            <w:r>
              <w:rPr>
                <w:rFonts w:ascii="Arial" w:cs="Arial" w:eastAsia="Arial" w:hAnsi="Arial"/>
                <w:b/>
                <w:bCs/>
                <w:color w:val="FFFFFF"/>
                <w:sz w:val="19"/>
                <w:szCs w:val="19"/>
              </w:rPr>
              <w:t xml:space="preserve">Completion evidence</w:t>
            </w:r>
          </w:p>
        </w:tc>
      </w:tr>
      <w:tr>
        <w:tc>
          <w:tcPr>
            <w:tcW w:type="dxa" w:w="22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Configuration</w:t>
            </w:r>
          </w:p>
        </w:tc>
        <w:tc>
          <w:tcPr>
            <w:tcW w:type="dxa" w:w="68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Secrets replaced; source CIDR, region, SKU, ports, and seed volume reviewed</w:t>
            </w:r>
          </w:p>
        </w:tc>
      </w:tr>
      <w:tr>
        <w:tc>
          <w:tcPr>
            <w:tcW w:type="dxa" w:w="22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Deployment</w:t>
            </w:r>
          </w:p>
        </w:tc>
        <w:tc>
          <w:tcPr>
            <w:tcW w:type="dxa" w:w="68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deploy.ps1 completed; cloud-init and mongod healthy</w:t>
            </w:r>
          </w:p>
        </w:tc>
      </w:tr>
      <w:tr>
        <w:tc>
          <w:tcPr>
            <w:tcW w:type="dxa" w:w="22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Data load</w:t>
            </w:r>
          </w:p>
        </w:tc>
        <w:tc>
          <w:tcPr>
            <w:tcW w:type="dxa" w:w="68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Seed output and source collection counts recorded</w:t>
            </w:r>
          </w:p>
        </w:tc>
      </w:tr>
      <w:tr>
        <w:tc>
          <w:tcPr>
            <w:tcW w:type="dxa" w:w="22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Application</w:t>
            </w:r>
          </w:p>
        </w:tc>
        <w:tc>
          <w:tcPr>
            <w:tcW w:type="dxa" w:w="68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Dashboard, pages, API, and /health validated</w:t>
            </w:r>
          </w:p>
        </w:tc>
      </w:tr>
      <w:tr>
        <w:tc>
          <w:tcPr>
            <w:tcW w:type="dxa" w:w="22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Assessment</w:t>
            </w:r>
          </w:p>
        </w:tc>
        <w:tc>
          <w:tcPr>
            <w:tcW w:type="dxa" w:w="68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Warnings resolved or formally accepted</w:t>
            </w:r>
          </w:p>
        </w:tc>
      </w:tr>
      <w:tr>
        <w:tc>
          <w:tcPr>
            <w:tcW w:type="dxa" w:w="22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Connectivity</w:t>
            </w:r>
          </w:p>
        </w:tc>
        <w:tc>
          <w:tcPr>
            <w:tcW w:type="dxa" w:w="68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Local, DMS, source, and target firewall paths validated</w:t>
            </w:r>
          </w:p>
        </w:tc>
      </w:tr>
      <w:tr>
        <w:tc>
          <w:tcPr>
            <w:tcW w:type="dxa" w:w="22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Migration</w:t>
            </w:r>
          </w:p>
        </w:tc>
        <w:tc>
          <w:tcPr>
            <w:tcW w:type="dxa" w:w="68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All three collections completed with no unresolved failures</w:t>
            </w:r>
          </w:p>
        </w:tc>
      </w:tr>
      <w:tr>
        <w:tc>
          <w:tcPr>
            <w:tcW w:type="dxa" w:w="22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Validation</w:t>
            </w:r>
          </w:p>
        </w:tc>
        <w:tc>
          <w:tcPr>
            <w:tcW w:type="dxa" w:w="68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Counts, indexes, samples, and application behavior match</w:t>
            </w:r>
          </w:p>
        </w:tc>
      </w:tr>
      <w:tr>
        <w:tc>
          <w:tcPr>
            <w:tcW w:type="dxa" w:w="22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Cutover</w:t>
            </w:r>
          </w:p>
        </w:tc>
        <w:tc>
          <w:tcPr>
            <w:tcW w:type="dxa" w:w="68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Target URI applied; source retained for rollback window</w:t>
            </w:r>
          </w:p>
        </w:tc>
      </w:tr>
      <w:tr>
        <w:tc>
          <w:tcPr>
            <w:tcW w:type="dxa" w:w="2200"/>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Cleanup</w:t>
            </w:r>
          </w:p>
        </w:tc>
        <w:tc>
          <w:tcPr>
            <w:tcW w:type="dxa" w:w="6826"/>
            <w:tcBorders>
              <w:top w:val="single" w:color="CFCFCF" w:sz="1"/>
              <w:left w:val="single" w:color="CFCFCF" w:sz="1"/>
              <w:bottom w:val="single" w:color="CFCFCF" w:sz="1"/>
              <w:right w:val="single" w:color="CFCFCF" w:sz="1"/>
            </w:tcBorders>
            <w:tcMar>
              <w:top w:type="dxa" w:w="90"/>
              <w:left w:type="dxa" w:w="120"/>
              <w:bottom w:type="dxa" w:w="90"/>
              <w:right w:type="dxa" w:w="120"/>
            </w:tcMar>
          </w:tcPr>
          <w:p>
            <w:pPr>
              <w:spacing w:after="0" w:line="240"/>
            </w:pPr>
            <w:r>
              <w:rPr>
                <w:rFonts w:ascii="Arial" w:cs="Arial" w:eastAsia="Arial" w:hAnsi="Arial"/>
                <w:b w:val="false"/>
                <w:bCs w:val="false"/>
                <w:color w:val="242424"/>
                <w:sz w:val="19"/>
                <w:szCs w:val="19"/>
              </w:rPr>
              <w:t xml:space="preserve">Temporary user and firewall rules removed</w:t>
            </w:r>
          </w:p>
        </w:tc>
      </w:tr>
    </w:tbl>
    <w:p>
      <w:pPr>
        <w:pStyle w:val="Heading1"/>
      </w:pPr>
      <w:r>
        <w:rPr>
          <w:rFonts w:ascii="Arial" w:cs="Arial" w:eastAsia="Arial" w:hAnsi="Arial"/>
          <w:b/>
          <w:bCs/>
          <w:color w:val="242424"/>
        </w:rPr>
        <w:t xml:space="preserve">17. References</w:t>
      </w:r>
    </w:p>
    <w:p>
      <w:pPr>
        <w:spacing w:after="120" w:line="276"/>
      </w:pPr>
      <w:hyperlink w:history="1" r:id="rIdb8ufeeyjvcfaj--ckawra">
        <w:r>
          <w:rPr>
            <w:rStyle w:val="Hyperlink"/>
          </w:rPr>
          <w:t xml:space="preserve">Microsoft Learn: Migrate MongoDB using Azure DocumentDB Migration Extension</w:t>
        </w:r>
      </w:hyperlink>
    </w:p>
    <w:p>
      <w:pPr>
        <w:spacing w:after="120" w:line="276"/>
      </w:pPr>
      <w:hyperlink w:history="1" r:id="rIdngxfre9til--jmsvsxd0k">
        <w:r>
          <w:rPr>
            <w:rStyle w:val="Hyperlink"/>
          </w:rPr>
          <w:t xml:space="preserve">Azure DocumentDB Migration Extension installation</w:t>
        </w:r>
      </w:hyperlink>
    </w:p>
    <w:p>
      <w:pPr>
        <w:spacing w:after="120" w:line="276"/>
      </w:pPr>
      <w:r>
        <w:rPr>
          <w:rFonts w:ascii="Arial" w:cs="Arial" w:eastAsia="Arial" w:hAnsi="Arial"/>
          <w:color w:val="242424"/>
        </w:rPr>
        <w:t xml:space="preserve">Project operational source: README.md, deploy.ps1, parameters.json, seed_mongo.py, and app.py in the mongolabmigration workspace.</w:t>
      </w:r>
    </w:p>
    <w:sectPr>
      <w:headerReference w:type="default" r:id="rId7"/>
      <w:footerReference w:type="default" r:id="rId8"/>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C5C5C"/>
        <w:sz w:val="17"/>
        <w:szCs w:val="17"/>
      </w:rPr>
      <w:t xml:space="preserve">Internal lab guide  |  Page </w:t>
    </w:r>
    <w:r>
      <w:rPr>
        <w:rFonts w:ascii="Arial" w:cs="Arial" w:eastAsia="Arial" w:hAnsi="Arial"/>
        <w:color w:val="5C5C5C"/>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11F4B" w:sz="6" w:space="1"/>
      </w:pBdr>
      <w:spacing w:after="80"/>
    </w:pPr>
    <w:r>
      <w:rPr>
        <w:rFonts w:ascii="Arial" w:cs="Arial" w:eastAsia="Arial" w:hAnsi="Arial"/>
        <w:color w:val="5C5C5C"/>
        <w:sz w:val="17"/>
        <w:szCs w:val="17"/>
      </w:rPr>
      <w:t xml:space="preserve">MongoDB Lab | Installation and Migration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2424"/>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Arial" w:cs="Arial" w:eastAsia="Arial" w:hAnsi="Arial"/>
      <w:b/>
      <w:bCs/>
      <w:color w:val="B11F4B"/>
      <w:sz w:val="32"/>
      <w:szCs w:val="32"/>
    </w:rPr>
  </w:style>
  <w:style w:type="paragraph" w:styleId="Heading2">
    <w:name w:val="Heading 2"/>
    <w:basedOn w:val="Normal"/>
    <w:next w:val="Normal"/>
    <w:qFormat/>
    <w:pPr>
      <w:keepNext/>
      <w:spacing w:after="140" w:before="260"/>
      <w:outlineLvl w:val="1"/>
    </w:pPr>
    <w:rPr>
      <w:rFonts w:ascii="Arial" w:cs="Arial" w:eastAsia="Arial" w:hAnsi="Arial"/>
      <w:b/>
      <w:bCs/>
      <w:color w:val="242424"/>
      <w:sz w:val="26"/>
      <w:szCs w:val="26"/>
    </w:rPr>
  </w:style>
  <w:style w:type="paragraph" w:styleId="Heading3">
    <w:name w:val="Heading 3"/>
    <w:basedOn w:val="Normal"/>
    <w:next w:val="Normal"/>
    <w:qFormat/>
    <w:pPr>
      <w:keepNext/>
      <w:spacing w:after="100" w:before="220"/>
      <w:outlineLvl w:val="2"/>
    </w:pPr>
    <w:rPr>
      <w:rFonts w:ascii="Arial" w:cs="Arial" w:eastAsia="Arial" w:hAnsi="Arial"/>
      <w:b/>
      <w:bCs/>
      <w:color w:val="2424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7u8b8x5uufdeevxwjt2b" Type="http://schemas.openxmlformats.org/officeDocument/2006/relationships/hyperlink" Target="https://learn.microsoft.com/en-us/azure/documentdb/how-to-migrate-vs-code-extension" TargetMode="External"/><Relationship Id="rIdb8ufeeyjvcfaj--ckawra" Type="http://schemas.openxmlformats.org/officeDocument/2006/relationships/hyperlink" Target="https://learn.microsoft.com/en-us/azure/documentdb/how-to-migrate-vs-code-extension" TargetMode="External"/><Relationship Id="rIdngxfre9til--jmsvsxd0k" Type="http://schemas.openxmlformats.org/officeDocument/2006/relationships/hyperlink" Target="https://aka.ms/azure-documentdb-migration-extension"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MongoDB Installation and Azure DocumentDB Migration Guide</dc:title>
  <dc:subject>MongoDB lab deployment, data loading, application startup, and Azure DocumentDB migration</dc:subject>
  <dc:creator>GitHub Copilot</dc:creator>
  <dc:description>Step-by-step guide for the mongolabmigration project.</dc:description>
  <cp:lastModifiedBy>Un-named</cp:lastModifiedBy>
  <cp:revision>1</cp:revision>
  <dcterms:created xsi:type="dcterms:W3CDTF">2026-09-02T06:51:26.816Z</dcterms:created>
  <dcterms:modified xsi:type="dcterms:W3CDTF">2026-09-02T06:51:26.819Z</dcterms:modified>
</cp:coreProperties>
</file>

<file path=docProps/custom.xml><?xml version="1.0" encoding="utf-8"?>
<Properties xmlns="http://schemas.openxmlformats.org/officeDocument/2006/custom-properties" xmlns:vt="http://schemas.openxmlformats.org/officeDocument/2006/docPropsVTypes"/>
</file>