
<file path=[Content_Types].xml><?xml version="1.0" encoding="utf-8"?>
<Types xmlns="http://schemas.openxmlformats.org/package/2006/content-types">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CC7D7E" w14:textId="5B902F3A" w:rsidR="002A578D" w:rsidRDefault="002A578D" w:rsidP="00816F31"/>
    <w:p w14:paraId="553E0750" w14:textId="1C9A4B1F" w:rsidR="00167F67" w:rsidRDefault="00167F67" w:rsidP="00167F67">
      <w:pPr>
        <w:pStyle w:val="Title"/>
      </w:pPr>
      <w:r>
        <w:t>Analysis on the GameCo Organization from Videogame Sales</w:t>
      </w:r>
    </w:p>
    <w:p w14:paraId="2582DF00" w14:textId="6C8C163D" w:rsidR="004E0BAF" w:rsidRDefault="00167F67" w:rsidP="00816F31">
      <w:pPr>
        <w:pStyle w:val="Heading1"/>
      </w:pPr>
      <w:r>
        <w:t>Hypothesis</w:t>
      </w:r>
    </w:p>
    <w:p w14:paraId="7DEB3E98" w14:textId="0207E25C" w:rsidR="00167F67" w:rsidRPr="00167F67" w:rsidRDefault="00167F67" w:rsidP="00167F67">
      <w:pPr>
        <w:rPr>
          <w:b/>
          <w:bCs/>
          <w:color w:val="385623" w:themeColor="accent6" w:themeShade="80"/>
        </w:rPr>
      </w:pPr>
      <w:r>
        <w:rPr>
          <w:b/>
          <w:bCs/>
          <w:color w:val="385623" w:themeColor="accent6" w:themeShade="80"/>
        </w:rPr>
        <w:t>The Sales of the top 3 geographical regions responsible for GameCo have been more or less consistent. However, it appears that there is some potential for fluctuation depending on the support GameCo gives to the highest performing genres in each region.</w:t>
      </w:r>
    </w:p>
    <w:p w14:paraId="45926DE8" w14:textId="77777777" w:rsidR="004E0BAF" w:rsidRDefault="004E0BAF" w:rsidP="00816F31">
      <w:pPr>
        <w:pStyle w:val="Heading1"/>
      </w:pPr>
    </w:p>
    <w:p w14:paraId="04D2FCFC" w14:textId="28B1BC52" w:rsidR="0001377E" w:rsidRDefault="00816F31" w:rsidP="00816F31">
      <w:pPr>
        <w:pStyle w:val="Heading1"/>
      </w:pPr>
      <w:r>
        <w:t>Evaluation/Analysis</w:t>
      </w:r>
    </w:p>
    <w:p w14:paraId="55F3A4D4" w14:textId="59CFFF63" w:rsidR="00816F31" w:rsidRPr="00167F67" w:rsidRDefault="0001377E" w:rsidP="0001377E">
      <w:pPr>
        <w:rPr>
          <w:b/>
          <w:bCs/>
          <w:color w:val="385623" w:themeColor="accent6" w:themeShade="80"/>
          <w:sz w:val="24"/>
          <w:szCs w:val="24"/>
        </w:rPr>
      </w:pPr>
      <w:r w:rsidRPr="005C7FB6">
        <w:rPr>
          <w:b/>
          <w:bCs/>
          <w:color w:val="385623" w:themeColor="accent6" w:themeShade="80"/>
          <w:sz w:val="24"/>
          <w:szCs w:val="24"/>
        </w:rPr>
        <w:t xml:space="preserve">According to the past 6 years of data, GameCo depends on North American and European Sales to drive </w:t>
      </w:r>
      <w:r w:rsidR="00167F67" w:rsidRPr="005C7FB6">
        <w:rPr>
          <w:b/>
          <w:bCs/>
          <w:color w:val="385623" w:themeColor="accent6" w:themeShade="80"/>
          <w:sz w:val="24"/>
          <w:szCs w:val="24"/>
        </w:rPr>
        <w:t>most of</w:t>
      </w:r>
      <w:r w:rsidRPr="005C7FB6">
        <w:rPr>
          <w:b/>
          <w:bCs/>
          <w:color w:val="385623" w:themeColor="accent6" w:themeShade="80"/>
          <w:sz w:val="24"/>
          <w:szCs w:val="24"/>
        </w:rPr>
        <w:t xml:space="preserve"> their profit. Within these regions, shooter, sports, and platform genres are the most promising for North America. Racing, shooter, and action genres are the most promising for European sales. If GameCo wants to drive more sales outside of these regions, they should focus on increasing roleplaying, action, and simulation sales in Japan.</w:t>
      </w:r>
    </w:p>
    <w:p w14:paraId="51C6B246" w14:textId="200EA6F1" w:rsidR="00816F31" w:rsidRDefault="00816F31" w:rsidP="0001377E">
      <w:r>
        <w:rPr>
          <w:noProof/>
        </w:rPr>
        <w:lastRenderedPageBreak/>
        <w:drawing>
          <wp:inline distT="0" distB="0" distL="0" distR="0" wp14:anchorId="6D272E02" wp14:editId="115589FF">
            <wp:extent cx="5943600" cy="4699000"/>
            <wp:effectExtent l="0" t="0" r="0" b="6350"/>
            <wp:docPr id="1" name="Chart 1">
              <a:extLst xmlns:a="http://schemas.openxmlformats.org/drawingml/2006/main">
                <a:ext uri="{FF2B5EF4-FFF2-40B4-BE49-F238E27FC236}">
                  <a16:creationId xmlns:a16="http://schemas.microsoft.com/office/drawing/2014/main" id="{79BB4329-55DD-1A9B-9810-4BC4A0C7E0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116E271F" w14:textId="79F7BB93" w:rsidR="0001377E" w:rsidRDefault="0001377E">
      <w:r>
        <w:rPr>
          <w:noProof/>
        </w:rPr>
        <w:drawing>
          <wp:inline distT="0" distB="0" distL="0" distR="0" wp14:anchorId="2AF39E55" wp14:editId="72CD0338">
            <wp:extent cx="5928360" cy="3131820"/>
            <wp:effectExtent l="0" t="0" r="0" b="0"/>
            <wp:docPr id="4" name="Chart 4">
              <a:extLst xmlns:a="http://schemas.openxmlformats.org/drawingml/2006/main">
                <a:ext uri="{FF2B5EF4-FFF2-40B4-BE49-F238E27FC236}">
                  <a16:creationId xmlns:a16="http://schemas.microsoft.com/office/drawing/2014/main" id="{812355E9-A1E1-445F-89E7-2B59E83082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774FFAD2" w14:textId="218B72D4" w:rsidR="00B85463" w:rsidRDefault="00B85463"/>
    <w:p w14:paraId="7D2B130A" w14:textId="584444D2" w:rsidR="00816F31" w:rsidRDefault="00816F31" w:rsidP="00816F31">
      <w:pPr>
        <w:pStyle w:val="Heading1"/>
      </w:pPr>
      <w:r>
        <w:t>Explanation of Visuals</w:t>
      </w:r>
    </w:p>
    <w:p w14:paraId="4B4853F3" w14:textId="50F3AA30" w:rsidR="00966EA4" w:rsidRDefault="0047730E">
      <w:pPr>
        <w:rPr>
          <w:b/>
          <w:bCs/>
          <w:color w:val="385623" w:themeColor="accent6" w:themeShade="80"/>
          <w:sz w:val="24"/>
          <w:szCs w:val="24"/>
        </w:rPr>
      </w:pPr>
      <w:r>
        <w:rPr>
          <w:b/>
          <w:bCs/>
          <w:color w:val="385623" w:themeColor="accent6" w:themeShade="80"/>
        </w:rPr>
        <w:t xml:space="preserve">If we want to </w:t>
      </w:r>
      <w:r w:rsidR="000C6E1E">
        <w:rPr>
          <w:b/>
          <w:bCs/>
          <w:color w:val="385623" w:themeColor="accent6" w:themeShade="80"/>
        </w:rPr>
        <w:t>improve sales for the main 3 regions</w:t>
      </w:r>
      <w:r w:rsidR="00F44573">
        <w:rPr>
          <w:b/>
          <w:bCs/>
          <w:color w:val="385623" w:themeColor="accent6" w:themeShade="80"/>
        </w:rPr>
        <w:t xml:space="preserve">, North America, Europe, and Japan, we should focus on </w:t>
      </w:r>
      <w:r w:rsidR="001E5DA0">
        <w:rPr>
          <w:b/>
          <w:bCs/>
          <w:color w:val="385623" w:themeColor="accent6" w:themeShade="80"/>
        </w:rPr>
        <w:t>genres</w:t>
      </w:r>
      <w:r w:rsidR="00F44573">
        <w:rPr>
          <w:b/>
          <w:bCs/>
          <w:color w:val="385623" w:themeColor="accent6" w:themeShade="80"/>
        </w:rPr>
        <w:t xml:space="preserve"> that </w:t>
      </w:r>
      <w:r w:rsidR="00687BB2">
        <w:rPr>
          <w:b/>
          <w:bCs/>
          <w:color w:val="385623" w:themeColor="accent6" w:themeShade="80"/>
        </w:rPr>
        <w:t xml:space="preserve">contributed the highest sales to </w:t>
      </w:r>
      <w:r w:rsidR="001E5DA0">
        <w:rPr>
          <w:b/>
          <w:bCs/>
          <w:color w:val="385623" w:themeColor="accent6" w:themeShade="80"/>
        </w:rPr>
        <w:t xml:space="preserve">each region. </w:t>
      </w:r>
      <w:r w:rsidR="00C77975">
        <w:rPr>
          <w:b/>
          <w:bCs/>
          <w:color w:val="385623" w:themeColor="accent6" w:themeShade="80"/>
        </w:rPr>
        <w:t xml:space="preserve">We could likely increase sales in North America by contributing more to </w:t>
      </w:r>
      <w:r w:rsidR="00C77975" w:rsidRPr="005C7FB6">
        <w:rPr>
          <w:b/>
          <w:bCs/>
          <w:color w:val="385623" w:themeColor="accent6" w:themeShade="80"/>
          <w:sz w:val="24"/>
          <w:szCs w:val="24"/>
        </w:rPr>
        <w:t>shooter, sports, and platform</w:t>
      </w:r>
      <w:r w:rsidR="00C77975">
        <w:rPr>
          <w:b/>
          <w:bCs/>
          <w:color w:val="385623" w:themeColor="accent6" w:themeShade="80"/>
          <w:sz w:val="24"/>
          <w:szCs w:val="24"/>
        </w:rPr>
        <w:t xml:space="preserve"> genres. We could increase sale in Europe by contributing more to </w:t>
      </w:r>
      <w:r w:rsidR="00743674">
        <w:rPr>
          <w:b/>
          <w:bCs/>
          <w:color w:val="385623" w:themeColor="accent6" w:themeShade="80"/>
          <w:sz w:val="24"/>
          <w:szCs w:val="24"/>
        </w:rPr>
        <w:t>r</w:t>
      </w:r>
      <w:r w:rsidR="00743674" w:rsidRPr="005C7FB6">
        <w:rPr>
          <w:b/>
          <w:bCs/>
          <w:color w:val="385623" w:themeColor="accent6" w:themeShade="80"/>
          <w:sz w:val="24"/>
          <w:szCs w:val="24"/>
        </w:rPr>
        <w:t>acing, shooter, and action genres</w:t>
      </w:r>
      <w:r w:rsidR="00743674">
        <w:rPr>
          <w:b/>
          <w:bCs/>
          <w:color w:val="385623" w:themeColor="accent6" w:themeShade="80"/>
          <w:sz w:val="24"/>
          <w:szCs w:val="24"/>
        </w:rPr>
        <w:t>.</w:t>
      </w:r>
      <w:r w:rsidR="003E6B5C">
        <w:rPr>
          <w:b/>
          <w:bCs/>
          <w:color w:val="385623" w:themeColor="accent6" w:themeShade="80"/>
          <w:sz w:val="24"/>
          <w:szCs w:val="24"/>
        </w:rPr>
        <w:t xml:space="preserve"> </w:t>
      </w:r>
      <w:r w:rsidR="00586D44">
        <w:rPr>
          <w:b/>
          <w:bCs/>
          <w:color w:val="385623" w:themeColor="accent6" w:themeShade="80"/>
          <w:sz w:val="24"/>
          <w:szCs w:val="24"/>
        </w:rPr>
        <w:t xml:space="preserve">We could increase sales in Japan by focusing on </w:t>
      </w:r>
      <w:r w:rsidR="00586D44" w:rsidRPr="005C7FB6">
        <w:rPr>
          <w:b/>
          <w:bCs/>
          <w:color w:val="385623" w:themeColor="accent6" w:themeShade="80"/>
          <w:sz w:val="24"/>
          <w:szCs w:val="24"/>
        </w:rPr>
        <w:t>roleplaying, action, and simulation</w:t>
      </w:r>
      <w:r w:rsidR="00586D44">
        <w:rPr>
          <w:b/>
          <w:bCs/>
          <w:color w:val="385623" w:themeColor="accent6" w:themeShade="80"/>
          <w:sz w:val="24"/>
          <w:szCs w:val="24"/>
        </w:rPr>
        <w:t xml:space="preserve"> genres. </w:t>
      </w:r>
    </w:p>
    <w:p w14:paraId="587BD78D" w14:textId="4CE78F42" w:rsidR="001E19EC" w:rsidRDefault="00816F31" w:rsidP="00816F31">
      <w:pPr>
        <w:pStyle w:val="Heading1"/>
      </w:pPr>
      <w:r>
        <w:t>Revised Evaluation &amp; Analysis</w:t>
      </w:r>
    </w:p>
    <w:p w14:paraId="57D3EB22" w14:textId="0638ED48" w:rsidR="00816F31" w:rsidRPr="00816F31" w:rsidRDefault="000E0E83" w:rsidP="00816F31">
      <w:pPr>
        <w:rPr>
          <w:b/>
          <w:bCs/>
          <w:color w:val="385623" w:themeColor="accent6" w:themeShade="80"/>
        </w:rPr>
      </w:pPr>
      <w:r w:rsidRPr="000D4744">
        <w:rPr>
          <w:b/>
          <w:bCs/>
          <w:color w:val="385623" w:themeColor="accent6" w:themeShade="80"/>
        </w:rPr>
        <w:t>GameCo</w:t>
      </w:r>
      <w:r w:rsidR="009364D5" w:rsidRPr="000D4744">
        <w:rPr>
          <w:b/>
          <w:bCs/>
          <w:color w:val="385623" w:themeColor="accent6" w:themeShade="80"/>
        </w:rPr>
        <w:t xml:space="preserve"> depends on what genres the region prefers, in order to determine the success of games released</w:t>
      </w:r>
      <w:r w:rsidR="00F865A3" w:rsidRPr="000D4744">
        <w:rPr>
          <w:b/>
          <w:bCs/>
          <w:color w:val="385623" w:themeColor="accent6" w:themeShade="80"/>
        </w:rPr>
        <w:t xml:space="preserve">. </w:t>
      </w:r>
    </w:p>
    <w:p w14:paraId="113F2184" w14:textId="56048396" w:rsidR="00816F31" w:rsidRPr="00816F31" w:rsidRDefault="00816F31" w:rsidP="00816F31">
      <w:pPr>
        <w:pStyle w:val="Heading1"/>
      </w:pPr>
      <w:r>
        <w:t>Recommendation</w:t>
      </w:r>
    </w:p>
    <w:p w14:paraId="1E2B7D52" w14:textId="1803BC96" w:rsidR="00542C63" w:rsidRDefault="00E92099" w:rsidP="00816F31">
      <w:pPr>
        <w:rPr>
          <w:b/>
          <w:bCs/>
          <w:color w:val="385623" w:themeColor="accent6" w:themeShade="80"/>
        </w:rPr>
      </w:pPr>
      <w:r w:rsidRPr="005F0ECD">
        <w:rPr>
          <w:b/>
          <w:bCs/>
          <w:color w:val="385623" w:themeColor="accent6" w:themeShade="80"/>
        </w:rPr>
        <w:t>I suggest Game</w:t>
      </w:r>
      <w:r w:rsidR="005F0ECD" w:rsidRPr="005F0ECD">
        <w:rPr>
          <w:b/>
          <w:bCs/>
          <w:color w:val="385623" w:themeColor="accent6" w:themeShade="80"/>
        </w:rPr>
        <w:t>Co commission an evaluation of which publishers have the most successful games in the most popular genres per region, and focus mostly on improving advertisement campaigns for those publishers.</w:t>
      </w:r>
    </w:p>
    <w:p w14:paraId="6266759F" w14:textId="0FBB3845" w:rsidR="00816F31" w:rsidRDefault="00816F31" w:rsidP="00816F31">
      <w:pPr>
        <w:rPr>
          <w:b/>
          <w:bCs/>
          <w:color w:val="385623" w:themeColor="accent6" w:themeShade="80"/>
        </w:rPr>
      </w:pPr>
    </w:p>
    <w:p w14:paraId="1C6A6AF0" w14:textId="16210B68" w:rsidR="00816F31" w:rsidRPr="00816F31" w:rsidRDefault="00816F31" w:rsidP="00816F31">
      <w:pPr>
        <w:pStyle w:val="Heading1"/>
      </w:pPr>
      <w:r>
        <w:t>Final Thoughts</w:t>
      </w:r>
    </w:p>
    <w:p w14:paraId="02419203" w14:textId="0CBF43D7" w:rsidR="00542C63" w:rsidRPr="00542C63" w:rsidRDefault="00542C63" w:rsidP="00816F31">
      <w:pPr>
        <w:pStyle w:val="ListParagraph"/>
        <w:ind w:left="0"/>
        <w:rPr>
          <w:b/>
          <w:bCs/>
          <w:color w:val="385623" w:themeColor="accent6" w:themeShade="80"/>
        </w:rPr>
      </w:pPr>
      <w:r>
        <w:rPr>
          <w:b/>
          <w:bCs/>
          <w:color w:val="385623" w:themeColor="accent6" w:themeShade="80"/>
        </w:rPr>
        <w:t xml:space="preserve">The story I’m expressing is that GameCo should focus on specific top publishers per region based on which genre is most popular in that region. </w:t>
      </w:r>
    </w:p>
    <w:p w14:paraId="5AFFC403" w14:textId="77777777" w:rsidR="00966EA4" w:rsidRDefault="00966EA4">
      <w:pPr>
        <w:rPr>
          <w:b/>
          <w:bCs/>
          <w:color w:val="385623" w:themeColor="accent6" w:themeShade="80"/>
        </w:rPr>
      </w:pPr>
    </w:p>
    <w:p w14:paraId="06537735" w14:textId="77777777" w:rsidR="001E19EC" w:rsidRPr="00CD541F" w:rsidRDefault="001E19EC">
      <w:pPr>
        <w:rPr>
          <w:b/>
          <w:bCs/>
          <w:color w:val="385623" w:themeColor="accent6" w:themeShade="80"/>
        </w:rPr>
      </w:pPr>
    </w:p>
    <w:sectPr w:rsidR="001E19EC" w:rsidRPr="00CD54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C5D0C"/>
    <w:multiLevelType w:val="hybridMultilevel"/>
    <w:tmpl w:val="1D20A14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552EDE"/>
    <w:multiLevelType w:val="multilevel"/>
    <w:tmpl w:val="6A748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771291"/>
    <w:multiLevelType w:val="hybridMultilevel"/>
    <w:tmpl w:val="81EA8998"/>
    <w:lvl w:ilvl="0" w:tplc="44804B4E">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AA63822"/>
    <w:multiLevelType w:val="hybridMultilevel"/>
    <w:tmpl w:val="9328C9BE"/>
    <w:lvl w:ilvl="0" w:tplc="70CA730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1250663"/>
    <w:multiLevelType w:val="multilevel"/>
    <w:tmpl w:val="4C3634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BBF1710"/>
    <w:multiLevelType w:val="multilevel"/>
    <w:tmpl w:val="F7A4F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95533740">
    <w:abstractNumId w:val="4"/>
  </w:num>
  <w:num w:numId="2" w16cid:durableId="2048337853">
    <w:abstractNumId w:val="3"/>
  </w:num>
  <w:num w:numId="3" w16cid:durableId="1268539965">
    <w:abstractNumId w:val="0"/>
  </w:num>
  <w:num w:numId="4" w16cid:durableId="1464806609">
    <w:abstractNumId w:val="5"/>
  </w:num>
  <w:num w:numId="5" w16cid:durableId="538013116">
    <w:abstractNumId w:val="2"/>
  </w:num>
  <w:num w:numId="6" w16cid:durableId="9586810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5BC"/>
    <w:rsid w:val="0001377E"/>
    <w:rsid w:val="000B1261"/>
    <w:rsid w:val="000C6E1E"/>
    <w:rsid w:val="000D4744"/>
    <w:rsid w:val="000E0E83"/>
    <w:rsid w:val="00167F67"/>
    <w:rsid w:val="001A4424"/>
    <w:rsid w:val="001E19EC"/>
    <w:rsid w:val="001E5DA0"/>
    <w:rsid w:val="002A578D"/>
    <w:rsid w:val="002B1B8F"/>
    <w:rsid w:val="002E1B89"/>
    <w:rsid w:val="00306E95"/>
    <w:rsid w:val="003273F5"/>
    <w:rsid w:val="00361ABF"/>
    <w:rsid w:val="003A7A7D"/>
    <w:rsid w:val="003E6B5C"/>
    <w:rsid w:val="00416C9A"/>
    <w:rsid w:val="00452C07"/>
    <w:rsid w:val="0047505E"/>
    <w:rsid w:val="004764E7"/>
    <w:rsid w:val="0047730E"/>
    <w:rsid w:val="004E0BAF"/>
    <w:rsid w:val="004F1C5E"/>
    <w:rsid w:val="00542C63"/>
    <w:rsid w:val="00586D44"/>
    <w:rsid w:val="005C7FB6"/>
    <w:rsid w:val="005F0ECD"/>
    <w:rsid w:val="006230FF"/>
    <w:rsid w:val="00687BB2"/>
    <w:rsid w:val="006B74F6"/>
    <w:rsid w:val="006F05BC"/>
    <w:rsid w:val="00743674"/>
    <w:rsid w:val="0077317C"/>
    <w:rsid w:val="00816F31"/>
    <w:rsid w:val="00862B32"/>
    <w:rsid w:val="009364D5"/>
    <w:rsid w:val="00966EA4"/>
    <w:rsid w:val="00AF4601"/>
    <w:rsid w:val="00B85463"/>
    <w:rsid w:val="00C77975"/>
    <w:rsid w:val="00CB2C0F"/>
    <w:rsid w:val="00CD541F"/>
    <w:rsid w:val="00D34E2F"/>
    <w:rsid w:val="00DC730D"/>
    <w:rsid w:val="00E90FFA"/>
    <w:rsid w:val="00E92099"/>
    <w:rsid w:val="00F239CF"/>
    <w:rsid w:val="00F44573"/>
    <w:rsid w:val="00F81DD8"/>
    <w:rsid w:val="00F865A3"/>
    <w:rsid w:val="00FE49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7097D"/>
  <w15:chartTrackingRefBased/>
  <w15:docId w15:val="{10C5F208-915F-4698-A464-3EA97842E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6F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39CF"/>
    <w:pPr>
      <w:ind w:left="720"/>
      <w:contextualSpacing/>
    </w:pPr>
  </w:style>
  <w:style w:type="character" w:customStyle="1" w:styleId="Heading1Char">
    <w:name w:val="Heading 1 Char"/>
    <w:basedOn w:val="DefaultParagraphFont"/>
    <w:link w:val="Heading1"/>
    <w:uiPriority w:val="9"/>
    <w:rsid w:val="00816F31"/>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167F6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7F6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824985">
      <w:bodyDiv w:val="1"/>
      <w:marLeft w:val="0"/>
      <w:marRight w:val="0"/>
      <w:marTop w:val="0"/>
      <w:marBottom w:val="0"/>
      <w:divBdr>
        <w:top w:val="none" w:sz="0" w:space="0" w:color="auto"/>
        <w:left w:val="none" w:sz="0" w:space="0" w:color="auto"/>
        <w:bottom w:val="none" w:sz="0" w:space="0" w:color="auto"/>
        <w:right w:val="none" w:sz="0" w:space="0" w:color="auto"/>
      </w:divBdr>
    </w:div>
    <w:div w:id="643584886">
      <w:bodyDiv w:val="1"/>
      <w:marLeft w:val="0"/>
      <w:marRight w:val="0"/>
      <w:marTop w:val="0"/>
      <w:marBottom w:val="0"/>
      <w:divBdr>
        <w:top w:val="none" w:sz="0" w:space="0" w:color="auto"/>
        <w:left w:val="none" w:sz="0" w:space="0" w:color="auto"/>
        <w:bottom w:val="none" w:sz="0" w:space="0" w:color="auto"/>
        <w:right w:val="none" w:sz="0" w:space="0" w:color="auto"/>
      </w:divBdr>
    </w:div>
    <w:div w:id="1321040788">
      <w:bodyDiv w:val="1"/>
      <w:marLeft w:val="0"/>
      <w:marRight w:val="0"/>
      <w:marTop w:val="0"/>
      <w:marBottom w:val="0"/>
      <w:divBdr>
        <w:top w:val="none" w:sz="0" w:space="0" w:color="auto"/>
        <w:left w:val="none" w:sz="0" w:space="0" w:color="auto"/>
        <w:bottom w:val="none" w:sz="0" w:space="0" w:color="auto"/>
        <w:right w:val="none" w:sz="0" w:space="0" w:color="auto"/>
      </w:divBdr>
    </w:div>
    <w:div w:id="1509370287">
      <w:bodyDiv w:val="1"/>
      <w:marLeft w:val="0"/>
      <w:marRight w:val="0"/>
      <w:marTop w:val="0"/>
      <w:marBottom w:val="0"/>
      <w:divBdr>
        <w:top w:val="none" w:sz="0" w:space="0" w:color="auto"/>
        <w:left w:val="none" w:sz="0" w:space="0" w:color="auto"/>
        <w:bottom w:val="none" w:sz="0" w:space="0" w:color="auto"/>
        <w:right w:val="none" w:sz="0" w:space="0" w:color="auto"/>
      </w:divBdr>
    </w:div>
    <w:div w:id="1680306935">
      <w:bodyDiv w:val="1"/>
      <w:marLeft w:val="0"/>
      <w:marRight w:val="0"/>
      <w:marTop w:val="0"/>
      <w:marBottom w:val="0"/>
      <w:divBdr>
        <w:top w:val="none" w:sz="0" w:space="0" w:color="auto"/>
        <w:left w:val="none" w:sz="0" w:space="0" w:color="auto"/>
        <w:bottom w:val="none" w:sz="0" w:space="0" w:color="auto"/>
        <w:right w:val="none" w:sz="0" w:space="0" w:color="auto"/>
      </w:divBdr>
    </w:div>
    <w:div w:id="1828783206">
      <w:bodyDiv w:val="1"/>
      <w:marLeft w:val="0"/>
      <w:marRight w:val="0"/>
      <w:marTop w:val="0"/>
      <w:marBottom w:val="0"/>
      <w:divBdr>
        <w:top w:val="none" w:sz="0" w:space="0" w:color="auto"/>
        <w:left w:val="none" w:sz="0" w:space="0" w:color="auto"/>
        <w:bottom w:val="none" w:sz="0" w:space="0" w:color="auto"/>
        <w:right w:val="none" w:sz="0" w:space="0" w:color="auto"/>
      </w:divBdr>
    </w:div>
    <w:div w:id="1902397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hart" Target="charts/chart2.xml"/><Relationship Id="rId5" Type="http://schemas.openxmlformats.org/officeDocument/2006/relationships/chart" Target="charts/chart1.xml"/><Relationship Id="rId4"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13019\Documents\Emmanuel\Data%20Analysis\Projects\vgsales_clean1.8.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[vgsales_clean1.9.xlsx]Pivot Table 1!PivotTable1</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Percentage of Genre Performance Per Region (2010 - 2016)</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percentStacked"/>
        <c:varyColors val="0"/>
        <c:ser>
          <c:idx val="0"/>
          <c:order val="0"/>
          <c:tx>
            <c:strRef>
              <c:f>'Pivot Table 1'!$B$3</c:f>
              <c:strCache>
                <c:ptCount val="1"/>
                <c:pt idx="0">
                  <c:v>Sum of NA_Sales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strRef>
              <c:f>'Pivot Table 1'!$A$4:$A$16</c:f>
              <c:strCache>
                <c:ptCount val="12"/>
                <c:pt idx="0">
                  <c:v>Action</c:v>
                </c:pt>
                <c:pt idx="1">
                  <c:v>Adventure</c:v>
                </c:pt>
                <c:pt idx="2">
                  <c:v>Fighting</c:v>
                </c:pt>
                <c:pt idx="3">
                  <c:v>Misc</c:v>
                </c:pt>
                <c:pt idx="4">
                  <c:v>Platform</c:v>
                </c:pt>
                <c:pt idx="5">
                  <c:v>Puzzle</c:v>
                </c:pt>
                <c:pt idx="6">
                  <c:v>Racing</c:v>
                </c:pt>
                <c:pt idx="7">
                  <c:v>Role-Playing</c:v>
                </c:pt>
                <c:pt idx="8">
                  <c:v>Shooter</c:v>
                </c:pt>
                <c:pt idx="9">
                  <c:v>Simulation</c:v>
                </c:pt>
                <c:pt idx="10">
                  <c:v>Sports</c:v>
                </c:pt>
                <c:pt idx="11">
                  <c:v>Strategy</c:v>
                </c:pt>
              </c:strCache>
            </c:strRef>
          </c:cat>
          <c:val>
            <c:numRef>
              <c:f>'Pivot Table 1'!$B$4:$B$16</c:f>
              <c:numCache>
                <c:formatCode>General</c:formatCode>
                <c:ptCount val="12"/>
                <c:pt idx="0">
                  <c:v>287.7800000000002</c:v>
                </c:pt>
                <c:pt idx="1">
                  <c:v>20.64</c:v>
                </c:pt>
                <c:pt idx="2">
                  <c:v>38.950000000000017</c:v>
                </c:pt>
                <c:pt idx="3">
                  <c:v>125.25999999999993</c:v>
                </c:pt>
                <c:pt idx="4">
                  <c:v>55.470000000000013</c:v>
                </c:pt>
                <c:pt idx="5">
                  <c:v>9.389999999999997</c:v>
                </c:pt>
                <c:pt idx="6">
                  <c:v>45.62</c:v>
                </c:pt>
                <c:pt idx="7">
                  <c:v>107.56999999999994</c:v>
                </c:pt>
                <c:pt idx="8">
                  <c:v>227.63000000000005</c:v>
                </c:pt>
                <c:pt idx="9">
                  <c:v>26.419999999999991</c:v>
                </c:pt>
                <c:pt idx="10">
                  <c:v>154.44000000000023</c:v>
                </c:pt>
                <c:pt idx="11">
                  <c:v>13.309999999999999</c:v>
                </c:pt>
              </c:numCache>
            </c:numRef>
          </c:val>
          <c:extLst>
            <c:ext xmlns:c16="http://schemas.microsoft.com/office/drawing/2014/chart" uri="{C3380CC4-5D6E-409C-BE32-E72D297353CC}">
              <c16:uniqueId val="{00000000-0BBA-420C-BDFE-5AA696881CAF}"/>
            </c:ext>
          </c:extLst>
        </c:ser>
        <c:ser>
          <c:idx val="1"/>
          <c:order val="1"/>
          <c:tx>
            <c:strRef>
              <c:f>'Pivot Table 1'!$C$3</c:f>
              <c:strCache>
                <c:ptCount val="1"/>
                <c:pt idx="0">
                  <c:v>Sum of EU_Sales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strRef>
              <c:f>'Pivot Table 1'!$A$4:$A$16</c:f>
              <c:strCache>
                <c:ptCount val="12"/>
                <c:pt idx="0">
                  <c:v>Action</c:v>
                </c:pt>
                <c:pt idx="1">
                  <c:v>Adventure</c:v>
                </c:pt>
                <c:pt idx="2">
                  <c:v>Fighting</c:v>
                </c:pt>
                <c:pt idx="3">
                  <c:v>Misc</c:v>
                </c:pt>
                <c:pt idx="4">
                  <c:v>Platform</c:v>
                </c:pt>
                <c:pt idx="5">
                  <c:v>Puzzle</c:v>
                </c:pt>
                <c:pt idx="6">
                  <c:v>Racing</c:v>
                </c:pt>
                <c:pt idx="7">
                  <c:v>Role-Playing</c:v>
                </c:pt>
                <c:pt idx="8">
                  <c:v>Shooter</c:v>
                </c:pt>
                <c:pt idx="9">
                  <c:v>Simulation</c:v>
                </c:pt>
                <c:pt idx="10">
                  <c:v>Sports</c:v>
                </c:pt>
                <c:pt idx="11">
                  <c:v>Strategy</c:v>
                </c:pt>
              </c:strCache>
            </c:strRef>
          </c:cat>
          <c:val>
            <c:numRef>
              <c:f>'Pivot Table 1'!$C$4:$C$16</c:f>
              <c:numCache>
                <c:formatCode>General</c:formatCode>
                <c:ptCount val="12"/>
                <c:pt idx="0">
                  <c:v>236.2700000000001</c:v>
                </c:pt>
                <c:pt idx="1">
                  <c:v>19.059999999999995</c:v>
                </c:pt>
                <c:pt idx="2">
                  <c:v>20.869999999999983</c:v>
                </c:pt>
                <c:pt idx="3">
                  <c:v>67.990000000000066</c:v>
                </c:pt>
                <c:pt idx="4">
                  <c:v>38.690000000000019</c:v>
                </c:pt>
                <c:pt idx="5">
                  <c:v>6.7799999999999994</c:v>
                </c:pt>
                <c:pt idx="6">
                  <c:v>55.520000000000067</c:v>
                </c:pt>
                <c:pt idx="7">
                  <c:v>73.760000000000034</c:v>
                </c:pt>
                <c:pt idx="8">
                  <c:v>166.44000000000008</c:v>
                </c:pt>
                <c:pt idx="9">
                  <c:v>25.409999999999975</c:v>
                </c:pt>
                <c:pt idx="10">
                  <c:v>115.64999999999999</c:v>
                </c:pt>
                <c:pt idx="11">
                  <c:v>12.399999999999997</c:v>
                </c:pt>
              </c:numCache>
            </c:numRef>
          </c:val>
          <c:extLst>
            <c:ext xmlns:c16="http://schemas.microsoft.com/office/drawing/2014/chart" uri="{C3380CC4-5D6E-409C-BE32-E72D297353CC}">
              <c16:uniqueId val="{00000001-0BBA-420C-BDFE-5AA696881CAF}"/>
            </c:ext>
          </c:extLst>
        </c:ser>
        <c:ser>
          <c:idx val="2"/>
          <c:order val="2"/>
          <c:tx>
            <c:strRef>
              <c:f>'Pivot Table 1'!$D$3</c:f>
              <c:strCache>
                <c:ptCount val="1"/>
                <c:pt idx="0">
                  <c:v>Sum of JP_Sales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strRef>
              <c:f>'Pivot Table 1'!$A$4:$A$16</c:f>
              <c:strCache>
                <c:ptCount val="12"/>
                <c:pt idx="0">
                  <c:v>Action</c:v>
                </c:pt>
                <c:pt idx="1">
                  <c:v>Adventure</c:v>
                </c:pt>
                <c:pt idx="2">
                  <c:v>Fighting</c:v>
                </c:pt>
                <c:pt idx="3">
                  <c:v>Misc</c:v>
                </c:pt>
                <c:pt idx="4">
                  <c:v>Platform</c:v>
                </c:pt>
                <c:pt idx="5">
                  <c:v>Puzzle</c:v>
                </c:pt>
                <c:pt idx="6">
                  <c:v>Racing</c:v>
                </c:pt>
                <c:pt idx="7">
                  <c:v>Role-Playing</c:v>
                </c:pt>
                <c:pt idx="8">
                  <c:v>Shooter</c:v>
                </c:pt>
                <c:pt idx="9">
                  <c:v>Simulation</c:v>
                </c:pt>
                <c:pt idx="10">
                  <c:v>Sports</c:v>
                </c:pt>
                <c:pt idx="11">
                  <c:v>Strategy</c:v>
                </c:pt>
              </c:strCache>
            </c:strRef>
          </c:cat>
          <c:val>
            <c:numRef>
              <c:f>'Pivot Table 1'!$D$4:$D$16</c:f>
              <c:numCache>
                <c:formatCode>General</c:formatCode>
                <c:ptCount val="12"/>
                <c:pt idx="0">
                  <c:v>70.719999999999956</c:v>
                </c:pt>
                <c:pt idx="1">
                  <c:v>15.159999999999986</c:v>
                </c:pt>
                <c:pt idx="2">
                  <c:v>13.759999999999989</c:v>
                </c:pt>
                <c:pt idx="3">
                  <c:v>23.939999999999994</c:v>
                </c:pt>
                <c:pt idx="4">
                  <c:v>15.749999999999993</c:v>
                </c:pt>
                <c:pt idx="5">
                  <c:v>3.4</c:v>
                </c:pt>
                <c:pt idx="6">
                  <c:v>6.6499999999999941</c:v>
                </c:pt>
                <c:pt idx="7">
                  <c:v>100.40000000000006</c:v>
                </c:pt>
                <c:pt idx="8">
                  <c:v>13.539999999999976</c:v>
                </c:pt>
                <c:pt idx="9">
                  <c:v>13.199999999999987</c:v>
                </c:pt>
                <c:pt idx="10">
                  <c:v>15.339999999999995</c:v>
                </c:pt>
                <c:pt idx="11">
                  <c:v>6.6</c:v>
                </c:pt>
              </c:numCache>
            </c:numRef>
          </c:val>
          <c:extLst>
            <c:ext xmlns:c16="http://schemas.microsoft.com/office/drawing/2014/chart" uri="{C3380CC4-5D6E-409C-BE32-E72D297353CC}">
              <c16:uniqueId val="{00000002-0BBA-420C-BDFE-5AA696881CAF}"/>
            </c:ext>
          </c:extLst>
        </c:ser>
        <c:ser>
          <c:idx val="3"/>
          <c:order val="3"/>
          <c:tx>
            <c:strRef>
              <c:f>'Pivot Table 1'!$E$3</c:f>
              <c:strCache>
                <c:ptCount val="1"/>
                <c:pt idx="0">
                  <c:v>Sum of Other_Sales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strRef>
              <c:f>'Pivot Table 1'!$A$4:$A$16</c:f>
              <c:strCache>
                <c:ptCount val="12"/>
                <c:pt idx="0">
                  <c:v>Action</c:v>
                </c:pt>
                <c:pt idx="1">
                  <c:v>Adventure</c:v>
                </c:pt>
                <c:pt idx="2">
                  <c:v>Fighting</c:v>
                </c:pt>
                <c:pt idx="3">
                  <c:v>Misc</c:v>
                </c:pt>
                <c:pt idx="4">
                  <c:v>Platform</c:v>
                </c:pt>
                <c:pt idx="5">
                  <c:v>Puzzle</c:v>
                </c:pt>
                <c:pt idx="6">
                  <c:v>Racing</c:v>
                </c:pt>
                <c:pt idx="7">
                  <c:v>Role-Playing</c:v>
                </c:pt>
                <c:pt idx="8">
                  <c:v>Shooter</c:v>
                </c:pt>
                <c:pt idx="9">
                  <c:v>Simulation</c:v>
                </c:pt>
                <c:pt idx="10">
                  <c:v>Sports</c:v>
                </c:pt>
                <c:pt idx="11">
                  <c:v>Strategy</c:v>
                </c:pt>
              </c:strCache>
            </c:strRef>
          </c:cat>
          <c:val>
            <c:numRef>
              <c:f>'Pivot Table 1'!$E$4:$E$16</c:f>
              <c:numCache>
                <c:formatCode>General</c:formatCode>
                <c:ptCount val="12"/>
                <c:pt idx="0">
                  <c:v>83.059999999999988</c:v>
                </c:pt>
                <c:pt idx="1">
                  <c:v>7.1099999999999719</c:v>
                </c:pt>
                <c:pt idx="2">
                  <c:v>8.889999999999981</c:v>
                </c:pt>
                <c:pt idx="3">
                  <c:v>22.960000000000136</c:v>
                </c:pt>
                <c:pt idx="4">
                  <c:v>11.11999999999998</c:v>
                </c:pt>
                <c:pt idx="5">
                  <c:v>2.1700000000000004</c:v>
                </c:pt>
                <c:pt idx="6">
                  <c:v>15.959999999999967</c:v>
                </c:pt>
                <c:pt idx="7">
                  <c:v>26.420000000000101</c:v>
                </c:pt>
                <c:pt idx="8">
                  <c:v>55.219999999999921</c:v>
                </c:pt>
                <c:pt idx="9">
                  <c:v>6.7899999999999796</c:v>
                </c:pt>
                <c:pt idx="10">
                  <c:v>39.950000000000131</c:v>
                </c:pt>
                <c:pt idx="11">
                  <c:v>4.0999999999999934</c:v>
                </c:pt>
              </c:numCache>
            </c:numRef>
          </c:val>
          <c:extLst>
            <c:ext xmlns:c16="http://schemas.microsoft.com/office/drawing/2014/chart" uri="{C3380CC4-5D6E-409C-BE32-E72D297353CC}">
              <c16:uniqueId val="{00000003-0BBA-420C-BDFE-5AA696881CAF}"/>
            </c:ext>
          </c:extLst>
        </c:ser>
        <c:dLbls>
          <c:showLegendKey val="0"/>
          <c:showVal val="0"/>
          <c:showCatName val="0"/>
          <c:showSerName val="0"/>
          <c:showPercent val="0"/>
          <c:showBubbleSize val="0"/>
        </c:dLbls>
        <c:gapWidth val="150"/>
        <c:shape val="box"/>
        <c:axId val="1676190208"/>
        <c:axId val="1676186880"/>
        <c:axId val="0"/>
      </c:bar3DChart>
      <c:catAx>
        <c:axId val="1676190208"/>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Genres </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676186880"/>
        <c:crosses val="autoZero"/>
        <c:auto val="1"/>
        <c:lblAlgn val="ctr"/>
        <c:lblOffset val="100"/>
        <c:noMultiLvlLbl val="0"/>
      </c:catAx>
      <c:valAx>
        <c:axId val="1676186880"/>
        <c:scaling>
          <c:orientation val="minMax"/>
        </c:scaling>
        <c:delete val="0"/>
        <c:axPos val="l"/>
        <c:majorGridlines>
          <c:spPr>
            <a:ln w="9525" cap="flat" cmpd="sng" algn="ctr">
              <a:solidFill>
                <a:schemeClr val="dk1">
                  <a:lumMod val="50000"/>
                  <a:lumOff val="5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Percentage</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67619020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[vgsales_clean1.8.xlsx]Sheet4!PivotTable1</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Proportion of Global Sales Per Region (2010 - 2016)</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solidFill>
            <a:schemeClr val="accent1"/>
          </a:solidFill>
          <a:ln w="28575" cap="rnd">
            <a:solidFill>
              <a:schemeClr val="accent1"/>
            </a:solidFill>
            <a:round/>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1"/>
          <c:showVal val="1"/>
          <c:showCatName val="1"/>
          <c:showSerName val="1"/>
          <c:showPercent val="1"/>
          <c:showBubbleSize val="1"/>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1"/>
          <c:showVal val="1"/>
          <c:showCatName val="1"/>
          <c:showSerName val="1"/>
          <c:showPercent val="1"/>
          <c:showBubbleSize val="1"/>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1"/>
          <c:showVal val="1"/>
          <c:showCatName val="1"/>
          <c:showSerName val="1"/>
          <c:showPercent val="1"/>
          <c:showBubbleSize val="1"/>
          <c:extLst>
            <c:ext xmlns:c15="http://schemas.microsoft.com/office/drawing/2012/chart" uri="{CE6537A1-D6FC-4f65-9D91-7224C49458BB}"/>
          </c:extLst>
        </c:dLbl>
      </c:pivotFmt>
      <c:pivotFmt>
        <c:idx val="3"/>
        <c:spPr>
          <a:solidFill>
            <a:schemeClr val="accent1"/>
          </a:solidFill>
          <a:ln w="28575" cap="rnd">
            <a:solidFill>
              <a:schemeClr val="accent1"/>
            </a:solidFill>
            <a:round/>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1"/>
          <c:showVal val="1"/>
          <c:showCatName val="1"/>
          <c:showSerName val="1"/>
          <c:showPercent val="1"/>
          <c:showBubbleSize val="1"/>
          <c:extLst>
            <c:ext xmlns:c15="http://schemas.microsoft.com/office/drawing/2012/chart" uri="{CE6537A1-D6FC-4f65-9D91-7224C49458BB}"/>
          </c:extLst>
        </c:dLbl>
      </c:pivotFmt>
      <c:pivotFmt>
        <c:idx val="4"/>
        <c:spPr>
          <a:solidFill>
            <a:schemeClr val="accent1"/>
          </a:solidFill>
          <a:ln w="28575" cap="rnd">
            <a:solidFill>
              <a:schemeClr val="accent1"/>
            </a:solidFill>
            <a:round/>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1"/>
          <c:showVal val="1"/>
          <c:showCatName val="1"/>
          <c:showSerName val="1"/>
          <c:showPercent val="1"/>
          <c:showBubbleSize val="1"/>
          <c:extLst>
            <c:ext xmlns:c15="http://schemas.microsoft.com/office/drawing/2012/chart" uri="{CE6537A1-D6FC-4f65-9D91-7224C49458BB}"/>
          </c:extLst>
        </c:dLbl>
      </c:pivotFmt>
      <c:pivotFmt>
        <c:idx val="5"/>
        <c:spPr>
          <a:solidFill>
            <a:schemeClr val="accent1"/>
          </a:solidFill>
          <a:ln w="28575" cap="rnd">
            <a:solidFill>
              <a:schemeClr val="accent1"/>
            </a:solidFill>
            <a:round/>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1"/>
          <c:showVal val="1"/>
          <c:showCatName val="1"/>
          <c:showSerName val="1"/>
          <c:showPercent val="1"/>
          <c:showBubbleSize val="1"/>
          <c:extLst>
            <c:ext xmlns:c15="http://schemas.microsoft.com/office/drawing/2012/chart" uri="{CE6537A1-D6FC-4f65-9D91-7224C49458BB}"/>
          </c:extLst>
        </c:dLbl>
      </c:pivotFmt>
      <c:pivotFmt>
        <c:idx val="6"/>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Sheet4!$B$3</c:f>
              <c:strCache>
                <c:ptCount val="1"/>
                <c:pt idx="0">
                  <c:v>Sum of Proportion_north_america_sales</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strRef>
              <c:f>Sheet4!$A$4:$A$11</c:f>
              <c:strCache>
                <c:ptCount val="7"/>
                <c:pt idx="0">
                  <c:v>2010</c:v>
                </c:pt>
                <c:pt idx="1">
                  <c:v>2011</c:v>
                </c:pt>
                <c:pt idx="2">
                  <c:v>2012</c:v>
                </c:pt>
                <c:pt idx="3">
                  <c:v>2013</c:v>
                </c:pt>
                <c:pt idx="4">
                  <c:v>2014</c:v>
                </c:pt>
                <c:pt idx="5">
                  <c:v>2015</c:v>
                </c:pt>
                <c:pt idx="6">
                  <c:v>2016</c:v>
                </c:pt>
              </c:strCache>
            </c:strRef>
          </c:cat>
          <c:val>
            <c:numRef>
              <c:f>Sheet4!$B$4:$B$11</c:f>
              <c:numCache>
                <c:formatCode>0%</c:formatCode>
                <c:ptCount val="7"/>
                <c:pt idx="0">
                  <c:v>0.50626508028954642</c:v>
                </c:pt>
                <c:pt idx="1">
                  <c:v>0.46717959650380975</c:v>
                </c:pt>
                <c:pt idx="2">
                  <c:v>0.42625295703361332</c:v>
                </c:pt>
                <c:pt idx="3">
                  <c:v>0.41987466427931902</c:v>
                </c:pt>
                <c:pt idx="4">
                  <c:v>0.39154428126390717</c:v>
                </c:pt>
                <c:pt idx="5">
                  <c:v>0.38882166086824921</c:v>
                </c:pt>
                <c:pt idx="6">
                  <c:v>0.31946989990131053</c:v>
                </c:pt>
              </c:numCache>
            </c:numRef>
          </c:val>
          <c:smooth val="0"/>
          <c:extLst>
            <c:ext xmlns:c16="http://schemas.microsoft.com/office/drawing/2014/chart" uri="{C3380CC4-5D6E-409C-BE32-E72D297353CC}">
              <c16:uniqueId val="{00000000-3936-43AD-BADA-D5DC6EB56DBA}"/>
            </c:ext>
          </c:extLst>
        </c:ser>
        <c:ser>
          <c:idx val="1"/>
          <c:order val="1"/>
          <c:tx>
            <c:strRef>
              <c:f>Sheet4!$C$3</c:f>
              <c:strCache>
                <c:ptCount val="1"/>
                <c:pt idx="0">
                  <c:v>Sum of Proportion_European_Sales</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strRef>
              <c:f>Sheet4!$A$4:$A$11</c:f>
              <c:strCache>
                <c:ptCount val="7"/>
                <c:pt idx="0">
                  <c:v>2010</c:v>
                </c:pt>
                <c:pt idx="1">
                  <c:v>2011</c:v>
                </c:pt>
                <c:pt idx="2">
                  <c:v>2012</c:v>
                </c:pt>
                <c:pt idx="3">
                  <c:v>2013</c:v>
                </c:pt>
                <c:pt idx="4">
                  <c:v>2014</c:v>
                </c:pt>
                <c:pt idx="5">
                  <c:v>2015</c:v>
                </c:pt>
                <c:pt idx="6">
                  <c:v>2016</c:v>
                </c:pt>
              </c:strCache>
            </c:strRef>
          </c:cat>
          <c:val>
            <c:numRef>
              <c:f>Sheet4!$C$4:$C$11</c:f>
              <c:numCache>
                <c:formatCode>0%</c:formatCode>
                <c:ptCount val="7"/>
                <c:pt idx="0">
                  <c:v>0.29433397121224802</c:v>
                </c:pt>
                <c:pt idx="1">
                  <c:v>0.3245024128374579</c:v>
                </c:pt>
                <c:pt idx="2">
                  <c:v>0.32673158386972545</c:v>
                </c:pt>
                <c:pt idx="3">
                  <c:v>0.34168904804535938</c:v>
                </c:pt>
                <c:pt idx="4">
                  <c:v>0.37279335410176567</c:v>
                </c:pt>
                <c:pt idx="5">
                  <c:v>0.36949780668582605</c:v>
                </c:pt>
                <c:pt idx="6">
                  <c:v>0.37727336810940337</c:v>
                </c:pt>
              </c:numCache>
            </c:numRef>
          </c:val>
          <c:smooth val="0"/>
          <c:extLst>
            <c:ext xmlns:c16="http://schemas.microsoft.com/office/drawing/2014/chart" uri="{C3380CC4-5D6E-409C-BE32-E72D297353CC}">
              <c16:uniqueId val="{00000001-3936-43AD-BADA-D5DC6EB56DBA}"/>
            </c:ext>
          </c:extLst>
        </c:ser>
        <c:ser>
          <c:idx val="2"/>
          <c:order val="2"/>
          <c:tx>
            <c:strRef>
              <c:f>Sheet4!$D$3</c:f>
              <c:strCache>
                <c:ptCount val="1"/>
                <c:pt idx="0">
                  <c:v>Sum of Proportion_Japan_Sales</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strRef>
              <c:f>Sheet4!$A$4:$A$11</c:f>
              <c:strCache>
                <c:ptCount val="7"/>
                <c:pt idx="0">
                  <c:v>2010</c:v>
                </c:pt>
                <c:pt idx="1">
                  <c:v>2011</c:v>
                </c:pt>
                <c:pt idx="2">
                  <c:v>2012</c:v>
                </c:pt>
                <c:pt idx="3">
                  <c:v>2013</c:v>
                </c:pt>
                <c:pt idx="4">
                  <c:v>2014</c:v>
                </c:pt>
                <c:pt idx="5">
                  <c:v>2015</c:v>
                </c:pt>
                <c:pt idx="6">
                  <c:v>2016</c:v>
                </c:pt>
              </c:strCache>
            </c:strRef>
          </c:cat>
          <c:val>
            <c:numRef>
              <c:f>Sheet4!$D$4:$D$11</c:f>
              <c:numCache>
                <c:formatCode>0%</c:formatCode>
                <c:ptCount val="7"/>
                <c:pt idx="0">
                  <c:v>9.9059821948581581E-2</c:v>
                </c:pt>
                <c:pt idx="1">
                  <c:v>0.10279268978080947</c:v>
                </c:pt>
                <c:pt idx="2">
                  <c:v>0.14232271551961251</c:v>
                </c:pt>
                <c:pt idx="3">
                  <c:v>0.1292151596538344</c:v>
                </c:pt>
                <c:pt idx="4">
                  <c:v>0.11707461800919744</c:v>
                </c:pt>
                <c:pt idx="5">
                  <c:v>0.12751474814702776</c:v>
                </c:pt>
                <c:pt idx="6">
                  <c:v>0.19314817425630892</c:v>
                </c:pt>
              </c:numCache>
            </c:numRef>
          </c:val>
          <c:smooth val="0"/>
          <c:extLst>
            <c:ext xmlns:c16="http://schemas.microsoft.com/office/drawing/2014/chart" uri="{C3380CC4-5D6E-409C-BE32-E72D297353CC}">
              <c16:uniqueId val="{00000002-3936-43AD-BADA-D5DC6EB56DBA}"/>
            </c:ext>
          </c:extLst>
        </c:ser>
        <c:dLbls>
          <c:showLegendKey val="0"/>
          <c:showVal val="0"/>
          <c:showCatName val="0"/>
          <c:showSerName val="0"/>
          <c:showPercent val="0"/>
          <c:showBubbleSize val="0"/>
        </c:dLbls>
        <c:smooth val="0"/>
        <c:axId val="2005614095"/>
        <c:axId val="2005635311"/>
      </c:lineChart>
      <c:catAx>
        <c:axId val="2005614095"/>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Year</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005635311"/>
        <c:crosses val="autoZero"/>
        <c:auto val="1"/>
        <c:lblAlgn val="ctr"/>
        <c:lblOffset val="100"/>
        <c:noMultiLvlLbl val="0"/>
      </c:catAx>
      <c:valAx>
        <c:axId val="2005635311"/>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Percentage</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005614095"/>
        <c:crosses val="autoZero"/>
        <c:crossBetween val="between"/>
      </c:valAx>
      <c:spPr>
        <a:noFill/>
        <a:ln>
          <a:noFill/>
        </a:ln>
        <a:effectLst/>
      </c:spPr>
    </c:plotArea>
    <c:legend>
      <c:legendPos val="r"/>
      <c:layout>
        <c:manualLayout>
          <c:xMode val="edge"/>
          <c:yMode val="edge"/>
          <c:x val="0.66666666666666663"/>
          <c:y val="0.36787727115505908"/>
          <c:w val="0.33333333333333331"/>
          <c:h val="0.5614025717715518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50000"/>
            <a:lumOff val="50000"/>
          </a:schemeClr>
        </a:solidFill>
        <a:round/>
      </a:ln>
    </cs:spPr>
  </cs:gridlineMajor>
  <cs:gridlineMinor>
    <cs:lnRef idx="0"/>
    <cs:fillRef idx="0"/>
    <cs:effectRef idx="0"/>
    <cs:fontRef idx="minor">
      <a:schemeClr val="tx1"/>
    </cs:fontRef>
    <cs:spPr>
      <a:ln>
        <a:solidFill>
          <a:schemeClr val="dk1">
            <a:lumMod val="60000"/>
            <a:lumOff val="4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3</Pages>
  <Words>268</Words>
  <Characters>1530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Featherstone</dc:creator>
  <cp:keywords/>
  <dc:description/>
  <cp:lastModifiedBy>Emmanuel Featherstone</cp:lastModifiedBy>
  <cp:revision>4</cp:revision>
  <dcterms:created xsi:type="dcterms:W3CDTF">2023-02-15T14:58:00Z</dcterms:created>
  <dcterms:modified xsi:type="dcterms:W3CDTF">2023-02-19T20:10:00Z</dcterms:modified>
</cp:coreProperties>
</file>