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EduSparring Revenue Strategies</w:t>
      </w:r>
    </w:p>
    <w:p>
      <w:pPr>
        <w:spacing w:after="200"/>
      </w:pPr>
      <w:r>
        <w:rPr>
          <w:color w:val="6878A0"/>
          <w:sz w:val="22"/>
          <w:szCs w:val="22"/>
        </w:rPr>
        <w:t xml:space="preserve">10 Comprehensive Monetization Streams</w:t>
      </w:r>
    </w:p>
    <w:p>
      <w:pPr>
        <w:pStyle w:val="Heading2"/>
      </w:pPr>
      <w:r>
        <w:t xml:space="preserve">Introduction</w:t>
      </w:r>
    </w:p>
    <w:p>
      <w:r>
        <w:t xml:space="preserve">This document outlines ten distinct revenue streams for EduSparring, designed to create a diversified and sustainable business model. Each strategy is tailored to different market segments while leveraging the platform's unique competitive learning approach.</w:t>
      </w:r>
    </w:p>
    <w:p>
      <w:pPr>
        <w:pStyle w:val="Heading2"/>
      </w:pPr>
      <w:r>
        <w:t xml:space="preserve">Strategy 1: Freemium Subscription Model</w:t>
      </w:r>
    </w:p>
    <w:p>
      <w:pPr>
        <w:pStyle w:val="Heading3"/>
      </w:pPr>
      <w:r>
        <w:t xml:space="preserve">Overview</w:t>
      </w:r>
    </w:p>
    <w:p>
      <w:r>
        <w:t xml:space="preserve">The freemium model offers basic features at no cost while gating premium features behind subscription tiers. This approach maximizes user acquisition while generating recurring revenue from engaged users who seek enhanced experiences.</w:t>
      </w:r>
    </w:p>
    <w:p>
      <w:pPr>
        <w:pStyle w:val="Heading3"/>
      </w:pPr>
      <w:r>
        <w:t xml:space="preserve">Tier Structure</w:t>
      </w:r>
    </w:p>
    <w:p>
      <w:r>
        <w:rPr>
          <w:b/>
          <w:bCs/>
        </w:rPr>
        <w:t xml:space="preserve">Free Tier: </w:t>
      </w:r>
      <w:r>
        <w:t xml:space="preserve">Access to basic sparring with AI bot, limited daily matches, standard question bank, basic KR tracking, and community features. This tier serves as the acquisition funnel.</w:t>
      </w:r>
    </w:p>
    <w:p>
      <w:r>
        <w:rPr>
          <w:b/>
          <w:bCs/>
        </w:rPr>
        <w:t xml:space="preserve">Premium Tier ($9.99/month): </w:t>
      </w:r>
      <w:r>
        <w:t xml:space="preserve">Unlimited matches, access to all subjects, advanced analytics, priority matchmaking, exclusive tournaments, ad-free experience, and early access to new features.</w:t>
      </w:r>
    </w:p>
    <w:p>
      <w:r>
        <w:rPr>
          <w:b/>
          <w:bCs/>
        </w:rPr>
        <w:t xml:space="preserve">Elite Tier ($19.99/month): </w:t>
      </w:r>
      <w:r>
        <w:t xml:space="preserve">All Premium features plus one-on-one AI tutoring sessions, personalized study plans, detailed performance reports, and exclusive mentor access.</w:t>
      </w:r>
    </w:p>
    <w:p>
      <w:pPr>
        <w:pStyle w:val="Heading3"/>
      </w:pPr>
      <w:r>
        <w:t xml:space="preserve">Revenue Potential</w:t>
      </w:r>
    </w:p>
    <w:p>
      <w:r>
        <w:t xml:space="preserve">With 100,000 active users and 10% conversion to Premium at $9.99/month, monthly revenue reaches $99,900. Adding a 2% Elite tier conversion adds $39,980, totaling approximately $140,000 monthly.</w:t>
      </w:r>
    </w:p>
    <w:p>
      <w:pPr>
        <w:pStyle w:val="Heading2"/>
      </w:pPr>
      <w:r>
        <w:t xml:space="preserve">Strategy 2: School and Institution Licensing</w:t>
      </w:r>
    </w:p>
    <w:p>
      <w:pPr>
        <w:pStyle w:val="Heading3"/>
      </w:pPr>
      <w:r>
        <w:t xml:space="preserve">Overview</w:t>
      </w:r>
    </w:p>
    <w:p>
      <w:r>
        <w:t xml:space="preserve">Partner with schools, universities, and educational institutions to provide EduSparring as a supplementary learning tool. Institutions pay annual licensing fees based on student enrollment.</w:t>
      </w:r>
    </w:p>
    <w:p>
      <w:pPr>
        <w:pStyle w:val="Heading3"/>
      </w:pPr>
      <w:r>
        <w:t xml:space="preserve">Service Offerings</w:t>
      </w:r>
    </w:p>
    <w:p>
      <w:r>
        <w:t xml:space="preserve">Custom question banks aligned with school curriculum, teacher dashboard for progress monitoring and assignment creation, class vs. class competitions, integration with existing LMS platforms, and dedicated support and training.</w:t>
      </w:r>
    </w:p>
    <w:p>
      <w:pPr>
        <w:pStyle w:val="Heading3"/>
      </w:pPr>
      <w:r>
        <w:t xml:space="preserve">Pricing Model</w:t>
      </w:r>
    </w:p>
    <w:p>
      <w:r>
        <w:t xml:space="preserve">Per-student pricing at $2-5 per student per year, with volume discounts for large districts. Premium packages include custom branding and dedicated servers. A school with 1,000 students would pay $2,000-5,000 annually.</w:t>
      </w:r>
    </w:p>
    <w:p>
      <w:pPr>
        <w:pStyle w:val="Heading3"/>
      </w:pPr>
      <w:r>
        <w:t xml:space="preserve">Revenue Potential</w:t>
      </w:r>
    </w:p>
    <w:p>
      <w:r>
        <w:t xml:space="preserve">Securing 100 schools with average 500 students at $3/student generates $150,000 annually. Government education contracts can scale this significantly.</w:t>
      </w:r>
    </w:p>
    <w:p>
      <w:pPr>
        <w:pStyle w:val="Heading2"/>
      </w:pPr>
      <w:r>
        <w:t xml:space="preserve">Strategy 3: In-App Purchases and Virtual Goods</w:t>
      </w:r>
    </w:p>
    <w:p>
      <w:pPr>
        <w:pStyle w:val="Heading3"/>
      </w:pPr>
      <w:r>
        <w:t xml:space="preserve">Overview</w:t>
      </w:r>
    </w:p>
    <w:p>
      <w:r>
        <w:t xml:space="preserve">Implement a virtual goods economy where users can purchase cosmetic items, power-ups, and convenience features. This monetizes users who prefer microtransactions over subscriptions.</w:t>
      </w:r>
    </w:p>
    <w:p>
      <w:pPr>
        <w:pStyle w:val="Heading3"/>
      </w:pPr>
      <w:r>
        <w:t xml:space="preserve">Product Categories</w:t>
      </w:r>
    </w:p>
    <w:p>
      <w:r>
        <w:rPr>
          <w:b/>
          <w:bCs/>
        </w:rPr>
        <w:t xml:space="preserve">Cosmetic Items: </w:t>
      </w:r>
      <w:r>
        <w:t xml:space="preserve">Avatar skins, profile frames, victory animations, custom question themes, and badge designs. Prices range from $0.99 to $4.99.</w:t>
      </w:r>
    </w:p>
    <w:p>
      <w:r>
        <w:rPr>
          <w:b/>
          <w:bCs/>
        </w:rPr>
        <w:t xml:space="preserve">Convenience Items: </w:t>
      </w:r>
      <w:r>
        <w:t xml:space="preserve">XP boosters, KR protection shields (prevent rating loss), extra daily matches, and instant tournament entry.</w:t>
      </w:r>
    </w:p>
    <w:p>
      <w:r>
        <w:rPr>
          <w:b/>
          <w:bCs/>
        </w:rPr>
        <w:t xml:space="preserve">Content Packs: </w:t>
      </w:r>
      <w:r>
        <w:t xml:space="preserve">Premium question packs for specific subjects or exam preparations, sold individually or as bundles.</w:t>
      </w:r>
    </w:p>
    <w:p>
      <w:pPr>
        <w:pStyle w:val="Heading3"/>
      </w:pPr>
      <w:r>
        <w:t xml:space="preserve">Revenue Potential</w:t>
      </w:r>
    </w:p>
    <w:p>
      <w:r>
        <w:t xml:space="preserve">Industry standard ARPU for education apps with IAP is $3-8 monthly from paying users. With 15% of users making purchases averaging $5/month, 100,000 users generate $75,000 monthly.</w:t>
      </w:r>
    </w:p>
    <w:p>
      <w:pPr>
        <w:pStyle w:val="Heading2"/>
      </w:pPr>
      <w:r>
        <w:t xml:space="preserve">Strategy 4: Advertising and Sponsored Content</w:t>
      </w:r>
    </w:p>
    <w:p>
      <w:pPr>
        <w:pStyle w:val="Heading3"/>
      </w:pPr>
      <w:r>
        <w:t xml:space="preserve">Overview</w:t>
      </w:r>
    </w:p>
    <w:p>
      <w:r>
        <w:t xml:space="preserve">Display non-intrusive advertisements to free-tier users while maintaining a premium user experience. Partner with educational brands for sponsored content and tournaments.</w:t>
      </w:r>
    </w:p>
    <w:p>
      <w:pPr>
        <w:pStyle w:val="Heading3"/>
      </w:pPr>
      <w:r>
        <w:t xml:space="preserve">Ad Formats</w:t>
      </w:r>
    </w:p>
    <w:p>
      <w:r>
        <w:rPr>
          <w:b/>
          <w:bCs/>
        </w:rPr>
        <w:t xml:space="preserve">Banner Ads: </w:t>
      </w:r>
      <w:r>
        <w:t xml:space="preserve">Non-intrusive banners on free-tier pages, carefully placed to not interrupt learning.</w:t>
      </w:r>
    </w:p>
    <w:p>
      <w:r>
        <w:rPr>
          <w:b/>
          <w:bCs/>
        </w:rPr>
        <w:t xml:space="preserve">Rewarded Video: </w:t>
      </w:r>
      <w:r>
        <w:t xml:space="preserve">Optional video ads that reward users with in-game currency, XP boosts, or extra matches.</w:t>
      </w:r>
    </w:p>
    <w:p>
      <w:r>
        <w:rPr>
          <w:b/>
          <w:bCs/>
        </w:rPr>
        <w:t xml:space="preserve">Sponsored Tournaments: </w:t>
      </w:r>
      <w:r>
        <w:t xml:space="preserve">Branded competitions sponsored by educational companies, universities, or corporations.</w:t>
      </w:r>
    </w:p>
    <w:p>
      <w:pPr>
        <w:pStyle w:val="Heading3"/>
      </w:pPr>
      <w:r>
        <w:t xml:space="preserve">Revenue Potential</w:t>
      </w:r>
    </w:p>
    <w:p>
      <w:r>
        <w:t xml:space="preserve">With 80,000 free users generating 5 ad impressions daily at $2 CPM, monthly ad revenue reaches $24,000. Sponsored tournaments can add $10,000-50,000 per event.</w:t>
      </w:r>
    </w:p>
    <w:p>
      <w:pPr>
        <w:pStyle w:val="Heading2"/>
      </w:pPr>
      <w:r>
        <w:t xml:space="preserve">Strategy 5: Tournaments and Prize Pools</w:t>
      </w:r>
    </w:p>
    <w:p>
      <w:pPr>
        <w:pStyle w:val="Heading3"/>
      </w:pPr>
      <w:r>
        <w:t xml:space="preserve">Overview</w:t>
      </w:r>
    </w:p>
    <w:p>
      <w:r>
        <w:t xml:space="preserve">Host competitive tournaments with entry fees contributing to prize pools. EduSparring takes a percentage of entry fees while offering attractive prizes to winners.</w:t>
      </w:r>
    </w:p>
    <w:p>
      <w:pPr>
        <w:pStyle w:val="Heading3"/>
      </w:pPr>
      <w:r>
        <w:t xml:space="preserve">Tournament Types</w:t>
      </w:r>
    </w:p>
    <w:p>
      <w:r>
        <w:rPr>
          <w:b/>
          <w:bCs/>
        </w:rPr>
        <w:t xml:space="preserve">Weekly Cups: </w:t>
      </w:r>
      <w:r>
        <w:t xml:space="preserve">Small entry fees ($1-5) with moderate prizes, running every week across different subjects.</w:t>
      </w:r>
    </w:p>
    <w:p>
      <w:r>
        <w:rPr>
          <w:b/>
          <w:bCs/>
        </w:rPr>
        <w:t xml:space="preserve">Monthly Championships: </w:t>
      </w:r>
      <w:r>
        <w:t xml:space="preserve">Larger entry fees ($10-25) with significant prize pools, featuring leaderboard qualifications.</w:t>
      </w:r>
    </w:p>
    <w:p>
      <w:r>
        <w:rPr>
          <w:b/>
          <w:bCs/>
        </w:rPr>
        <w:t xml:space="preserve">Annual World Championship: </w:t>
      </w:r>
      <w:r>
        <w:t xml:space="preserve">Major event with regional qualifiers, sponsored prizes, and substantial cash awards.</w:t>
      </w:r>
    </w:p>
    <w:p>
      <w:pPr>
        <w:pStyle w:val="Heading3"/>
      </w:pPr>
      <w:r>
        <w:t xml:space="preserve">Revenue Potential</w:t>
      </w:r>
    </w:p>
    <w:p>
      <w:r>
        <w:t xml:space="preserve">Taking 20% of entry fees, a weekly tournament with 1,000 participants at $5 entry generates $1,000 weekly. Annual revenue from tournaments alone could reach $50,000-200,000.</w:t>
      </w:r>
    </w:p>
    <w:p>
      <w:pPr>
        <w:pStyle w:val="Heading2"/>
      </w:pPr>
      <w:r>
        <w:t xml:space="preserve">Strategy 6: Certification and Credentialing</w:t>
      </w:r>
    </w:p>
    <w:p>
      <w:pPr>
        <w:pStyle w:val="Heading3"/>
      </w:pPr>
      <w:r>
        <w:t xml:space="preserve">Overview</w:t>
      </w:r>
    </w:p>
    <w:p>
      <w:r>
        <w:t xml:space="preserve">Offer verified skill certifications based on KR scores and subject mastery. Partner with employers and institutions to recognize these credentials.</w:t>
      </w:r>
    </w:p>
    <w:p>
      <w:pPr>
        <w:pStyle w:val="Heading3"/>
      </w:pPr>
      <w:r>
        <w:t xml:space="preserve">Certification Tiers</w:t>
      </w:r>
    </w:p>
    <w:p>
      <w:r>
        <w:rPr>
          <w:b/>
          <w:bCs/>
        </w:rPr>
        <w:t xml:space="preserve">Subject Mastery Certificates: </w:t>
      </w:r>
      <w:r>
        <w:t xml:space="preserve">Verified credentials for achieving specific KR thresholds in subjects. Pricing at $29-49 per certificate.</w:t>
      </w:r>
    </w:p>
    <w:p>
      <w:r>
        <w:rPr>
          <w:b/>
          <w:bCs/>
        </w:rPr>
        <w:t xml:space="preserve">Professional Certifications: </w:t>
      </w:r>
      <w:r>
        <w:t xml:space="preserve">Industry-recognized credentials in partnership with companies. Higher pricing at $99-299.</w:t>
      </w:r>
    </w:p>
    <w:p>
      <w:r>
        <w:rPr>
          <w:b/>
          <w:bCs/>
        </w:rPr>
        <w:t xml:space="preserve">Academic Endorsements: </w:t>
      </w:r>
      <w:r>
        <w:t xml:space="preserve">Credentials recognized by universities for admission considerations.</w:t>
      </w:r>
    </w:p>
    <w:p>
      <w:pPr>
        <w:pStyle w:val="Heading3"/>
      </w:pPr>
      <w:r>
        <w:t xml:space="preserve">Revenue Potential</w:t>
      </w:r>
    </w:p>
    <w:p>
      <w:r>
        <w:t xml:space="preserve">If 5% of users obtain certifications annually at average $50, with 100,000 users this generates $250,000 yearly. Employer partnerships can significantly increase this.</w:t>
      </w:r>
    </w:p>
    <w:p>
      <w:pPr>
        <w:pStyle w:val="Heading2"/>
      </w:pPr>
      <w:r>
        <w:t xml:space="preserve">Strategy 7: Parent Premium Features</w:t>
      </w:r>
    </w:p>
    <w:p>
      <w:pPr>
        <w:pStyle w:val="Heading3"/>
      </w:pPr>
      <w:r>
        <w:t xml:space="preserve">Overview</w:t>
      </w:r>
    </w:p>
    <w:p>
      <w:r>
        <w:t xml:space="preserve">Offer premium features specifically designed for parents to monitor and support their children's learning journey.</w:t>
      </w:r>
    </w:p>
    <w:p>
      <w:pPr>
        <w:pStyle w:val="Heading3"/>
      </w:pPr>
      <w:r>
        <w:t xml:space="preserve">Feature Set</w:t>
      </w:r>
    </w:p>
    <w:p>
      <w:r>
        <w:rPr>
          <w:b/>
          <w:bCs/>
        </w:rPr>
        <w:t xml:space="preserve">Progress Dashboard: </w:t>
      </w:r>
      <w:r>
        <w:t xml:space="preserve">Detailed analytics on child's performance, strengths, and areas for improvement.</w:t>
      </w:r>
    </w:p>
    <w:p>
      <w:r>
        <w:rPr>
          <w:b/>
          <w:bCs/>
        </w:rPr>
        <w:t xml:space="preserve">Safety Controls: </w:t>
      </w:r>
      <w:r>
        <w:t xml:space="preserve">Advanced parental controls for chat, match frequency, and content access.</w:t>
      </w:r>
    </w:p>
    <w:p>
      <w:r>
        <w:rPr>
          <w:b/>
          <w:bCs/>
        </w:rPr>
        <w:t xml:space="preserve">Weekly Reports: </w:t>
      </w:r>
      <w:r>
        <w:t xml:space="preserve">Automated email reports with learning summaries and recommendations.</w:t>
      </w:r>
    </w:p>
    <w:p>
      <w:r>
        <w:rPr>
          <w:b/>
          <w:bCs/>
        </w:rPr>
        <w:t xml:space="preserve">Goal Setting: </w:t>
      </w:r>
      <w:r>
        <w:t xml:space="preserve">Set learning goals and rewards for achievement milestones.</w:t>
      </w:r>
    </w:p>
    <w:p>
      <w:pPr>
        <w:pStyle w:val="Heading3"/>
      </w:pPr>
      <w:r>
        <w:t xml:space="preserve">Revenue Potential</w:t>
      </w:r>
    </w:p>
    <w:p>
      <w:r>
        <w:t xml:space="preserve">At $4.99/month for parent premium, converting 20% of parents with 100,000 student users generates approximately $100,000 monthly.</w:t>
      </w:r>
    </w:p>
    <w:p>
      <w:pPr>
        <w:pStyle w:val="Heading2"/>
      </w:pPr>
      <w:r>
        <w:t xml:space="preserve">Strategy 8: Corporate Training and Employer Partnerships</w:t>
      </w:r>
    </w:p>
    <w:p>
      <w:pPr>
        <w:pStyle w:val="Heading3"/>
      </w:pPr>
      <w:r>
        <w:t xml:space="preserve">Overview</w:t>
      </w:r>
    </w:p>
    <w:p>
      <w:r>
        <w:t xml:space="preserve">Extend the platform to corporate training markets, offering companies competitive learning solutions for employee development.</w:t>
      </w:r>
    </w:p>
    <w:p>
      <w:pPr>
        <w:pStyle w:val="Heading3"/>
      </w:pPr>
      <w:r>
        <w:t xml:space="preserve">Corporate Features</w:t>
      </w:r>
    </w:p>
    <w:p>
      <w:r>
        <w:rPr>
          <w:b/>
          <w:bCs/>
        </w:rPr>
        <w:t xml:space="preserve">Team Competitions: </w:t>
      </w:r>
      <w:r>
        <w:t xml:space="preserve">Department vs. department learning battles for corporate knowledge.</w:t>
      </w:r>
    </w:p>
    <w:p>
      <w:r>
        <w:rPr>
          <w:b/>
          <w:bCs/>
        </w:rPr>
        <w:t xml:space="preserve">Custom Content: </w:t>
      </w:r>
      <w:r>
        <w:t xml:space="preserve">Company-specific question banks for onboarding, compliance, and skills training.</w:t>
      </w:r>
    </w:p>
    <w:p>
      <w:r>
        <w:rPr>
          <w:b/>
          <w:bCs/>
        </w:rPr>
        <w:t xml:space="preserve">Analytics Dashboard: </w:t>
      </w:r>
      <w:r>
        <w:t xml:space="preserve">HR and management views of employee skill development.</w:t>
      </w:r>
    </w:p>
    <w:p>
      <w:r>
        <w:rPr>
          <w:b/>
          <w:bCs/>
        </w:rPr>
        <w:t xml:space="preserve">Certification Programs: </w:t>
      </w:r>
      <w:r>
        <w:t xml:space="preserve">Internal certification tracks with verified completion.</w:t>
      </w:r>
    </w:p>
    <w:p>
      <w:pPr>
        <w:pStyle w:val="Heading3"/>
      </w:pPr>
      <w:r>
        <w:t xml:space="preserve">Revenue Potential</w:t>
      </w:r>
    </w:p>
    <w:p>
      <w:r>
        <w:t xml:space="preserve">Corporate licenses at $50-200 per employee annually. A contract with 10 companies averaging 500 employees at $100/employee generates $500,000 annually.</w:t>
      </w:r>
    </w:p>
    <w:p>
      <w:pPr>
        <w:pStyle w:val="Heading2"/>
      </w:pPr>
      <w:r>
        <w:t xml:space="preserve">Strategy 9: Content Partnerships and White Labeling</w:t>
      </w:r>
    </w:p>
    <w:p>
      <w:pPr>
        <w:pStyle w:val="Heading3"/>
      </w:pPr>
      <w:r>
        <w:t xml:space="preserve">Overview</w:t>
      </w:r>
    </w:p>
    <w:p>
      <w:r>
        <w:t xml:space="preserve">Partner with educational content creators, publishers, and ed-tech companies to license EduSparring's competitive learning engine.</w:t>
      </w:r>
    </w:p>
    <w:p>
      <w:pPr>
        <w:pStyle w:val="Heading3"/>
      </w:pPr>
      <w:r>
        <w:t xml:space="preserve">Partnership Models</w:t>
      </w:r>
    </w:p>
    <w:p>
      <w:r>
        <w:rPr>
          <w:b/>
          <w:bCs/>
        </w:rPr>
        <w:t xml:space="preserve">Content Licensing: </w:t>
      </w:r>
      <w:r>
        <w:t xml:space="preserve">Educational publishers provide question banks and receive revenue share.</w:t>
      </w:r>
    </w:p>
    <w:p>
      <w:r>
        <w:rPr>
          <w:b/>
          <w:bCs/>
        </w:rPr>
        <w:t xml:space="preserve">White Label Solution: </w:t>
      </w:r>
      <w:r>
        <w:t xml:space="preserve">License the platform to other companies who brand it as their own.</w:t>
      </w:r>
    </w:p>
    <w:p>
      <w:r>
        <w:rPr>
          <w:b/>
          <w:bCs/>
        </w:rPr>
        <w:t xml:space="preserve">API Access: </w:t>
      </w:r>
      <w:r>
        <w:t xml:space="preserve">Allow third parties to integrate EduSparring's battle system into their platforms.</w:t>
      </w:r>
    </w:p>
    <w:p>
      <w:pPr>
        <w:pStyle w:val="Heading3"/>
      </w:pPr>
      <w:r>
        <w:t xml:space="preserve">Revenue Potential</w:t>
      </w:r>
    </w:p>
    <w:p>
      <w:r>
        <w:t xml:space="preserve">White label licensing at $50,000-200,000 per client annually, plus revenue sharing. Five white label clients could generate $250,000-1,000,000 annually.</w:t>
      </w:r>
    </w:p>
    <w:p>
      <w:pPr>
        <w:pStyle w:val="Heading2"/>
      </w:pPr>
      <w:r>
        <w:t xml:space="preserve">Strategy 10: Data Insights and Research Partnerships</w:t>
      </w:r>
    </w:p>
    <w:p>
      <w:pPr>
        <w:pStyle w:val="Heading3"/>
      </w:pPr>
      <w:r>
        <w:t xml:space="preserve">Overview</w:t>
      </w:r>
    </w:p>
    <w:p>
      <w:r>
        <w:t xml:space="preserve">Leverage anonymized learning data to provide insights to educational researchers, policy makers, and institutions while maintaining strict privacy standards.</w:t>
      </w:r>
    </w:p>
    <w:p>
      <w:pPr>
        <w:pStyle w:val="Heading3"/>
      </w:pPr>
      <w:r>
        <w:t xml:space="preserve">Data Products</w:t>
      </w:r>
    </w:p>
    <w:p>
      <w:r>
        <w:rPr>
          <w:b/>
          <w:bCs/>
        </w:rPr>
        <w:t xml:space="preserve">Learning Analytics Reports: </w:t>
      </w:r>
      <w:r>
        <w:t xml:space="preserve">Aggregated insights on learning patterns and knowledge gaps.</w:t>
      </w:r>
    </w:p>
    <w:p>
      <w:r>
        <w:rPr>
          <w:b/>
          <w:bCs/>
        </w:rPr>
        <w:t xml:space="preserve">Research Partnerships: </w:t>
      </w:r>
      <w:r>
        <w:t xml:space="preserve">Collaborate with universities on educational research studies.</w:t>
      </w:r>
    </w:p>
    <w:p>
      <w:r>
        <w:rPr>
          <w:b/>
          <w:bCs/>
        </w:rPr>
        <w:t xml:space="preserve">Policy Insights: </w:t>
      </w:r>
      <w:r>
        <w:t xml:space="preserve">Provide anonymized data to education departments for policy development.</w:t>
      </w:r>
    </w:p>
    <w:p>
      <w:pPr>
        <w:pStyle w:val="Heading3"/>
      </w:pPr>
      <w:r>
        <w:t xml:space="preserve">Revenue Potential</w:t>
      </w:r>
    </w:p>
    <w:p>
      <w:r>
        <w:t xml:space="preserve">Research partnerships at $25,000-100,000 per study. Annual data subscription services for institutions at $10,000-50,000. This could generate $200,000+ annually with proper scaling.</w:t>
      </w:r>
    </w:p>
    <w:p>
      <w:pPr>
        <w:pStyle w:val="Heading2"/>
      </w:pPr>
      <w:r>
        <w:t xml:space="preserve">Revenue Strategy Summary</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c>
          <w:tcPr>
            <w:shd w:fill="5B8DB8" w:val="clear"/>
            <w:tcMar>
              <w:top w:type="dxa" w:w="60"/>
              <w:left w:type="dxa" w:w="120"/>
              <w:bottom w:type="dxa" w:w="60"/>
              <w:right w:type="dxa" w:w="120"/>
            </w:tcMar>
          </w:tcPr>
          <w:p>
            <w:r>
              <w:rPr>
                <w:b/>
                <w:bCs/>
                <w:color w:val="FFFFFF"/>
              </w:rPr>
              <w:t xml:space="preserve">Strategy</w:t>
            </w:r>
          </w:p>
        </w:tc>
        <w:tc>
          <w:tcPr>
            <w:shd w:fill="5B8DB8" w:val="clear"/>
            <w:tcMar>
              <w:top w:type="dxa" w:w="60"/>
              <w:left w:type="dxa" w:w="120"/>
              <w:bottom w:type="dxa" w:w="60"/>
              <w:right w:type="dxa" w:w="120"/>
            </w:tcMar>
          </w:tcPr>
          <w:p>
            <w:r>
              <w:rPr>
                <w:b/>
                <w:bCs/>
                <w:color w:val="FFFFFF"/>
              </w:rPr>
              <w:t xml:space="preserve">Est. Monthly Revenue</w:t>
            </w:r>
          </w:p>
        </w:tc>
        <w:tc>
          <w:tcPr>
            <w:shd w:fill="5B8DB8" w:val="clear"/>
            <w:tcMar>
              <w:top w:type="dxa" w:w="60"/>
              <w:left w:type="dxa" w:w="120"/>
              <w:bottom w:type="dxa" w:w="60"/>
              <w:right w:type="dxa" w:w="120"/>
            </w:tcMar>
          </w:tcPr>
          <w:p>
            <w:r>
              <w:rPr>
                <w:b/>
                <w:bCs/>
                <w:color w:val="FFFFFF"/>
              </w:rPr>
              <w:t xml:space="preserve">Timeline</w:t>
            </w:r>
          </w:p>
        </w:tc>
      </w:tr>
      <w:tr>
        <w:tc>
          <w:tcPr>
            <w:tcMar>
              <w:top w:type="dxa" w:w="60"/>
              <w:left w:type="dxa" w:w="120"/>
              <w:bottom w:type="dxa" w:w="60"/>
              <w:right w:type="dxa" w:w="120"/>
            </w:tcMar>
          </w:tcPr>
          <w:p>
            <w:r>
              <w:t xml:space="preserve">1. Freemium Subscriptions</w:t>
            </w:r>
          </w:p>
        </w:tc>
        <w:tc>
          <w:tcPr>
            <w:tcMar>
              <w:top w:type="dxa" w:w="60"/>
              <w:left w:type="dxa" w:w="120"/>
              <w:bottom w:type="dxa" w:w="60"/>
              <w:right w:type="dxa" w:w="120"/>
            </w:tcMar>
          </w:tcPr>
          <w:p>
            <w:r>
              <w:t xml:space="preserve">$140,000</w:t>
            </w:r>
          </w:p>
        </w:tc>
        <w:tc>
          <w:tcPr>
            <w:tcMar>
              <w:top w:type="dxa" w:w="60"/>
              <w:left w:type="dxa" w:w="120"/>
              <w:bottom w:type="dxa" w:w="60"/>
              <w:right w:type="dxa" w:w="120"/>
            </w:tcMar>
          </w:tcPr>
          <w:p>
            <w:r>
              <w:t xml:space="preserve">Launch</w:t>
            </w:r>
          </w:p>
        </w:tc>
      </w:tr>
      <w:tr>
        <w:tc>
          <w:tcPr>
            <w:shd w:fill="F4F8FC" w:val="clear"/>
            <w:tcMar>
              <w:top w:type="dxa" w:w="60"/>
              <w:left w:type="dxa" w:w="120"/>
              <w:bottom w:type="dxa" w:w="60"/>
              <w:right w:type="dxa" w:w="120"/>
            </w:tcMar>
          </w:tcPr>
          <w:p>
            <w:r>
              <w:t xml:space="preserve">2. School Licensing</w:t>
            </w:r>
          </w:p>
        </w:tc>
        <w:tc>
          <w:tcPr>
            <w:shd w:fill="F4F8FC" w:val="clear"/>
            <w:tcMar>
              <w:top w:type="dxa" w:w="60"/>
              <w:left w:type="dxa" w:w="120"/>
              <w:bottom w:type="dxa" w:w="60"/>
              <w:right w:type="dxa" w:w="120"/>
            </w:tcMar>
          </w:tcPr>
          <w:p>
            <w:r>
              <w:t xml:space="preserve">$12,500/month</w:t>
            </w:r>
          </w:p>
        </w:tc>
        <w:tc>
          <w:tcPr>
            <w:shd w:fill="F4F8FC" w:val="clear"/>
            <w:tcMar>
              <w:top w:type="dxa" w:w="60"/>
              <w:left w:type="dxa" w:w="120"/>
              <w:bottom w:type="dxa" w:w="60"/>
              <w:right w:type="dxa" w:w="120"/>
            </w:tcMar>
          </w:tcPr>
          <w:p>
            <w:r>
              <w:t xml:space="preserve">Year 1-2</w:t>
            </w:r>
          </w:p>
        </w:tc>
      </w:tr>
      <w:tr>
        <w:tc>
          <w:tcPr>
            <w:tcMar>
              <w:top w:type="dxa" w:w="60"/>
              <w:left w:type="dxa" w:w="120"/>
              <w:bottom w:type="dxa" w:w="60"/>
              <w:right w:type="dxa" w:w="120"/>
            </w:tcMar>
          </w:tcPr>
          <w:p>
            <w:r>
              <w:t xml:space="preserve">3. In-App Purchases</w:t>
            </w:r>
          </w:p>
        </w:tc>
        <w:tc>
          <w:tcPr>
            <w:tcMar>
              <w:top w:type="dxa" w:w="60"/>
              <w:left w:type="dxa" w:w="120"/>
              <w:bottom w:type="dxa" w:w="60"/>
              <w:right w:type="dxa" w:w="120"/>
            </w:tcMar>
          </w:tcPr>
          <w:p>
            <w:r>
              <w:t xml:space="preserve">$75,000</w:t>
            </w:r>
          </w:p>
        </w:tc>
        <w:tc>
          <w:tcPr>
            <w:tcMar>
              <w:top w:type="dxa" w:w="60"/>
              <w:left w:type="dxa" w:w="120"/>
              <w:bottom w:type="dxa" w:w="60"/>
              <w:right w:type="dxa" w:w="120"/>
            </w:tcMar>
          </w:tcPr>
          <w:p>
            <w:r>
              <w:t xml:space="preserve">Launch</w:t>
            </w:r>
          </w:p>
        </w:tc>
      </w:tr>
      <w:tr>
        <w:tc>
          <w:tcPr>
            <w:shd w:fill="F4F8FC" w:val="clear"/>
            <w:tcMar>
              <w:top w:type="dxa" w:w="60"/>
              <w:left w:type="dxa" w:w="120"/>
              <w:bottom w:type="dxa" w:w="60"/>
              <w:right w:type="dxa" w:w="120"/>
            </w:tcMar>
          </w:tcPr>
          <w:p>
            <w:r>
              <w:t xml:space="preserve">4. Advertising</w:t>
            </w:r>
          </w:p>
        </w:tc>
        <w:tc>
          <w:tcPr>
            <w:shd w:fill="F4F8FC" w:val="clear"/>
            <w:tcMar>
              <w:top w:type="dxa" w:w="60"/>
              <w:left w:type="dxa" w:w="120"/>
              <w:bottom w:type="dxa" w:w="60"/>
              <w:right w:type="dxa" w:w="120"/>
            </w:tcMar>
          </w:tcPr>
          <w:p>
            <w:r>
              <w:t xml:space="preserve">$24,000</w:t>
            </w:r>
          </w:p>
        </w:tc>
        <w:tc>
          <w:tcPr>
            <w:shd w:fill="F4F8FC" w:val="clear"/>
            <w:tcMar>
              <w:top w:type="dxa" w:w="60"/>
              <w:left w:type="dxa" w:w="120"/>
              <w:bottom w:type="dxa" w:w="60"/>
              <w:right w:type="dxa" w:w="120"/>
            </w:tcMar>
          </w:tcPr>
          <w:p>
            <w:r>
              <w:t xml:space="preserve">Launch</w:t>
            </w:r>
          </w:p>
        </w:tc>
      </w:tr>
      <w:tr>
        <w:tc>
          <w:tcPr>
            <w:tcMar>
              <w:top w:type="dxa" w:w="60"/>
              <w:left w:type="dxa" w:w="120"/>
              <w:bottom w:type="dxa" w:w="60"/>
              <w:right w:type="dxa" w:w="120"/>
            </w:tcMar>
          </w:tcPr>
          <w:p>
            <w:r>
              <w:t xml:space="preserve">5. Tournaments</w:t>
            </w:r>
          </w:p>
        </w:tc>
        <w:tc>
          <w:tcPr>
            <w:tcMar>
              <w:top w:type="dxa" w:w="60"/>
              <w:left w:type="dxa" w:w="120"/>
              <w:bottom w:type="dxa" w:w="60"/>
              <w:right w:type="dxa" w:w="120"/>
            </w:tcMar>
          </w:tcPr>
          <w:p>
            <w:r>
              <w:t xml:space="preserve">$4,000</w:t>
            </w:r>
          </w:p>
        </w:tc>
        <w:tc>
          <w:tcPr>
            <w:tcMar>
              <w:top w:type="dxa" w:w="60"/>
              <w:left w:type="dxa" w:w="120"/>
              <w:bottom w:type="dxa" w:w="60"/>
              <w:right w:type="dxa" w:w="120"/>
            </w:tcMar>
          </w:tcPr>
          <w:p>
            <w:r>
              <w:t xml:space="preserve">Year 1</w:t>
            </w:r>
          </w:p>
        </w:tc>
      </w:tr>
      <w:tr>
        <w:tc>
          <w:tcPr>
            <w:shd w:fill="F4F8FC" w:val="clear"/>
            <w:tcMar>
              <w:top w:type="dxa" w:w="60"/>
              <w:left w:type="dxa" w:w="120"/>
              <w:bottom w:type="dxa" w:w="60"/>
              <w:right w:type="dxa" w:w="120"/>
            </w:tcMar>
          </w:tcPr>
          <w:p>
            <w:r>
              <w:t xml:space="preserve">6. Certifications</w:t>
            </w:r>
          </w:p>
        </w:tc>
        <w:tc>
          <w:tcPr>
            <w:shd w:fill="F4F8FC" w:val="clear"/>
            <w:tcMar>
              <w:top w:type="dxa" w:w="60"/>
              <w:left w:type="dxa" w:w="120"/>
              <w:bottom w:type="dxa" w:w="60"/>
              <w:right w:type="dxa" w:w="120"/>
            </w:tcMar>
          </w:tcPr>
          <w:p>
            <w:r>
              <w:t xml:space="preserve">$20,000/month</w:t>
            </w:r>
          </w:p>
        </w:tc>
        <w:tc>
          <w:tcPr>
            <w:shd w:fill="F4F8FC" w:val="clear"/>
            <w:tcMar>
              <w:top w:type="dxa" w:w="60"/>
              <w:left w:type="dxa" w:w="120"/>
              <w:bottom w:type="dxa" w:w="60"/>
              <w:right w:type="dxa" w:w="120"/>
            </w:tcMar>
          </w:tcPr>
          <w:p>
            <w:r>
              <w:t xml:space="preserve">Year 2</w:t>
            </w:r>
          </w:p>
        </w:tc>
      </w:tr>
      <w:tr>
        <w:tc>
          <w:tcPr>
            <w:tcMar>
              <w:top w:type="dxa" w:w="60"/>
              <w:left w:type="dxa" w:w="120"/>
              <w:bottom w:type="dxa" w:w="60"/>
              <w:right w:type="dxa" w:w="120"/>
            </w:tcMar>
          </w:tcPr>
          <w:p>
            <w:r>
              <w:t xml:space="preserve">7. Parent Premium</w:t>
            </w:r>
          </w:p>
        </w:tc>
        <w:tc>
          <w:tcPr>
            <w:tcMar>
              <w:top w:type="dxa" w:w="60"/>
              <w:left w:type="dxa" w:w="120"/>
              <w:bottom w:type="dxa" w:w="60"/>
              <w:right w:type="dxa" w:w="120"/>
            </w:tcMar>
          </w:tcPr>
          <w:p>
            <w:r>
              <w:t xml:space="preserve">$100,000</w:t>
            </w:r>
          </w:p>
        </w:tc>
        <w:tc>
          <w:tcPr>
            <w:tcMar>
              <w:top w:type="dxa" w:w="60"/>
              <w:left w:type="dxa" w:w="120"/>
              <w:bottom w:type="dxa" w:w="60"/>
              <w:right w:type="dxa" w:w="120"/>
            </w:tcMar>
          </w:tcPr>
          <w:p>
            <w:r>
              <w:t xml:space="preserve">Year 1</w:t>
            </w:r>
          </w:p>
        </w:tc>
      </w:tr>
      <w:tr>
        <w:tc>
          <w:tcPr>
            <w:shd w:fill="F4F8FC" w:val="clear"/>
            <w:tcMar>
              <w:top w:type="dxa" w:w="60"/>
              <w:left w:type="dxa" w:w="120"/>
              <w:bottom w:type="dxa" w:w="60"/>
              <w:right w:type="dxa" w:w="120"/>
            </w:tcMar>
          </w:tcPr>
          <w:p>
            <w:r>
              <w:t xml:space="preserve">8. Corporate Training</w:t>
            </w:r>
          </w:p>
        </w:tc>
        <w:tc>
          <w:tcPr>
            <w:shd w:fill="F4F8FC" w:val="clear"/>
            <w:tcMar>
              <w:top w:type="dxa" w:w="60"/>
              <w:left w:type="dxa" w:w="120"/>
              <w:bottom w:type="dxa" w:w="60"/>
              <w:right w:type="dxa" w:w="120"/>
            </w:tcMar>
          </w:tcPr>
          <w:p>
            <w:r>
              <w:t xml:space="preserve">$41,000/month</w:t>
            </w:r>
          </w:p>
        </w:tc>
        <w:tc>
          <w:tcPr>
            <w:shd w:fill="F4F8FC" w:val="clear"/>
            <w:tcMar>
              <w:top w:type="dxa" w:w="60"/>
              <w:left w:type="dxa" w:w="120"/>
              <w:bottom w:type="dxa" w:w="60"/>
              <w:right w:type="dxa" w:w="120"/>
            </w:tcMar>
          </w:tcPr>
          <w:p>
            <w:r>
              <w:t xml:space="preserve">Year 2-3</w:t>
            </w:r>
          </w:p>
        </w:tc>
      </w:tr>
      <w:tr>
        <w:tc>
          <w:tcPr>
            <w:tcMar>
              <w:top w:type="dxa" w:w="60"/>
              <w:left w:type="dxa" w:w="120"/>
              <w:bottom w:type="dxa" w:w="60"/>
              <w:right w:type="dxa" w:w="120"/>
            </w:tcMar>
          </w:tcPr>
          <w:p>
            <w:r>
              <w:t xml:space="preserve">9. Content Partnerships</w:t>
            </w:r>
          </w:p>
        </w:tc>
        <w:tc>
          <w:tcPr>
            <w:tcMar>
              <w:top w:type="dxa" w:w="60"/>
              <w:left w:type="dxa" w:w="120"/>
              <w:bottom w:type="dxa" w:w="60"/>
              <w:right w:type="dxa" w:w="120"/>
            </w:tcMar>
          </w:tcPr>
          <w:p>
            <w:r>
              <w:t xml:space="preserve">$50,000/month</w:t>
            </w:r>
          </w:p>
        </w:tc>
        <w:tc>
          <w:tcPr>
            <w:tcMar>
              <w:top w:type="dxa" w:w="60"/>
              <w:left w:type="dxa" w:w="120"/>
              <w:bottom w:type="dxa" w:w="60"/>
              <w:right w:type="dxa" w:w="120"/>
            </w:tcMar>
          </w:tcPr>
          <w:p>
            <w:r>
              <w:t xml:space="preserve">Year 2-3</w:t>
            </w:r>
          </w:p>
        </w:tc>
      </w:tr>
      <w:tr>
        <w:tc>
          <w:tcPr>
            <w:shd w:fill="F4F8FC" w:val="clear"/>
            <w:tcMar>
              <w:top w:type="dxa" w:w="60"/>
              <w:left w:type="dxa" w:w="120"/>
              <w:bottom w:type="dxa" w:w="60"/>
              <w:right w:type="dxa" w:w="120"/>
            </w:tcMar>
          </w:tcPr>
          <w:p>
            <w:r>
              <w:t xml:space="preserve">10. Data Insights</w:t>
            </w:r>
          </w:p>
        </w:tc>
        <w:tc>
          <w:tcPr>
            <w:shd w:fill="F4F8FC" w:val="clear"/>
            <w:tcMar>
              <w:top w:type="dxa" w:w="60"/>
              <w:left w:type="dxa" w:w="120"/>
              <w:bottom w:type="dxa" w:w="60"/>
              <w:right w:type="dxa" w:w="120"/>
            </w:tcMar>
          </w:tcPr>
          <w:p>
            <w:r>
              <w:t xml:space="preserve">$16,000/month</w:t>
            </w:r>
          </w:p>
        </w:tc>
        <w:tc>
          <w:tcPr>
            <w:shd w:fill="F4F8FC" w:val="clear"/>
            <w:tcMar>
              <w:top w:type="dxa" w:w="60"/>
              <w:left w:type="dxa" w:w="120"/>
              <w:bottom w:type="dxa" w:w="60"/>
              <w:right w:type="dxa" w:w="120"/>
            </w:tcMar>
          </w:tcPr>
          <w:p>
            <w:r>
              <w:t xml:space="preserve">Year 3+</w:t>
            </w:r>
          </w:p>
        </w:tc>
      </w:tr>
    </w:tbl>
    <w:p>
      <w:pPr>
        <w:pStyle w:val="Heading2"/>
        <w:spacing w:before="400"/>
      </w:pPr>
      <w:r>
        <w:t xml:space="preserve">Conclusion</w:t>
      </w:r>
    </w:p>
    <w:p>
      <w:r>
        <w:t xml:space="preserve">With strategic implementation of these revenue streams, EduSparring projects potential monthly revenue of $500,000+ at scale. The diversified approach ensures resilience against market fluctuations while maximizing monetization across different user segments. Early focus should be on subscription and IAP revenue, with institutional and partnership revenue building over years 2-3.</w:t>
      </w:r>
    </w:p>
    <w:sectPr>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2026-04-18T08:37:43.567Z</dcterms:created>
  <dcterms:modified xsi:type="dcterms:W3CDTF">2026-04-18T08:37:43.568Z</dcterms:modified>
</cp:coreProperties>
</file>

<file path=docProps/custom.xml><?xml version="1.0" encoding="utf-8"?>
<Properties xmlns="http://schemas.openxmlformats.org/officeDocument/2006/custom-properties" xmlns:vt="http://schemas.openxmlformats.org/officeDocument/2006/docPropsVTypes"/>
</file>