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eastAsia="SimHei"/>
          <w:b/>
          <w:bCs/>
          <w:color w:val="FFFFFF"/>
          <w:sz w:val="72"/>
          <w:szCs w:val="72"/>
        </w:rPr>
        <w:t xml:space="preserve">EDUSPARRING</w:t>
      </w:r>
    </w:p>
    <w:p>
      <w:pPr>
        <w:spacing w:after="200"/>
        <w:jc w:val="center"/>
      </w:pPr>
      <w:r>
        <w:rPr>
          <w:rFonts w:ascii="Times New Roman" w:eastAsia="Microsoft YaHei"/>
          <w:color w:val="B0B8C0"/>
          <w:sz w:val="36"/>
          <w:szCs w:val="36"/>
        </w:rPr>
        <w:t xml:space="preserve">Comprehensive Investor Narrative</w:t>
      </w:r>
    </w:p>
    <w:p>
      <w:pPr>
        <w:spacing w:after="200"/>
        <w:jc w:val="center"/>
      </w:pPr>
      <w:r>
        <w:rPr>
          <w:rFonts w:ascii="Times New Roman" w:eastAsia="Microsoft YaHei"/>
          <w:color w:val="B0B8C0"/>
          <w:sz w:val="28"/>
          <w:szCs w:val="28"/>
        </w:rPr>
        <w:t xml:space="preserve">&amp;</w:t>
      </w:r>
    </w:p>
    <w:p>
      <w:pPr>
        <w:spacing w:after="600"/>
        <w:jc w:val="center"/>
      </w:pPr>
      <w:r>
        <w:rPr>
          <w:rFonts w:ascii="Times New Roman" w:eastAsia="Microsoft YaHei"/>
          <w:color w:val="B0B8C0"/>
          <w:sz w:val="36"/>
          <w:szCs w:val="36"/>
        </w:rPr>
        <w:t xml:space="preserve">Growth Strategy Using Feature Baits</w:t>
      </w:r>
    </w:p>
    <w:p>
      <w:pPr>
        <w:spacing w:after="200" w:before="800"/>
        <w:jc w:val="center"/>
      </w:pPr>
      <w:r>
        <w:rPr>
          <w:rFonts w:ascii="Times New Roman" w:eastAsia="Microsoft YaHei"/>
          <w:color w:val="D4875A"/>
          <w:sz w:val="28"/>
          <w:szCs w:val="28"/>
        </w:rPr>
        <w:t xml:space="preserve">A Gamified Peer-Learning Platform</w:t>
      </w:r>
    </w:p>
    <w:p>
      <w:pPr>
        <w:spacing w:after="200"/>
        <w:jc w:val="center"/>
      </w:pPr>
      <w:r>
        <w:rPr>
          <w:rFonts w:ascii="Times New Roman" w:eastAsia="Microsoft YaHei"/>
          <w:color w:val="D4875A"/>
          <w:sz w:val="28"/>
          <w:szCs w:val="28"/>
        </w:rPr>
        <w:t xml:space="preserve">with Clear Monetization Potential</w:t>
      </w:r>
    </w:p>
    <w:p>
      <w:pPr>
        <w:spacing w:before="1200"/>
        <w:jc w:val="center"/>
      </w:pPr>
      <w:r>
        <w:rPr>
          <w:rFonts w:ascii="Times New Roman" w:eastAsia="Microsoft YaHei"/>
          <w:color w:val="506070"/>
          <w:sz w:val="22"/>
          <w:szCs w:val="22"/>
        </w:rPr>
        <w:t xml:space="preserve">MVP Live on Vercel | April 2026</w:t>
      </w:r>
    </w:p>
    <w:p>
      <w:pPr>
        <w:sectPr>
          <w:pgSz w:w="11906" w:h="16838" w:orient="portrait"/>
          <w:pgMar w:top="0" w:right="0" w:bottom="0" w:left="0" w:header="708" w:footer="708" w:gutter="0"/>
          <w:pgNumType/>
          <w:docGrid w:linePitch="360"/>
        </w:sectPr>
      </w:pPr>
    </w:p>
    <w:p>
      <w:pPr>
        <w:pStyle w:val="Heading1"/>
        <w:spacing w:after="180" w:before="360"/>
      </w:pPr>
      <w:r>
        <w:rPr>
          <w:rFonts w:ascii="Times New Roman" w:eastAsia="SimHei"/>
          <w:b/>
          <w:bCs/>
          <w:color w:val="D4875A"/>
          <w:sz w:val="32"/>
          <w:szCs w:val="32"/>
        </w:rPr>
        <w:t xml:space="preserve">PART ONE: COMPREHENSIVE INVESTOR NARRATIVE</w:t>
      </w:r>
    </w:p>
    <w:p>
      <w:pPr>
        <w:pStyle w:val="Heading2"/>
        <w:spacing w:after="140" w:before="280"/>
      </w:pPr>
      <w:r>
        <w:rPr>
          <w:rFonts w:ascii="Times New Roman" w:eastAsia="SimHei"/>
          <w:b/>
          <w:bCs/>
          <w:color w:val="1A2330"/>
          <w:sz w:val="26"/>
          <w:szCs w:val="26"/>
        </w:rPr>
        <w:t xml:space="preserve">Executive Summary</w:t>
      </w:r>
    </w:p>
    <w:p>
      <w:pPr>
        <w:spacing w:after="120" w:line="312"/>
        <w:jc w:val="both"/>
      </w:pPr>
      <w:r>
        <w:rPr>
          <w:rFonts w:ascii="Times New Roman" w:eastAsia="Microsoft YaHei"/>
          <w:color w:val="000000"/>
          <w:sz w:val="24"/>
          <w:szCs w:val="24"/>
        </w:rPr>
        <w:t xml:space="preserve">EduSparring represents a fresh approach to peer learning in the educational technology space. By combining skill-based matchmaking with gamification elements and real-world career outcomes, the platform addresses a fundamental challenge in education: connecting learners with complementary knowledge for mutual growth. The MVP is now live, demonstrating technical execution capability and providing a foundation for user validation and market testing.</w:t>
      </w:r>
    </w:p>
    <w:p>
      <w:pPr>
        <w:spacing w:after="120" w:line="312"/>
        <w:jc w:val="both"/>
      </w:pPr>
      <w:r>
        <w:rPr>
          <w:rFonts w:ascii="Times New Roman" w:eastAsia="Microsoft YaHei"/>
          <w:color w:val="000000"/>
          <w:sz w:val="24"/>
          <w:szCs w:val="24"/>
        </w:rPr>
        <w:t xml:space="preserve">The platform differentiates itself through a sophisticated Knowledge Rating (KR) system that quantifies skill levels across multiple dimensions, enabling intelligent peer matching that goes beyond simple subject categorization. This creates a 'peer Tinder' experience where meaningful learning connections replace superficial swipes, and each match carries potential for genuine knowledge exchange.</w:t>
      </w:r>
    </w:p>
    <w:p>
      <w:pPr>
        <w:pStyle w:val="Heading2"/>
        <w:spacing w:after="140" w:before="280"/>
      </w:pPr>
      <w:r>
        <w:rPr>
          <w:rFonts w:ascii="Times New Roman" w:eastAsia="SimHei"/>
          <w:b/>
          <w:bCs/>
          <w:color w:val="1A2330"/>
          <w:sz w:val="26"/>
          <w:szCs w:val="26"/>
        </w:rPr>
        <w:t xml:space="preserve">The Problem We Solve</w:t>
      </w:r>
    </w:p>
    <w:p>
      <w:pPr>
        <w:spacing w:after="120" w:line="312"/>
        <w:jc w:val="both"/>
      </w:pPr>
      <w:r>
        <w:rPr>
          <w:rFonts w:ascii="Times New Roman" w:eastAsia="Microsoft YaHei"/>
          <w:color w:val="000000"/>
          <w:sz w:val="24"/>
          <w:szCs w:val="24"/>
        </w:rPr>
        <w:t xml:space="preserve">Traditional education systems suffer from a one-to-many bottleneck: a single instructor attempting to address the diverse needs of many students. Peer learning offers a solution, but existing platforms lack systematic approaches to match learners effectively. Students struggle to find peers with complementary skill levels, leading to unproductive study sessions or abandoned learning partnerships.</w:t>
      </w:r>
    </w:p>
    <w:p>
      <w:pPr>
        <w:spacing w:after="120" w:line="312"/>
        <w:jc w:val="both"/>
      </w:pPr>
      <w:r>
        <w:rPr>
          <w:rFonts w:ascii="Times New Roman" w:eastAsia="Microsoft YaHei"/>
          <w:color w:val="000000"/>
          <w:sz w:val="24"/>
          <w:szCs w:val="24"/>
        </w:rPr>
        <w:t xml:space="preserve">Furthermore, the disconnect between academic learning and career outcomes leaves students questioning the practical value of their educational investments. The job market demands demonstrable skills, yet most learning platforms focus on content consumption rather than skill application and validation. This gap represents a significant opportunity for platforms that bridge learning and career advancement.</w:t>
      </w:r>
    </w:p>
    <w:p>
      <w:pPr>
        <w:pStyle w:val="Heading2"/>
        <w:spacing w:after="140" w:before="280"/>
      </w:pPr>
      <w:r>
        <w:rPr>
          <w:rFonts w:ascii="Times New Roman" w:eastAsia="SimHei"/>
          <w:b/>
          <w:bCs/>
          <w:color w:val="1A2330"/>
          <w:sz w:val="26"/>
          <w:szCs w:val="26"/>
        </w:rPr>
        <w:t xml:space="preserve">Our Solution: The EduSparring Platform</w:t>
      </w:r>
    </w:p>
    <w:p>
      <w:pPr>
        <w:spacing w:after="120" w:line="312"/>
        <w:jc w:val="both"/>
      </w:pPr>
      <w:r>
        <w:rPr>
          <w:rFonts w:ascii="Times New Roman" w:eastAsia="Microsoft YaHei"/>
          <w:color w:val="000000"/>
          <w:sz w:val="24"/>
          <w:szCs w:val="24"/>
        </w:rPr>
        <w:t xml:space="preserve">EduSparring transforms peer learning through three integrated pillars that work together to create a comprehensive learning ecosystem:</w:t>
      </w:r>
    </w:p>
    <w:p>
      <w:pPr>
        <w:spacing w:after="80" w:line="312"/>
        <w:ind w:left="360"/>
      </w:pPr>
      <w:r>
        <w:rPr>
          <w:rFonts w:ascii="Times New Roman" w:eastAsia="Microsoft YaHei"/>
          <w:color w:val="000000"/>
          <w:sz w:val="24"/>
          <w:szCs w:val="24"/>
        </w:rPr>
        <w:t xml:space="preserve">• Knowledge Rating (KR) System - The KR system quantifies skill levels across multiple dimensions, creating a detailed skill profile for each user. Unlike simple beginner-intermediate-advanced labels, the KR system captures nuance in competency, allowing for precise matching. Users rate their own abilities and receive ratings from peers, creating a self-correcting reputation system that builds trust and accountability.</w:t>
      </w:r>
    </w:p>
    <w:p>
      <w:pPr>
        <w:spacing w:after="80" w:line="312"/>
        <w:ind w:left="360"/>
      </w:pPr>
      <w:r>
        <w:rPr>
          <w:rFonts w:ascii="Times New Roman" w:eastAsia="Microsoft YaHei"/>
          <w:color w:val="000000"/>
          <w:sz w:val="24"/>
          <w:szCs w:val="24"/>
        </w:rPr>
        <w:t xml:space="preserve">• Intelligent Match Quality Score - The matching algorithm calculates a match quality score based on skill complementarity. Rather than matching identical skill levels, EduSparring identifies pairs where one user's strengths align with another's growth areas. This creates optimal learning dyads where both participants gain value, transforming each match into a potential growth opportunity.</w:t>
      </w:r>
    </w:p>
    <w:p>
      <w:pPr>
        <w:spacing w:after="80" w:line="312"/>
        <w:ind w:left="360"/>
      </w:pPr>
      <w:r>
        <w:rPr>
          <w:rFonts w:ascii="Times New Roman" w:eastAsia="Microsoft YaHei"/>
          <w:color w:val="000000"/>
          <w:sz w:val="24"/>
          <w:szCs w:val="24"/>
        </w:rPr>
        <w:t xml:space="preserve">• Mock Job Placement Feature - The Mock Job placement system connects learning outcomes with career preparation. Employer partners post simulated job assignments that allow students to demonstrate real-world skills in a low-stakes environment. This creates a direct pipeline from learning to employment, addressing the employability gap that plagues traditional education.</w:t>
      </w:r>
    </w:p>
    <w:p>
      <w:pPr>
        <w:pStyle w:val="Heading2"/>
        <w:spacing w:after="140" w:before="280"/>
      </w:pPr>
      <w:r>
        <w:rPr>
          <w:rFonts w:ascii="Times New Roman" w:eastAsia="SimHei"/>
          <w:b/>
          <w:bCs/>
          <w:color w:val="1A2330"/>
          <w:sz w:val="26"/>
          <w:szCs w:val="26"/>
        </w:rPr>
        <w:t xml:space="preserve">Market Opportunity</w:t>
      </w:r>
    </w:p>
    <w:p>
      <w:pPr>
        <w:spacing w:after="120" w:line="312"/>
        <w:jc w:val="both"/>
      </w:pPr>
      <w:r>
        <w:rPr>
          <w:rFonts w:ascii="Times New Roman" w:eastAsia="Microsoft YaHei"/>
          <w:color w:val="000000"/>
          <w:sz w:val="24"/>
          <w:szCs w:val="24"/>
        </w:rPr>
        <w:t xml:space="preserve">The global e-learning market exceeded $300 billion in 2024 and continues to grow as remote learning becomes normalized. Within this market, peer learning represents a rapidly expanding segment as students seek alternatives to expensive tutoring and impersonal MOOCs. The career preparation market adds another dimension, with job seekers actively seeking ways to demonstrate practical skills to employers.</w:t>
      </w:r>
    </w:p>
    <w:p>
      <w:pPr>
        <w:spacing w:after="120" w:line="312"/>
        <w:jc w:val="both"/>
      </w:pPr>
      <w:r>
        <w:rPr>
          <w:rFonts w:ascii="Times New Roman" w:eastAsia="Microsoft YaHei"/>
          <w:color w:val="000000"/>
          <w:sz w:val="24"/>
          <w:szCs w:val="24"/>
        </w:rPr>
        <w:t xml:space="preserve">EduSparring positions itself at the intersection of these markets: peer learning for skill acquisition, and career preparation for skill validation. This dual positioning creates multiple revenue streams and user acquisition channels, reducing platform risk and increasing total addressable market.</w:t>
      </w:r>
    </w:p>
    <w:p>
      <w:pPr>
        <w:pStyle w:val="Heading2"/>
        <w:spacing w:after="140" w:before="280"/>
      </w:pPr>
      <w:r>
        <w:rPr>
          <w:rFonts w:ascii="Times New Roman" w:eastAsia="SimHei"/>
          <w:b/>
          <w:bCs/>
          <w:color w:val="1A2330"/>
          <w:sz w:val="26"/>
          <w:szCs w:val="26"/>
        </w:rPr>
        <w:t xml:space="preserve">Competitive Advantage</w:t>
      </w:r>
    </w:p>
    <w:p>
      <w:pPr>
        <w:spacing w:after="120" w:line="312"/>
        <w:jc w:val="both"/>
      </w:pPr>
      <w:r>
        <w:rPr>
          <w:rFonts w:ascii="Times New Roman" w:eastAsia="Microsoft YaHei"/>
          <w:color w:val="000000"/>
          <w:sz w:val="24"/>
          <w:szCs w:val="24"/>
        </w:rPr>
        <w:t xml:space="preserve">Unlike traditional tutoring platforms that charge premium fees for expert instruction, EduSparring leverages peer-to-peer exchanges that scale efficiently. Unlike MOOCs that suffer from low completion rates, EduSparring creates accountability through matched partnerships. Unlike generic networking platforms, EduSparring focuses specifically on learning outcomes with measurable skill progression.</w:t>
      </w:r>
    </w:p>
    <w:p>
      <w:pPr>
        <w:spacing w:after="120" w:line="312"/>
        <w:jc w:val="both"/>
      </w:pPr>
      <w:r>
        <w:rPr>
          <w:rFonts w:ascii="Times New Roman" w:eastAsia="Microsoft YaHei"/>
          <w:color w:val="000000"/>
          <w:sz w:val="24"/>
          <w:szCs w:val="24"/>
        </w:rPr>
        <w:t xml:space="preserve">The platform's technical foundation demonstrates production-ready capability. Built with Next.js 14, TypeScript, and Supabase PostgreSQL, the MVP showcases modern development practices and scalable architecture. Mobile-first responsive design ensures accessibility across devices, addressing the mobile learning trend that dominates student preferences.</w:t>
      </w:r>
    </w:p>
    <w:p>
      <w:pPr>
        <w:pStyle w:val="Heading2"/>
        <w:spacing w:after="140" w:before="280"/>
      </w:pPr>
      <w:r>
        <w:rPr>
          <w:rFonts w:ascii="Times New Roman" w:eastAsia="SimHei"/>
          <w:b/>
          <w:bCs/>
          <w:color w:val="1A2330"/>
          <w:sz w:val="26"/>
          <w:szCs w:val="26"/>
        </w:rPr>
        <w:t xml:space="preserve">Monetization Strategy</w:t>
      </w:r>
    </w:p>
    <w:p>
      <w:pPr>
        <w:spacing w:after="120" w:line="312"/>
        <w:jc w:val="both"/>
      </w:pPr>
      <w:r>
        <w:rPr>
          <w:rFonts w:ascii="Times New Roman" w:eastAsia="Microsoft YaHei"/>
          <w:color w:val="000000"/>
          <w:sz w:val="24"/>
          <w:szCs w:val="24"/>
        </w:rPr>
        <w:t xml:space="preserve">EduSparring's monetization strategy leverages multiple revenue streams designed to align platform incentives with user success: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4875A" w:val="clear"/>
            <w:tcMar>
              <w:top w:type="dxa" w:w="80"/>
              <w:left w:type="dxa" w:w="120"/>
              <w:bottom w:type="dxa" w:w="80"/>
              <w:right w:type="dxa" w:w="120"/>
            </w:tcMar>
          </w:tcPr>
          <w:p>
            <w:pPr>
              <w:jc w:val="center"/>
            </w:pPr>
            <w:r>
              <w:rPr>
                <w:b/>
                <w:bCs/>
                <w:color w:val="FFFFFF"/>
                <w:sz w:val="22"/>
                <w:szCs w:val="22"/>
              </w:rPr>
              <w:t xml:space="preserve">Revenue Stream</w:t>
            </w:r>
          </w:p>
        </w:tc>
        <w:tc>
          <w:tcPr>
            <w:shd w:fill="D4875A" w:val="clear"/>
            <w:tcMar>
              <w:top w:type="dxa" w:w="80"/>
              <w:left w:type="dxa" w:w="120"/>
              <w:bottom w:type="dxa" w:w="80"/>
              <w:right w:type="dxa" w:w="120"/>
            </w:tcMar>
          </w:tcPr>
          <w:p>
            <w:pPr>
              <w:jc w:val="center"/>
            </w:pPr>
            <w:r>
              <w:rPr>
                <w:b/>
                <w:bCs/>
                <w:color w:val="FFFFFF"/>
                <w:sz w:val="22"/>
                <w:szCs w:val="22"/>
              </w:rPr>
              <w:t xml:space="preserve">Description</w:t>
            </w:r>
          </w:p>
        </w:tc>
        <w:tc>
          <w:tcPr>
            <w:shd w:fill="D4875A" w:val="clear"/>
            <w:tcMar>
              <w:top w:type="dxa" w:w="80"/>
              <w:left w:type="dxa" w:w="120"/>
              <w:bottom w:type="dxa" w:w="80"/>
              <w:right w:type="dxa" w:w="120"/>
            </w:tcMar>
          </w:tcPr>
          <w:p>
            <w:pPr>
              <w:jc w:val="center"/>
            </w:pPr>
            <w:r>
              <w:rPr>
                <w:b/>
                <w:bCs/>
                <w:color w:val="FFFFFF"/>
                <w:sz w:val="22"/>
                <w:szCs w:val="22"/>
              </w:rPr>
              <w:t xml:space="preserve">Timeline</w:t>
            </w:r>
          </w:p>
        </w:tc>
      </w:tr>
      <w:tr>
        <w:tc>
          <w:tcPr>
            <w:tcMar>
              <w:top w:type="dxa" w:w="60"/>
              <w:left w:type="dxa" w:w="120"/>
              <w:bottom w:type="dxa" w:w="60"/>
              <w:right w:type="dxa" w:w="120"/>
            </w:tcMar>
          </w:tcPr>
          <w:p>
            <w:r>
              <w:rPr>
                <w:sz w:val="22"/>
                <w:szCs w:val="22"/>
              </w:rPr>
              <w:t xml:space="preserve">Employer Partnerships</w:t>
            </w:r>
          </w:p>
        </w:tc>
        <w:tc>
          <w:tcPr>
            <w:tcMar>
              <w:top w:type="dxa" w:w="60"/>
              <w:left w:type="dxa" w:w="120"/>
              <w:bottom w:type="dxa" w:w="60"/>
              <w:right w:type="dxa" w:w="120"/>
            </w:tcMar>
          </w:tcPr>
          <w:p>
            <w:r>
              <w:rPr>
                <w:sz w:val="22"/>
                <w:szCs w:val="22"/>
              </w:rPr>
              <w:t xml:space="preserve">Companies pay to post Mock Jobs and access talent pipeline</w:t>
            </w:r>
          </w:p>
        </w:tc>
        <w:tc>
          <w:tcPr>
            <w:tcMar>
              <w:top w:type="dxa" w:w="60"/>
              <w:left w:type="dxa" w:w="120"/>
              <w:bottom w:type="dxa" w:w="60"/>
              <w:right w:type="dxa" w:w="120"/>
            </w:tcMar>
          </w:tcPr>
          <w:p>
            <w:r>
              <w:rPr>
                <w:sz w:val="22"/>
                <w:szCs w:val="22"/>
              </w:rPr>
              <w:t xml:space="preserve">Phase 2</w:t>
            </w:r>
          </w:p>
        </w:tc>
      </w:tr>
      <w:tr>
        <w:tc>
          <w:tcPr>
            <w:shd w:fill="F8F0EB" w:val="clear"/>
            <w:tcMar>
              <w:top w:type="dxa" w:w="60"/>
              <w:left w:type="dxa" w:w="120"/>
              <w:bottom w:type="dxa" w:w="60"/>
              <w:right w:type="dxa" w:w="120"/>
            </w:tcMar>
          </w:tcPr>
          <w:p>
            <w:r>
              <w:rPr>
                <w:sz w:val="22"/>
                <w:szCs w:val="22"/>
              </w:rPr>
              <w:t xml:space="preserve">Premium Matching</w:t>
            </w:r>
          </w:p>
        </w:tc>
        <w:tc>
          <w:tcPr>
            <w:shd w:fill="F8F0EB" w:val="clear"/>
            <w:tcMar>
              <w:top w:type="dxa" w:w="60"/>
              <w:left w:type="dxa" w:w="120"/>
              <w:bottom w:type="dxa" w:w="60"/>
              <w:right w:type="dxa" w:w="120"/>
            </w:tcMar>
          </w:tcPr>
          <w:p>
            <w:r>
              <w:rPr>
                <w:sz w:val="22"/>
                <w:szCs w:val="22"/>
              </w:rPr>
              <w:t xml:space="preserve">Enhanced matching algorithms and priority pairing for subscribers</w:t>
            </w:r>
          </w:p>
        </w:tc>
        <w:tc>
          <w:tcPr>
            <w:shd w:fill="F8F0EB" w:val="clear"/>
            <w:tcMar>
              <w:top w:type="dxa" w:w="60"/>
              <w:left w:type="dxa" w:w="120"/>
              <w:bottom w:type="dxa" w:w="60"/>
              <w:right w:type="dxa" w:w="120"/>
            </w:tcMar>
          </w:tcPr>
          <w:p>
            <w:r>
              <w:rPr>
                <w:sz w:val="22"/>
                <w:szCs w:val="22"/>
              </w:rPr>
              <w:t xml:space="preserve">Phase 2</w:t>
            </w:r>
          </w:p>
        </w:tc>
      </w:tr>
      <w:tr>
        <w:tc>
          <w:tcPr>
            <w:tcMar>
              <w:top w:type="dxa" w:w="60"/>
              <w:left w:type="dxa" w:w="120"/>
              <w:bottom w:type="dxa" w:w="60"/>
              <w:right w:type="dxa" w:w="120"/>
            </w:tcMar>
          </w:tcPr>
          <w:p>
            <w:r>
              <w:rPr>
                <w:sz w:val="22"/>
                <w:szCs w:val="22"/>
              </w:rPr>
              <w:t xml:space="preserve">Certification Fees</w:t>
            </w:r>
          </w:p>
        </w:tc>
        <w:tc>
          <w:tcPr>
            <w:tcMar>
              <w:top w:type="dxa" w:w="60"/>
              <w:left w:type="dxa" w:w="120"/>
              <w:bottom w:type="dxa" w:w="60"/>
              <w:right w:type="dxa" w:w="120"/>
            </w:tcMar>
          </w:tcPr>
          <w:p>
            <w:r>
              <w:rPr>
                <w:sz w:val="22"/>
                <w:szCs w:val="22"/>
              </w:rPr>
              <w:t xml:space="preserve">Verified skill certifications based on peer assessments</w:t>
            </w:r>
          </w:p>
        </w:tc>
        <w:tc>
          <w:tcPr>
            <w:tcMar>
              <w:top w:type="dxa" w:w="60"/>
              <w:left w:type="dxa" w:w="120"/>
              <w:bottom w:type="dxa" w:w="60"/>
              <w:right w:type="dxa" w:w="120"/>
            </w:tcMar>
          </w:tcPr>
          <w:p>
            <w:r>
              <w:rPr>
                <w:sz w:val="22"/>
                <w:szCs w:val="22"/>
              </w:rPr>
              <w:t xml:space="preserve">Phase 3</w:t>
            </w:r>
          </w:p>
        </w:tc>
      </w:tr>
      <w:tr>
        <w:tc>
          <w:tcPr>
            <w:shd w:fill="F8F0EB" w:val="clear"/>
            <w:tcMar>
              <w:top w:type="dxa" w:w="60"/>
              <w:left w:type="dxa" w:w="120"/>
              <w:bottom w:type="dxa" w:w="60"/>
              <w:right w:type="dxa" w:w="120"/>
            </w:tcMar>
          </w:tcPr>
          <w:p>
            <w:r>
              <w:rPr>
                <w:sz w:val="22"/>
                <w:szCs w:val="22"/>
              </w:rPr>
              <w:t xml:space="preserve">Enterprise Learning</w:t>
            </w:r>
          </w:p>
        </w:tc>
        <w:tc>
          <w:tcPr>
            <w:shd w:fill="F8F0EB" w:val="clear"/>
            <w:tcMar>
              <w:top w:type="dxa" w:w="60"/>
              <w:left w:type="dxa" w:w="120"/>
              <w:bottom w:type="dxa" w:w="60"/>
              <w:right w:type="dxa" w:w="120"/>
            </w:tcMar>
          </w:tcPr>
          <w:p>
            <w:r>
              <w:rPr>
                <w:sz w:val="22"/>
                <w:szCs w:val="22"/>
              </w:rPr>
              <w:t xml:space="preserve">Corporate training programs using peer learning methodology</w:t>
            </w:r>
          </w:p>
        </w:tc>
        <w:tc>
          <w:tcPr>
            <w:shd w:fill="F8F0EB" w:val="clear"/>
            <w:tcMar>
              <w:top w:type="dxa" w:w="60"/>
              <w:left w:type="dxa" w:w="120"/>
              <w:bottom w:type="dxa" w:w="60"/>
              <w:right w:type="dxa" w:w="120"/>
            </w:tcMar>
          </w:tcPr>
          <w:p>
            <w:r>
              <w:rPr>
                <w:sz w:val="22"/>
                <w:szCs w:val="22"/>
              </w:rPr>
              <w:t xml:space="preserve">Phase 3</w:t>
            </w:r>
          </w:p>
        </w:tc>
      </w:tr>
    </w:tbl>
    <w:p>
      <w:pPr>
        <w:spacing w:after="200" w:before="200"/>
      </w:pPr>
    </w:p>
    <w:p>
      <w:pPr>
        <w:pStyle w:val="Heading2"/>
        <w:spacing w:after="140" w:before="280"/>
      </w:pPr>
      <w:r>
        <w:rPr>
          <w:rFonts w:ascii="Times New Roman" w:eastAsia="SimHei"/>
          <w:b/>
          <w:bCs/>
          <w:color w:val="1A2330"/>
          <w:sz w:val="26"/>
          <w:szCs w:val="26"/>
        </w:rPr>
        <w:t xml:space="preserve">Technical Excellence</w:t>
      </w:r>
    </w:p>
    <w:p>
      <w:pPr>
        <w:spacing w:after="120" w:line="312"/>
        <w:jc w:val="both"/>
      </w:pPr>
      <w:r>
        <w:rPr>
          <w:rFonts w:ascii="Times New Roman" w:eastAsia="Microsoft YaHei"/>
          <w:color w:val="000000"/>
          <w:sz w:val="24"/>
          <w:szCs w:val="24"/>
        </w:rPr>
        <w:t xml:space="preserve">The MVP demonstrates production-ready technical capability with a modern, maintainable architecture. The technology stack reflects industry best practices and positions the platform for rapid iteration and scaling:</w:t>
      </w:r>
    </w:p>
    <w:p>
      <w:pPr>
        <w:spacing w:after="80" w:line="312"/>
        <w:ind w:left="360"/>
      </w:pPr>
      <w:r>
        <w:rPr>
          <w:rFonts w:ascii="Times New Roman" w:eastAsia="Microsoft YaHei"/>
          <w:color w:val="000000"/>
          <w:sz w:val="24"/>
          <w:szCs w:val="24"/>
        </w:rPr>
        <w:t xml:space="preserve">• Next.js 14.2.35 with App Router for optimal performance and SEO</w:t>
      </w:r>
    </w:p>
    <w:p>
      <w:pPr>
        <w:spacing w:after="80" w:line="312"/>
        <w:ind w:left="360"/>
      </w:pPr>
      <w:r>
        <w:rPr>
          <w:rFonts w:ascii="Times New Roman" w:eastAsia="Microsoft YaHei"/>
          <w:color w:val="000000"/>
          <w:sz w:val="24"/>
          <w:szCs w:val="24"/>
        </w:rPr>
        <w:t xml:space="preserve">• TypeScript for type safety and developer productivity</w:t>
      </w:r>
    </w:p>
    <w:p>
      <w:pPr>
        <w:spacing w:after="80" w:line="312"/>
        <w:ind w:left="360"/>
      </w:pPr>
      <w:r>
        <w:rPr>
          <w:rFonts w:ascii="Times New Roman" w:eastAsia="Microsoft YaHei"/>
          <w:color w:val="000000"/>
          <w:sz w:val="24"/>
          <w:szCs w:val="24"/>
        </w:rPr>
        <w:t xml:space="preserve">• Tailwind CSS + shadcn/ui for consistent, accessible design</w:t>
      </w:r>
    </w:p>
    <w:p>
      <w:pPr>
        <w:spacing w:after="80" w:line="312"/>
        <w:ind w:left="360"/>
      </w:pPr>
      <w:r>
        <w:rPr>
          <w:rFonts w:ascii="Times New Roman" w:eastAsia="Microsoft YaHei"/>
          <w:color w:val="000000"/>
          <w:sz w:val="24"/>
          <w:szCs w:val="24"/>
        </w:rPr>
        <w:t xml:space="preserve">• Prisma ORM with Supabase PostgreSQL for reliable data management</w:t>
      </w:r>
    </w:p>
    <w:p>
      <w:pPr>
        <w:spacing w:after="80" w:line="312"/>
        <w:ind w:left="360"/>
      </w:pPr>
      <w:r>
        <w:rPr>
          <w:rFonts w:ascii="Times New Roman" w:eastAsia="Microsoft YaHei"/>
          <w:color w:val="000000"/>
          <w:sz w:val="24"/>
          <w:szCs w:val="24"/>
        </w:rPr>
        <w:t xml:space="preserve">• Vercel deployment for global CDN and serverless scalability</w:t>
      </w:r>
    </w:p>
    <w:p>
      <w:pPr>
        <w:spacing w:after="80" w:line="312"/>
        <w:ind w:left="360"/>
      </w:pPr>
      <w:r>
        <w:rPr>
          <w:rFonts w:ascii="Times New Roman" w:eastAsia="Microsoft YaHei"/>
          <w:color w:val="000000"/>
          <w:sz w:val="24"/>
          <w:szCs w:val="24"/>
        </w:rPr>
        <w:t xml:space="preserve">• Mobile-first responsive design ensuring accessibility across all devices</w:t>
      </w:r>
    </w:p>
    <w:p>
      <w:pPr>
        <w:pStyle w:val="Heading2"/>
        <w:spacing w:after="140" w:before="280"/>
      </w:pPr>
      <w:r>
        <w:rPr>
          <w:rFonts w:ascii="Times New Roman" w:eastAsia="SimHei"/>
          <w:b/>
          <w:bCs/>
          <w:color w:val="1A2330"/>
          <w:sz w:val="26"/>
          <w:szCs w:val="26"/>
        </w:rPr>
        <w:t xml:space="preserve">MVP Evaluation: Smart Not Overbuilt</w:t>
      </w:r>
    </w:p>
    <w:p>
      <w:pPr>
        <w:spacing w:after="120" w:line="312"/>
        <w:jc w:val="both"/>
      </w:pPr>
      <w:r>
        <w:rPr>
          <w:rFonts w:ascii="Times New Roman" w:eastAsia="Microsoft YaHei"/>
          <w:color w:val="000000"/>
          <w:sz w:val="24"/>
          <w:szCs w:val="24"/>
        </w:rPr>
        <w:t xml:space="preserve">The EduSparring MVP represents a focused execution of core value propositions without feature creep. Key features implemented include user authentication, profile creation with Knowledge Rating system, peer matching algorithm, sparring session management, onboarding flow with skip logic, and mobile responsive design with hamburger navigation. This focused approach demonstrates product discipline and creates a foundation for iterative enhancement based on user feedback.</w:t>
      </w:r>
    </w:p>
    <w:p>
      <w:pPr>
        <w:spacing w:after="120" w:line="312"/>
        <w:jc w:val="both"/>
      </w:pPr>
      <w:r>
        <w:rPr>
          <w:rFonts w:ascii="Times New Roman" w:eastAsia="Microsoft YaHei"/>
          <w:color w:val="000000"/>
          <w:sz w:val="24"/>
          <w:szCs w:val="24"/>
        </w:rPr>
        <w:t xml:space="preserve">The platform's evaluation can be summarized as 'smart not overbuilt' - a compliment in product development. Rather than attempting to solve every problem, EduSparring focuses on doing one thing exceptionally well: connecting peers for meaningful learning exchanges. This focus allows for deeper refinement of core features and clearer measurement of user success metrics.</w:t>
      </w:r>
    </w:p>
    <w:p>
      <w:pPr>
        <w:pStyle w:val="Heading2"/>
        <w:spacing w:after="140" w:before="280"/>
      </w:pPr>
      <w:r>
        <w:rPr>
          <w:rFonts w:ascii="Times New Roman" w:eastAsia="SimHei"/>
          <w:b/>
          <w:bCs/>
          <w:color w:val="1A2330"/>
          <w:sz w:val="26"/>
          <w:szCs w:val="26"/>
        </w:rPr>
        <w:t xml:space="preserve">The Ask</w:t>
      </w:r>
    </w:p>
    <w:p>
      <w:pPr>
        <w:spacing w:after="120" w:line="312"/>
        <w:jc w:val="both"/>
      </w:pPr>
      <w:r>
        <w:rPr>
          <w:rFonts w:ascii="Times New Roman" w:eastAsia="Microsoft YaHei"/>
          <w:color w:val="000000"/>
          <w:sz w:val="24"/>
          <w:szCs w:val="24"/>
        </w:rPr>
        <w:t xml:space="preserve">EduSparring seeks strategic investment to accelerate user acquisition, deepen employer partnerships, and expand the platform's feature set based on validated user needs. The MVP demonstrates technical capability; the next phase requires resources to validate market fit and establish sustainable growth channels. Investors gain access to a differentiated educational platform with clear monetization potential and a team committed to measurable outcomes.</w:t>
      </w:r>
    </w:p>
    <w:p>
      <w:r>
        <w:br w:type="page"/>
      </w:r>
    </w:p>
    <w:p>
      <w:pPr>
        <w:pStyle w:val="Heading1"/>
        <w:spacing w:after="180" w:before="360"/>
      </w:pPr>
      <w:r>
        <w:rPr>
          <w:rFonts w:ascii="Times New Roman" w:eastAsia="SimHei"/>
          <w:b/>
          <w:bCs/>
          <w:color w:val="D4875A"/>
          <w:sz w:val="32"/>
          <w:szCs w:val="32"/>
        </w:rPr>
        <w:t xml:space="preserve">PART TWO: GROWTH STRATEGY</w:t>
      </w:r>
    </w:p>
    <w:p>
      <w:pPr>
        <w:spacing w:after="240" w:before="120"/>
      </w:pPr>
      <w:r>
        <w:rPr>
          <w:rFonts w:ascii="Times New Roman" w:eastAsia="Microsoft YaHei"/>
          <w:i/>
          <w:iCs/>
          <w:color w:val="506070"/>
          <w:sz w:val="26"/>
          <w:szCs w:val="26"/>
        </w:rPr>
        <w:t xml:space="preserve">Using Features as Baits for User Acquisition</w:t>
      </w:r>
    </w:p>
    <w:p>
      <w:pPr>
        <w:pStyle w:val="Heading2"/>
        <w:spacing w:after="140" w:before="280"/>
      </w:pPr>
      <w:r>
        <w:rPr>
          <w:rFonts w:ascii="Times New Roman" w:eastAsia="SimHei"/>
          <w:b/>
          <w:bCs/>
          <w:color w:val="1A2330"/>
          <w:sz w:val="26"/>
          <w:szCs w:val="26"/>
        </w:rPr>
        <w:t xml:space="preserve">The Baits Strategy Framework</w:t>
      </w:r>
    </w:p>
    <w:p>
      <w:pPr>
        <w:spacing w:after="120" w:line="312"/>
        <w:jc w:val="both"/>
      </w:pPr>
      <w:r>
        <w:rPr>
          <w:rFonts w:ascii="Times New Roman" w:eastAsia="Microsoft YaHei"/>
          <w:color w:val="000000"/>
          <w:sz w:val="24"/>
          <w:szCs w:val="24"/>
        </w:rPr>
        <w:t xml:space="preserve">In competitive markets, user acquisition often determines platform success or failure. EduSparring's existing features can be strategically positioned as 'baits' - compelling entry points that attract users who might not initially seek a peer learning platform. This approach transforms each feature into a marketing channel, leveraging product value for organic growth.</w:t>
      </w:r>
    </w:p>
    <w:p>
      <w:pPr>
        <w:spacing w:after="120" w:line="312"/>
        <w:jc w:val="both"/>
      </w:pPr>
      <w:r>
        <w:rPr>
          <w:rFonts w:ascii="Times New Roman" w:eastAsia="Microsoft YaHei"/>
          <w:color w:val="000000"/>
          <w:sz w:val="24"/>
          <w:szCs w:val="24"/>
        </w:rPr>
        <w:t xml:space="preserve">The baits strategy works because it reframes the user journey. Instead of asking users to adopt an entirely new learning paradigm, each bait offers immediate standalone value. Once users experience this value, the broader platform ecosystem becomes a natural extension of their engagement. This creates a low-friction entry path with high conversion potential.</w:t>
      </w:r>
    </w:p>
    <w:p>
      <w:pPr>
        <w:pStyle w:val="Heading2"/>
        <w:spacing w:after="140" w:before="280"/>
      </w:pPr>
      <w:r>
        <w:rPr>
          <w:rFonts w:ascii="Times New Roman" w:eastAsia="SimHei"/>
          <w:b/>
          <w:bCs/>
          <w:color w:val="1A2330"/>
          <w:sz w:val="26"/>
          <w:szCs w:val="26"/>
        </w:rPr>
        <w:t xml:space="preserve">Primary Baits: High-Value Entry Points</w:t>
      </w:r>
    </w:p>
    <w:p>
      <w:pPr>
        <w:spacing w:after="120" w:before="200"/>
      </w:pPr>
      <w:r>
        <w:rPr>
          <w:rFonts w:ascii="Times New Roman" w:eastAsia="Microsoft YaHei"/>
          <w:b/>
          <w:bCs/>
          <w:color w:val="1A2330"/>
          <w:sz w:val="24"/>
          <w:szCs w:val="24"/>
        </w:rPr>
        <w:t xml:space="preserve">1. Mock Job Placement as Career Bait</w:t>
      </w:r>
    </w:p>
    <w:p>
      <w:pPr>
        <w:spacing w:after="120" w:line="312"/>
        <w:jc w:val="both"/>
      </w:pPr>
      <w:r>
        <w:rPr>
          <w:rFonts w:ascii="Times New Roman" w:eastAsia="Microsoft YaHei"/>
          <w:color w:val="000000"/>
          <w:sz w:val="24"/>
          <w:szCs w:val="24"/>
        </w:rPr>
        <w:t xml:space="preserve">The Mock Job placement feature represents the most powerful bait in EduSparring's arsenal. Students actively seeking career opportunities represent a massive, motivated user base. By positioning Mock Jobs as a standalone career preparation tool, EduSparring can attract users who may not initially be interested in peer learning but desperately want to demonstrate their skills to potential employers.</w:t>
      </w:r>
    </w:p>
    <w:p>
      <w:pPr>
        <w:spacing w:after="120" w:line="312"/>
        <w:jc w:val="both"/>
      </w:pPr>
      <w:r>
        <w:rPr>
          <w:rFonts w:ascii="Times New Roman" w:eastAsia="Microsoft YaHei"/>
          <w:color w:val="000000"/>
          <w:sz w:val="24"/>
          <w:szCs w:val="24"/>
        </w:rPr>
        <w:t xml:space="preserve">The conversion pathway is clear: users join to complete Mock Jobs, discover peer matching during the process, and gradually engage with the broader learning ecosystem. Employers benefit from a pre-vetted talent pipeline, creating a virtuous cycle where employer participation attracts more students, and student participation attracts more employers.</w:t>
      </w:r>
    </w:p>
    <w:p>
      <w:pPr>
        <w:spacing w:after="120" w:line="312"/>
        <w:jc w:val="both"/>
      </w:pPr>
      <w:r>
        <w:rPr>
          <w:rFonts w:ascii="Times New Roman" w:eastAsia="Microsoft YaHei"/>
          <w:color w:val="000000"/>
          <w:sz w:val="24"/>
          <w:szCs w:val="24"/>
        </w:rPr>
        <w:t xml:space="preserve">Implementation requires targeted outreach to career services departments, job fairs, and professional networking platforms. Messaging should emphasize practical outcomes: 'Complete real assignments from actual employers' and 'Build a portfolio that gets noticed.' The career bait addresses the fundamental question every student asks: 'How will this help me get a job?'</w:t>
      </w:r>
    </w:p>
    <w:p>
      <w:pPr>
        <w:spacing w:after="120" w:before="200"/>
      </w:pPr>
      <w:r>
        <w:rPr>
          <w:rFonts w:ascii="Times New Roman" w:eastAsia="Microsoft YaHei"/>
          <w:b/>
          <w:bCs/>
          <w:color w:val="1A2330"/>
          <w:sz w:val="24"/>
          <w:szCs w:val="24"/>
        </w:rPr>
        <w:t xml:space="preserve">2. Knowledge Rating System as Validation Bait</w:t>
      </w:r>
    </w:p>
    <w:p>
      <w:pPr>
        <w:spacing w:after="120" w:line="312"/>
        <w:jc w:val="both"/>
      </w:pPr>
      <w:r>
        <w:rPr>
          <w:rFonts w:ascii="Times New Roman" w:eastAsia="Microsoft YaHei"/>
          <w:color w:val="000000"/>
          <w:sz w:val="24"/>
          <w:szCs w:val="24"/>
        </w:rPr>
        <w:t xml:space="preserve">The KR system offers intrinsic value beyond matchmaking. Users seek validation of their knowledge - a quantified confirmation that their skills matter. The KR system provides this validation through structured assessment and peer recognition. This transforms skill profiling from a functional necessity into a compelling user experience.</w:t>
      </w:r>
    </w:p>
    <w:p>
      <w:pPr>
        <w:spacing w:after="120" w:line="312"/>
        <w:jc w:val="both"/>
      </w:pPr>
      <w:r>
        <w:rPr>
          <w:rFonts w:ascii="Times New Roman" w:eastAsia="Microsoft YaHei"/>
          <w:color w:val="000000"/>
          <w:sz w:val="24"/>
          <w:szCs w:val="24"/>
        </w:rPr>
        <w:t xml:space="preserve">Marketing can position KR ratings as portable credentials that users can share on LinkedIn, include in resumes, or reference in interviews. The gamification element - earning higher ratings through demonstrated knowledge - creates engagement loops that encourage continued platform use. Users return to improve ratings, discover new learning opportunities, and deepen their investment in the platform.</w:t>
      </w:r>
    </w:p>
    <w:p>
      <w:pPr>
        <w:spacing w:after="120" w:line="312"/>
        <w:jc w:val="both"/>
      </w:pPr>
      <w:r>
        <w:rPr>
          <w:rFonts w:ascii="Times New Roman" w:eastAsia="Microsoft YaHei"/>
          <w:color w:val="000000"/>
          <w:sz w:val="24"/>
          <w:szCs w:val="24"/>
        </w:rPr>
        <w:t xml:space="preserve">The validation bait appeals particularly to competitive users and those seeking formal recognition of informal learning. It addresses a real pain point: the difficulty of proving competency outside traditional educational institutions. EduSparring becomes not just a learning platform but a credentialing authority in emerging skill areas.</w:t>
      </w:r>
    </w:p>
    <w:p>
      <w:pPr>
        <w:spacing w:after="120" w:before="200"/>
      </w:pPr>
      <w:r>
        <w:rPr>
          <w:rFonts w:ascii="Times New Roman" w:eastAsia="Microsoft YaHei"/>
          <w:b/>
          <w:bCs/>
          <w:color w:val="1A2330"/>
          <w:sz w:val="24"/>
          <w:szCs w:val="24"/>
        </w:rPr>
        <w:t xml:space="preserve">3. Peer Matching as Social Bait</w:t>
      </w:r>
    </w:p>
    <w:p>
      <w:pPr>
        <w:spacing w:after="120" w:line="312"/>
        <w:jc w:val="both"/>
      </w:pPr>
      <w:r>
        <w:rPr>
          <w:rFonts w:ascii="Times New Roman" w:eastAsia="Microsoft YaHei"/>
          <w:color w:val="000000"/>
          <w:sz w:val="24"/>
          <w:szCs w:val="24"/>
        </w:rPr>
        <w:t xml:space="preserve">The matchmaking feature taps into fundamental human desires for connection and community. Positioned effectively, peer matching becomes a social experience rather than a purely educational one. Users seeking study partners, accountability partners, or intellectual peers find value beyond subject matter expertise.</w:t>
      </w:r>
    </w:p>
    <w:p>
      <w:pPr>
        <w:spacing w:after="120" w:line="312"/>
        <w:jc w:val="both"/>
      </w:pPr>
      <w:r>
        <w:rPr>
          <w:rFonts w:ascii="Times New Roman" w:eastAsia="Microsoft YaHei"/>
          <w:color w:val="000000"/>
          <w:sz w:val="24"/>
          <w:szCs w:val="24"/>
        </w:rPr>
        <w:t xml:space="preserve">The 'peer Tinder' framing, while reductive, captures an important insight: matching mechanics create engagement through anticipation and discovery. Each potential match becomes a possibility, and successful matches create emotional investment. Users who find valuable learning partnerships become advocates, sharing their experiences and attracting similar users.</w:t>
      </w:r>
    </w:p>
    <w:p>
      <w:pPr>
        <w:spacing w:after="120" w:line="312"/>
        <w:jc w:val="both"/>
      </w:pPr>
      <w:r>
        <w:rPr>
          <w:rFonts w:ascii="Times New Roman" w:eastAsia="Microsoft YaHei"/>
          <w:color w:val="000000"/>
          <w:sz w:val="24"/>
          <w:szCs w:val="24"/>
        </w:rPr>
        <w:t xml:space="preserve">Social bait implementation requires emphasizing the human element in marketing. Testimonials from matched peers, success stories of learning partnerships, and community spotlights demonstrate that EduSparring facilitates real connections, not just algorithmic pairings.</w:t>
      </w:r>
    </w:p>
    <w:p>
      <w:pPr>
        <w:pStyle w:val="Heading2"/>
        <w:spacing w:after="140" w:before="280"/>
      </w:pPr>
      <w:r>
        <w:rPr>
          <w:rFonts w:ascii="Times New Roman" w:eastAsia="SimHei"/>
          <w:b/>
          <w:bCs/>
          <w:color w:val="1A2330"/>
          <w:sz w:val="26"/>
          <w:szCs w:val="26"/>
        </w:rPr>
        <w:t xml:space="preserve">Secondary Baits: Supporting Engagement</w:t>
      </w:r>
    </w:p>
    <w:p>
      <w:pPr>
        <w:spacing w:after="120" w:before="200"/>
      </w:pPr>
      <w:r>
        <w:rPr>
          <w:rFonts w:ascii="Times New Roman" w:eastAsia="Microsoft YaHei"/>
          <w:b/>
          <w:bCs/>
          <w:color w:val="1A2330"/>
          <w:sz w:val="24"/>
          <w:szCs w:val="24"/>
        </w:rPr>
        <w:t xml:space="preserve">4. Sparring Sessions as Habit Bait</w:t>
      </w:r>
    </w:p>
    <w:p>
      <w:pPr>
        <w:spacing w:after="120" w:line="312"/>
        <w:jc w:val="both"/>
      </w:pPr>
      <w:r>
        <w:rPr>
          <w:rFonts w:ascii="Times New Roman" w:eastAsia="Microsoft YaHei"/>
          <w:color w:val="000000"/>
          <w:sz w:val="24"/>
          <w:szCs w:val="24"/>
        </w:rPr>
        <w:t xml:space="preserve">Once users enter the platform through primary baits, sparring sessions create habit loops. Regularly scheduled sessions build routine engagement, transforming occasional users into daily participants. The session format - structured learning exchanges with clear expectations - reduces cognitive load and increases follow-through.</w:t>
      </w:r>
    </w:p>
    <w:p>
      <w:pPr>
        <w:spacing w:after="120" w:line="312"/>
        <w:jc w:val="both"/>
      </w:pPr>
      <w:r>
        <w:rPr>
          <w:rFonts w:ascii="Times New Roman" w:eastAsia="Microsoft YaHei"/>
          <w:color w:val="000000"/>
          <w:sz w:val="24"/>
          <w:szCs w:val="24"/>
        </w:rPr>
        <w:t xml:space="preserve">Gamification elements within sessions, such as streaks, achievements, and progress tracking, reinforce habit formation. Users who establish learning routines through sparring sessions develop platform loyalty that transcends any single feature.</w:t>
      </w:r>
    </w:p>
    <w:p>
      <w:pPr>
        <w:spacing w:after="120" w:before="200"/>
      </w:pPr>
      <w:r>
        <w:rPr>
          <w:rFonts w:ascii="Times New Roman" w:eastAsia="Microsoft YaHei"/>
          <w:b/>
          <w:bCs/>
          <w:color w:val="1A2330"/>
          <w:sz w:val="24"/>
          <w:szCs w:val="24"/>
        </w:rPr>
        <w:t xml:space="preserve">5. Profile Building as Identity Bait</w:t>
      </w:r>
    </w:p>
    <w:p>
      <w:pPr>
        <w:spacing w:after="120" w:line="312"/>
        <w:jc w:val="both"/>
      </w:pPr>
      <w:r>
        <w:rPr>
          <w:rFonts w:ascii="Times New Roman" w:eastAsia="Microsoft YaHei"/>
          <w:color w:val="000000"/>
          <w:sz w:val="24"/>
          <w:szCs w:val="24"/>
        </w:rPr>
        <w:t xml:space="preserve">Profile creation represents an often-overlooked engagement opportunity. A well-designed profile system allows users to express their learning identity - their goals, interests, and achievements. This investment in digital identity creates switching costs; users who have built detailed profiles are less likely to abandon the platform.</w:t>
      </w:r>
    </w:p>
    <w:p>
      <w:pPr>
        <w:spacing w:after="120" w:line="312"/>
        <w:jc w:val="both"/>
      </w:pPr>
      <w:r>
        <w:rPr>
          <w:rFonts w:ascii="Times New Roman" w:eastAsia="Microsoft YaHei"/>
          <w:color w:val="000000"/>
          <w:sz w:val="24"/>
          <w:szCs w:val="24"/>
        </w:rPr>
        <w:t xml:space="preserve">Profile visibility features, such as public skill showcases and learning journey timelines, transform profiles from internal tools into external marketing assets. Users share their profiles, driving organic awareness and referral traffic.</w:t>
      </w:r>
    </w:p>
    <w:p>
      <w:pPr>
        <w:pStyle w:val="Heading2"/>
        <w:spacing w:after="140" w:before="280"/>
      </w:pPr>
      <w:r>
        <w:rPr>
          <w:rFonts w:ascii="Times New Roman" w:eastAsia="SimHei"/>
          <w:b/>
          <w:bCs/>
          <w:color w:val="1A2330"/>
          <w:sz w:val="26"/>
          <w:szCs w:val="26"/>
        </w:rPr>
        <w:t xml:space="preserve">Baits Strategy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4875A" w:val="clear"/>
            <w:tcMar>
              <w:top w:type="dxa" w:w="80"/>
              <w:left w:type="dxa" w:w="100"/>
              <w:bottom w:type="dxa" w:w="80"/>
              <w:right w:type="dxa" w:w="100"/>
            </w:tcMar>
          </w:tcPr>
          <w:p>
            <w:pPr>
              <w:jc w:val="center"/>
            </w:pPr>
            <w:r>
              <w:rPr>
                <w:b/>
                <w:bCs/>
                <w:color w:val="FFFFFF"/>
                <w:sz w:val="22"/>
                <w:szCs w:val="22"/>
              </w:rPr>
              <w:t xml:space="preserve">Bait Type</w:t>
            </w:r>
          </w:p>
        </w:tc>
        <w:tc>
          <w:tcPr>
            <w:shd w:fill="D4875A" w:val="clear"/>
            <w:tcMar>
              <w:top w:type="dxa" w:w="80"/>
              <w:left w:type="dxa" w:w="100"/>
              <w:bottom w:type="dxa" w:w="80"/>
              <w:right w:type="dxa" w:w="100"/>
            </w:tcMar>
          </w:tcPr>
          <w:p>
            <w:pPr>
              <w:jc w:val="center"/>
            </w:pPr>
            <w:r>
              <w:rPr>
                <w:b/>
                <w:bCs/>
                <w:color w:val="FFFFFF"/>
                <w:sz w:val="22"/>
                <w:szCs w:val="22"/>
              </w:rPr>
              <w:t xml:space="preserve">Feature</w:t>
            </w:r>
          </w:p>
        </w:tc>
        <w:tc>
          <w:tcPr>
            <w:shd w:fill="D4875A" w:val="clear"/>
            <w:tcMar>
              <w:top w:type="dxa" w:w="80"/>
              <w:left w:type="dxa" w:w="100"/>
              <w:bottom w:type="dxa" w:w="80"/>
              <w:right w:type="dxa" w:w="100"/>
            </w:tcMar>
          </w:tcPr>
          <w:p>
            <w:pPr>
              <w:jc w:val="center"/>
            </w:pPr>
            <w:r>
              <w:rPr>
                <w:b/>
                <w:bCs/>
                <w:color w:val="FFFFFF"/>
                <w:sz w:val="22"/>
                <w:szCs w:val="22"/>
              </w:rPr>
              <w:t xml:space="preserve">Target User</w:t>
            </w:r>
          </w:p>
        </w:tc>
        <w:tc>
          <w:tcPr>
            <w:shd w:fill="D4875A" w:val="clear"/>
            <w:tcMar>
              <w:top w:type="dxa" w:w="80"/>
              <w:left w:type="dxa" w:w="100"/>
              <w:bottom w:type="dxa" w:w="80"/>
              <w:right w:type="dxa" w:w="100"/>
            </w:tcMar>
          </w:tcPr>
          <w:p>
            <w:pPr>
              <w:jc w:val="center"/>
            </w:pPr>
            <w:r>
              <w:rPr>
                <w:b/>
                <w:bCs/>
                <w:color w:val="FFFFFF"/>
                <w:sz w:val="22"/>
                <w:szCs w:val="22"/>
              </w:rPr>
              <w:t xml:space="preserve">Key Value</w:t>
            </w:r>
          </w:p>
        </w:tc>
      </w:tr>
      <w:tr>
        <w:tc>
          <w:tcPr>
            <w:tcMar>
              <w:top w:type="dxa" w:w="60"/>
              <w:left w:type="dxa" w:w="100"/>
              <w:bottom w:type="dxa" w:w="60"/>
              <w:right w:type="dxa" w:w="100"/>
            </w:tcMar>
          </w:tcPr>
          <w:p>
            <w:r>
              <w:rPr>
                <w:sz w:val="22"/>
                <w:szCs w:val="22"/>
              </w:rPr>
              <w:t xml:space="preserve">Career</w:t>
            </w:r>
          </w:p>
        </w:tc>
        <w:tc>
          <w:tcPr>
            <w:tcMar>
              <w:top w:type="dxa" w:w="60"/>
              <w:left w:type="dxa" w:w="100"/>
              <w:bottom w:type="dxa" w:w="60"/>
              <w:right w:type="dxa" w:w="100"/>
            </w:tcMar>
          </w:tcPr>
          <w:p>
            <w:r>
              <w:rPr>
                <w:sz w:val="22"/>
                <w:szCs w:val="22"/>
              </w:rPr>
              <w:t xml:space="preserve">Mock Jobs</w:t>
            </w:r>
          </w:p>
        </w:tc>
        <w:tc>
          <w:tcPr>
            <w:tcMar>
              <w:top w:type="dxa" w:w="60"/>
              <w:left w:type="dxa" w:w="100"/>
              <w:bottom w:type="dxa" w:w="60"/>
              <w:right w:type="dxa" w:w="100"/>
            </w:tcMar>
          </w:tcPr>
          <w:p>
            <w:r>
              <w:rPr>
                <w:sz w:val="22"/>
                <w:szCs w:val="22"/>
              </w:rPr>
              <w:t xml:space="preserve">Job seekers</w:t>
            </w:r>
          </w:p>
        </w:tc>
        <w:tc>
          <w:tcPr>
            <w:tcMar>
              <w:top w:type="dxa" w:w="60"/>
              <w:left w:type="dxa" w:w="100"/>
              <w:bottom w:type="dxa" w:w="60"/>
              <w:right w:type="dxa" w:w="100"/>
            </w:tcMar>
          </w:tcPr>
          <w:p>
            <w:r>
              <w:rPr>
                <w:sz w:val="22"/>
                <w:szCs w:val="22"/>
              </w:rPr>
              <w:t xml:space="preserve">Employer exposure</w:t>
            </w:r>
          </w:p>
        </w:tc>
      </w:tr>
      <w:tr>
        <w:tc>
          <w:tcPr>
            <w:shd w:fill="F8F0EB" w:val="clear"/>
            <w:tcMar>
              <w:top w:type="dxa" w:w="60"/>
              <w:left w:type="dxa" w:w="100"/>
              <w:bottom w:type="dxa" w:w="60"/>
              <w:right w:type="dxa" w:w="100"/>
            </w:tcMar>
          </w:tcPr>
          <w:p>
            <w:r>
              <w:rPr>
                <w:sz w:val="22"/>
                <w:szCs w:val="22"/>
              </w:rPr>
              <w:t xml:space="preserve">Validation</w:t>
            </w:r>
          </w:p>
        </w:tc>
        <w:tc>
          <w:tcPr>
            <w:shd w:fill="F8F0EB" w:val="clear"/>
            <w:tcMar>
              <w:top w:type="dxa" w:w="60"/>
              <w:left w:type="dxa" w:w="100"/>
              <w:bottom w:type="dxa" w:w="60"/>
              <w:right w:type="dxa" w:w="100"/>
            </w:tcMar>
          </w:tcPr>
          <w:p>
            <w:r>
              <w:rPr>
                <w:sz w:val="22"/>
                <w:szCs w:val="22"/>
              </w:rPr>
              <w:t xml:space="preserve">KR System</w:t>
            </w:r>
          </w:p>
        </w:tc>
        <w:tc>
          <w:tcPr>
            <w:shd w:fill="F8F0EB" w:val="clear"/>
            <w:tcMar>
              <w:top w:type="dxa" w:w="60"/>
              <w:left w:type="dxa" w:w="100"/>
              <w:bottom w:type="dxa" w:w="60"/>
              <w:right w:type="dxa" w:w="100"/>
            </w:tcMar>
          </w:tcPr>
          <w:p>
            <w:r>
              <w:rPr>
                <w:sz w:val="22"/>
                <w:szCs w:val="22"/>
              </w:rPr>
              <w:t xml:space="preserve">Skill builders</w:t>
            </w:r>
          </w:p>
        </w:tc>
        <w:tc>
          <w:tcPr>
            <w:shd w:fill="F8F0EB" w:val="clear"/>
            <w:tcMar>
              <w:top w:type="dxa" w:w="60"/>
              <w:left w:type="dxa" w:w="100"/>
              <w:bottom w:type="dxa" w:w="60"/>
              <w:right w:type="dxa" w:w="100"/>
            </w:tcMar>
          </w:tcPr>
          <w:p>
            <w:r>
              <w:rPr>
                <w:sz w:val="22"/>
                <w:szCs w:val="22"/>
              </w:rPr>
              <w:t xml:space="preserve">Portable credentials</w:t>
            </w:r>
          </w:p>
        </w:tc>
      </w:tr>
      <w:tr>
        <w:tc>
          <w:tcPr>
            <w:tcMar>
              <w:top w:type="dxa" w:w="60"/>
              <w:left w:type="dxa" w:w="100"/>
              <w:bottom w:type="dxa" w:w="60"/>
              <w:right w:type="dxa" w:w="100"/>
            </w:tcMar>
          </w:tcPr>
          <w:p>
            <w:r>
              <w:rPr>
                <w:sz w:val="22"/>
                <w:szCs w:val="22"/>
              </w:rPr>
              <w:t xml:space="preserve">Social</w:t>
            </w:r>
          </w:p>
        </w:tc>
        <w:tc>
          <w:tcPr>
            <w:tcMar>
              <w:top w:type="dxa" w:w="60"/>
              <w:left w:type="dxa" w:w="100"/>
              <w:bottom w:type="dxa" w:w="60"/>
              <w:right w:type="dxa" w:w="100"/>
            </w:tcMar>
          </w:tcPr>
          <w:p>
            <w:r>
              <w:rPr>
                <w:sz w:val="22"/>
                <w:szCs w:val="22"/>
              </w:rPr>
              <w:t xml:space="preserve">Peer Matching</w:t>
            </w:r>
          </w:p>
        </w:tc>
        <w:tc>
          <w:tcPr>
            <w:tcMar>
              <w:top w:type="dxa" w:w="60"/>
              <w:left w:type="dxa" w:w="100"/>
              <w:bottom w:type="dxa" w:w="60"/>
              <w:right w:type="dxa" w:w="100"/>
            </w:tcMar>
          </w:tcPr>
          <w:p>
            <w:r>
              <w:rPr>
                <w:sz w:val="22"/>
                <w:szCs w:val="22"/>
              </w:rPr>
              <w:t xml:space="preserve">Community seekers</w:t>
            </w:r>
          </w:p>
        </w:tc>
        <w:tc>
          <w:tcPr>
            <w:tcMar>
              <w:top w:type="dxa" w:w="60"/>
              <w:left w:type="dxa" w:w="100"/>
              <w:bottom w:type="dxa" w:w="60"/>
              <w:right w:type="dxa" w:w="100"/>
            </w:tcMar>
          </w:tcPr>
          <w:p>
            <w:r>
              <w:rPr>
                <w:sz w:val="22"/>
                <w:szCs w:val="22"/>
              </w:rPr>
              <w:t xml:space="preserve">Meaningful connections</w:t>
            </w:r>
          </w:p>
        </w:tc>
      </w:tr>
      <w:tr>
        <w:tc>
          <w:tcPr>
            <w:shd w:fill="F8F0EB" w:val="clear"/>
            <w:tcMar>
              <w:top w:type="dxa" w:w="60"/>
              <w:left w:type="dxa" w:w="100"/>
              <w:bottom w:type="dxa" w:w="60"/>
              <w:right w:type="dxa" w:w="100"/>
            </w:tcMar>
          </w:tcPr>
          <w:p>
            <w:r>
              <w:rPr>
                <w:sz w:val="22"/>
                <w:szCs w:val="22"/>
              </w:rPr>
              <w:t xml:space="preserve">Habit</w:t>
            </w:r>
          </w:p>
        </w:tc>
        <w:tc>
          <w:tcPr>
            <w:shd w:fill="F8F0EB" w:val="clear"/>
            <w:tcMar>
              <w:top w:type="dxa" w:w="60"/>
              <w:left w:type="dxa" w:w="100"/>
              <w:bottom w:type="dxa" w:w="60"/>
              <w:right w:type="dxa" w:w="100"/>
            </w:tcMar>
          </w:tcPr>
          <w:p>
            <w:r>
              <w:rPr>
                <w:sz w:val="22"/>
                <w:szCs w:val="22"/>
              </w:rPr>
              <w:t xml:space="preserve">Sparring Sessions</w:t>
            </w:r>
          </w:p>
        </w:tc>
        <w:tc>
          <w:tcPr>
            <w:shd w:fill="F8F0EB" w:val="clear"/>
            <w:tcMar>
              <w:top w:type="dxa" w:w="60"/>
              <w:left w:type="dxa" w:w="100"/>
              <w:bottom w:type="dxa" w:w="60"/>
              <w:right w:type="dxa" w:w="100"/>
            </w:tcMar>
          </w:tcPr>
          <w:p>
            <w:r>
              <w:rPr>
                <w:sz w:val="22"/>
                <w:szCs w:val="22"/>
              </w:rPr>
              <w:t xml:space="preserve">Active learners</w:t>
            </w:r>
          </w:p>
        </w:tc>
        <w:tc>
          <w:tcPr>
            <w:shd w:fill="F8F0EB" w:val="clear"/>
            <w:tcMar>
              <w:top w:type="dxa" w:w="60"/>
              <w:left w:type="dxa" w:w="100"/>
              <w:bottom w:type="dxa" w:w="60"/>
              <w:right w:type="dxa" w:w="100"/>
            </w:tcMar>
          </w:tcPr>
          <w:p>
            <w:r>
              <w:rPr>
                <w:sz w:val="22"/>
                <w:szCs w:val="22"/>
              </w:rPr>
              <w:t xml:space="preserve">Routine engagement</w:t>
            </w:r>
          </w:p>
        </w:tc>
      </w:tr>
      <w:tr>
        <w:tc>
          <w:tcPr>
            <w:tcMar>
              <w:top w:type="dxa" w:w="60"/>
              <w:left w:type="dxa" w:w="100"/>
              <w:bottom w:type="dxa" w:w="60"/>
              <w:right w:type="dxa" w:w="100"/>
            </w:tcMar>
          </w:tcPr>
          <w:p>
            <w:r>
              <w:rPr>
                <w:sz w:val="22"/>
                <w:szCs w:val="22"/>
              </w:rPr>
              <w:t xml:space="preserve">Identity</w:t>
            </w:r>
          </w:p>
        </w:tc>
        <w:tc>
          <w:tcPr>
            <w:tcMar>
              <w:top w:type="dxa" w:w="60"/>
              <w:left w:type="dxa" w:w="100"/>
              <w:bottom w:type="dxa" w:w="60"/>
              <w:right w:type="dxa" w:w="100"/>
            </w:tcMar>
          </w:tcPr>
          <w:p>
            <w:r>
              <w:rPr>
                <w:sz w:val="22"/>
                <w:szCs w:val="22"/>
              </w:rPr>
              <w:t xml:space="preserve">Profile Building</w:t>
            </w:r>
          </w:p>
        </w:tc>
        <w:tc>
          <w:tcPr>
            <w:tcMar>
              <w:top w:type="dxa" w:w="60"/>
              <w:left w:type="dxa" w:w="100"/>
              <w:bottom w:type="dxa" w:w="60"/>
              <w:right w:type="dxa" w:w="100"/>
            </w:tcMar>
          </w:tcPr>
          <w:p>
            <w:r>
              <w:rPr>
                <w:sz w:val="22"/>
                <w:szCs w:val="22"/>
              </w:rPr>
              <w:t xml:space="preserve">All users</w:t>
            </w:r>
          </w:p>
        </w:tc>
        <w:tc>
          <w:tcPr>
            <w:tcMar>
              <w:top w:type="dxa" w:w="60"/>
              <w:left w:type="dxa" w:w="100"/>
              <w:bottom w:type="dxa" w:w="60"/>
              <w:right w:type="dxa" w:w="100"/>
            </w:tcMar>
          </w:tcPr>
          <w:p>
            <w:r>
              <w:rPr>
                <w:sz w:val="22"/>
                <w:szCs w:val="22"/>
              </w:rPr>
              <w:t xml:space="preserve">Digital presence</w:t>
            </w:r>
          </w:p>
        </w:tc>
      </w:tr>
    </w:tbl>
    <w:p>
      <w:pPr>
        <w:spacing w:after="200" w:before="200"/>
      </w:pPr>
    </w:p>
    <w:p>
      <w:pPr>
        <w:pStyle w:val="Heading2"/>
        <w:spacing w:after="140" w:before="280"/>
      </w:pPr>
      <w:r>
        <w:rPr>
          <w:rFonts w:ascii="Times New Roman" w:eastAsia="SimHei"/>
          <w:b/>
          <w:bCs/>
          <w:color w:val="1A2330"/>
          <w:sz w:val="26"/>
          <w:szCs w:val="26"/>
        </w:rPr>
        <w:t xml:space="preserve">Implementation Roadmap</w:t>
      </w:r>
    </w:p>
    <w:p>
      <w:pPr>
        <w:spacing w:after="120" w:line="312"/>
        <w:jc w:val="both"/>
      </w:pPr>
      <w:r>
        <w:rPr>
          <w:rFonts w:ascii="Times New Roman" w:eastAsia="Microsoft YaHei"/>
          <w:color w:val="000000"/>
          <w:sz w:val="24"/>
          <w:szCs w:val="24"/>
        </w:rPr>
        <w:t xml:space="preserve">The baits strategy requires phased implementation to avoid diluting message clarity. Phase one focuses on career bait activation through employer partnership development and Mock Job feature enhancement. This phase targets immediate user acquisition through the most compelling value proposition.</w:t>
      </w:r>
    </w:p>
    <w:p>
      <w:pPr>
        <w:spacing w:after="120" w:line="312"/>
        <w:jc w:val="both"/>
      </w:pPr>
      <w:r>
        <w:rPr>
          <w:rFonts w:ascii="Times New Roman" w:eastAsia="Microsoft YaHei"/>
          <w:color w:val="000000"/>
          <w:sz w:val="24"/>
          <w:szCs w:val="24"/>
        </w:rPr>
        <w:t xml:space="preserve">Phase two introduces validation bait optimization through KR system refinement and credential sharing features. Phase three activates social and habit baits through community features and gamification enhancement. This sequencing ensures each phase builds on previous success while maintaining clear user communication.</w:t>
      </w:r>
    </w:p>
    <w:p>
      <w:pPr>
        <w:pStyle w:val="Heading2"/>
        <w:spacing w:after="140" w:before="280"/>
      </w:pPr>
      <w:r>
        <w:rPr>
          <w:rFonts w:ascii="Times New Roman" w:eastAsia="SimHei"/>
          <w:b/>
          <w:bCs/>
          <w:color w:val="1A2330"/>
          <w:sz w:val="26"/>
          <w:szCs w:val="26"/>
        </w:rPr>
        <w:t xml:space="preserve">Measuring Bait Effectiveness</w:t>
      </w:r>
    </w:p>
    <w:p>
      <w:pPr>
        <w:spacing w:after="120" w:line="312"/>
        <w:jc w:val="both"/>
      </w:pPr>
      <w:r>
        <w:rPr>
          <w:rFonts w:ascii="Times New Roman" w:eastAsia="Microsoft YaHei"/>
          <w:color w:val="000000"/>
          <w:sz w:val="24"/>
          <w:szCs w:val="24"/>
        </w:rPr>
        <w:t xml:space="preserve">Success metrics should track both acquisition and conversion. Key metrics include: users acquired per bait type, conversion rate from bait entry to multi-feature engagement, retention rates by entry point, and lifetime value by acquisition channel. These metrics enable continuous optimization of bait positioning and resource allocation.</w:t>
      </w:r>
    </w:p>
    <w:p>
      <w:pPr>
        <w:spacing w:after="120" w:line="312"/>
        <w:jc w:val="both"/>
      </w:pPr>
      <w:r>
        <w:rPr>
          <w:rFonts w:ascii="Times New Roman" w:eastAsia="Microsoft YaHei"/>
          <w:color w:val="000000"/>
          <w:sz w:val="24"/>
          <w:szCs w:val="24"/>
        </w:rPr>
        <w:t xml:space="preserve">A/B testing different messaging and positioning for each bait reveals user preferences and guides marketing investment. The goal is not to identify a single best bait but to understand how different baits attract different user segments, enabling targeted acquisition strategies.</w:t>
      </w:r>
    </w:p>
    <w:p>
      <w:pPr>
        <w:pStyle w:val="Heading2"/>
        <w:spacing w:after="140" w:before="280"/>
      </w:pPr>
      <w:r>
        <w:rPr>
          <w:rFonts w:ascii="Times New Roman" w:eastAsia="SimHei"/>
          <w:b/>
          <w:bCs/>
          <w:color w:val="1A2330"/>
          <w:sz w:val="26"/>
          <w:szCs w:val="26"/>
        </w:rPr>
        <w:t xml:space="preserve">Conclusion: Integrated Growth</w:t>
      </w:r>
    </w:p>
    <w:p>
      <w:pPr>
        <w:spacing w:after="120" w:line="312"/>
        <w:jc w:val="both"/>
      </w:pPr>
      <w:r>
        <w:rPr>
          <w:rFonts w:ascii="Times New Roman" w:eastAsia="Microsoft YaHei"/>
          <w:color w:val="000000"/>
          <w:sz w:val="24"/>
          <w:szCs w:val="24"/>
        </w:rPr>
        <w:t xml:space="preserve">The baits strategy transforms EduSparring's features from passive functionality into active growth engines. By recognizing and amplifying the inherent attraction value of each feature, the platform can achieve organic growth that compounds over time. Users acquired through baits arrive with clear expectations and immediate value realization, creating higher engagement and retention than generic marketing approaches.</w:t>
      </w:r>
    </w:p>
    <w:p>
      <w:pPr>
        <w:spacing w:after="120" w:line="312"/>
        <w:jc w:val="both"/>
      </w:pPr>
      <w:r>
        <w:rPr>
          <w:rFonts w:ascii="Times New Roman" w:eastAsia="Microsoft YaHei"/>
          <w:color w:val="000000"/>
          <w:sz w:val="24"/>
          <w:szCs w:val="24"/>
        </w:rPr>
        <w:t xml:space="preserve">Combined with the strong technical foundation demonstrated by the MVP and the clear investor narrative around monetization potential, the baits strategy positions EduSparring for sustainable growth. The platform moves beyond feature competition into value-based user attraction, where each feature serves dual purposes: functionality for existing users and marketing for prospective users.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Microsoft YaHe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506070"/>
        <w:sz w:val="18"/>
        <w:szCs w:val="18"/>
      </w:rPr>
      <w:t xml:space="preserve">EduSparring Business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2026-04-26T13:51:06.620Z</dcterms:created>
  <dcterms:modified xsi:type="dcterms:W3CDTF">2026-04-26T13:51:06.620Z</dcterms:modified>
</cp:coreProperties>
</file>

<file path=docProps/custom.xml><?xml version="1.0" encoding="utf-8"?>
<Properties xmlns="http://schemas.openxmlformats.org/officeDocument/2006/custom-properties" xmlns:vt="http://schemas.openxmlformats.org/officeDocument/2006/docPropsVTypes"/>
</file>