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2263A"/>
          <w:sz w:val="40"/>
        </w:rPr>
        <w:t>National ICT Database of Liberia (NICTD)</w:t>
      </w:r>
    </w:p>
    <w:p>
      <w:r>
        <w:rPr>
          <w:rFonts w:ascii="Arial" w:hAnsi="Arial"/>
          <w:b w:val="0"/>
          <w:i w:val="0"/>
          <w:color w:val="1E8A8A"/>
          <w:sz w:val="26"/>
        </w:rPr>
        <w:t>Data Mining Phase — Field Data Gathering Design &amp; Survey Instruments</w:t>
      </w:r>
    </w:p>
    <w:p>
      <w:r>
        <w:rPr>
          <w:rFonts w:ascii="Arial" w:hAnsi="Arial"/>
          <w:b w:val="0"/>
          <w:i w:val="0"/>
          <w:color w:val="5C6B78"/>
          <w:sz w:val="19"/>
        </w:rPr>
        <w:t>ICT Statistics &amp; Policy Unit, Ministry of Posts &amp; Telecommunications. Sampling and staffing computed from the 15-county population frame; see the companion workbook NICTD-Data-Mining-Phase.xlsx.</w:t>
      </w:r>
    </w:p>
    <w:p>
      <w:pPr>
        <w:spacing w:before="200" w:after="80"/>
      </w:pPr>
      <w:r>
        <w:rPr>
          <w:rFonts w:ascii="Arial" w:hAnsi="Arial"/>
          <w:b/>
          <w:i w:val="0"/>
          <w:color w:val="12263A"/>
          <w:sz w:val="28"/>
        </w:rPr>
        <w:t>At a glance (all 15 counties)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color="auto" w:fill="12263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3168"/>
            <w:shd w:val="clear" w:color="auto" w:fill="12263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Household interviews (completed / issued)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9,980 / 11,360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Enumeration areas (urban / rural)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574 (170 / 404)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Field data collectors (enumerators)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118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Field supervisors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31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County research leads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Facility / key-informant collectors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Research cadre (leads + supervisors + KII)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79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Total field workforce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197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Duration (design to upload)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approx. 11 weeks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i w:val="0"/>
          <w:color w:val="12263A"/>
          <w:sz w:val="28"/>
        </w:rPr>
        <w:t>The phase in 7 layers</w:t>
      </w:r>
    </w:p>
    <w:p>
      <w:r>
        <w:rPr>
          <w:rFonts w:ascii="Arial" w:hAnsi="Arial"/>
          <w:b/>
          <w:i w:val="0"/>
          <w:color w:val="12263A"/>
          <w:sz w:val="20"/>
        </w:rPr>
        <w:t xml:space="preserve">Layer 0 — Source triage. </w:t>
      </w:r>
      <w:r>
        <w:rPr>
          <w:rFonts w:ascii="Arial" w:hAnsi="Arial"/>
          <w:b w:val="0"/>
          <w:i w:val="0"/>
          <w:sz w:val="20"/>
        </w:rPr>
        <w:t>Of 30 indicators, only 11 need the field: 7 via household survey, 2 via school visits, 2 via a price audit. The other 19 are operator feeds or desk/administrative requests.</w:t>
      </w:r>
    </w:p>
    <w:p>
      <w:r>
        <w:rPr>
          <w:rFonts w:ascii="Arial" w:hAnsi="Arial"/>
          <w:b/>
          <w:i w:val="0"/>
          <w:color w:val="12263A"/>
          <w:sz w:val="20"/>
        </w:rPr>
        <w:t xml:space="preserve">Layer 1 — Sampling design. </w:t>
      </w:r>
      <w:r>
        <w:rPr>
          <w:rFonts w:ascii="Arial" w:hAnsi="Arial"/>
          <w:b w:val="0"/>
          <w:i w:val="0"/>
          <w:sz w:val="20"/>
        </w:rPr>
        <w:t>Two-stage stratified cluster sample; 20 households per enumeration area; Cochran n0 approx 384 (95%, +/-5%) with finite-population correction, design effect 1.5 and 12% non-response inflation. Completed interviews range 570 (smallest counties) to 1,160 (Montserrado).</w:t>
      </w:r>
    </w:p>
    <w:p>
      <w:r>
        <w:rPr>
          <w:rFonts w:ascii="Arial" w:hAnsi="Arial"/>
          <w:b/>
          <w:i w:val="0"/>
          <w:color w:val="12263A"/>
          <w:sz w:val="20"/>
        </w:rPr>
        <w:t xml:space="preserve">Layer 2 — Field teams. </w:t>
      </w:r>
      <w:r>
        <w:rPr>
          <w:rFonts w:ascii="Arial" w:hAnsi="Arial"/>
          <w:b w:val="0"/>
          <w:i w:val="0"/>
          <w:sz w:val="20"/>
        </w:rPr>
        <w:t>Enumerators = completed / (6 per day x 15 days); 1 supervisor per 5 enumerators; 1 county research lead; 2-3 facility/KII collectors. 118 enumerators + 79 research cadre = 197 field staff.</w:t>
      </w:r>
    </w:p>
    <w:p>
      <w:r>
        <w:rPr>
          <w:rFonts w:ascii="Arial" w:hAnsi="Arial"/>
          <w:b/>
          <w:i w:val="0"/>
          <w:color w:val="12263A"/>
          <w:sz w:val="20"/>
        </w:rPr>
        <w:t xml:space="preserve">Layer 3 — Geography &amp; logistics. </w:t>
      </w:r>
      <w:r>
        <w:rPr>
          <w:rFonts w:ascii="Arial" w:hAnsi="Arial"/>
          <w:b w:val="0"/>
          <w:i w:val="0"/>
          <w:sz w:val="20"/>
        </w:rPr>
        <w:t>Urban and rural EAs per county proportional to urban share; teams based at county capitals; 4x4 access + travel days for the remote south-east and north-west; CAPI tablets with offline GPS-stamped capture.</w:t>
      </w:r>
    </w:p>
    <w:p>
      <w:r>
        <w:rPr>
          <w:rFonts w:ascii="Arial" w:hAnsi="Arial"/>
          <w:b/>
          <w:i w:val="0"/>
          <w:color w:val="12263A"/>
          <w:sz w:val="20"/>
        </w:rPr>
        <w:t xml:space="preserve">Layer 4 — Timeline. </w:t>
      </w:r>
      <w:r>
        <w:rPr>
          <w:rFonts w:ascii="Arial" w:hAnsi="Arial"/>
          <w:b w:val="0"/>
          <w:i w:val="0"/>
          <w:sz w:val="20"/>
        </w:rPr>
        <w:t>Counties run in parallel: 2 wk design, 2 wk instruments, 1 wk training, 3-day pilot, 3 wk fieldwork, 2 wk cleaning, 1 wk analysis + upload = approx. 11 weeks.</w:t>
      </w:r>
    </w:p>
    <w:p>
      <w:r>
        <w:rPr>
          <w:rFonts w:ascii="Arial" w:hAnsi="Arial"/>
          <w:b/>
          <w:i w:val="0"/>
          <w:color w:val="12263A"/>
          <w:sz w:val="20"/>
        </w:rPr>
        <w:t xml:space="preserve">Layer 5 — Instruments. </w:t>
      </w:r>
      <w:r>
        <w:rPr>
          <w:rFonts w:ascii="Arial" w:hAnsi="Arial"/>
          <w:b w:val="0"/>
          <w:i w:val="0"/>
          <w:sz w:val="20"/>
        </w:rPr>
        <w:t>Household ICT questionnaire (6 modules), school facility checklist, and tariff price sheet. Full household instrument below.</w:t>
      </w:r>
    </w:p>
    <w:p>
      <w:r>
        <w:rPr>
          <w:rFonts w:ascii="Arial" w:hAnsi="Arial"/>
          <w:b/>
          <w:i w:val="0"/>
          <w:color w:val="12263A"/>
          <w:sz w:val="20"/>
        </w:rPr>
        <w:t xml:space="preserve">Layer 6 — Field to platform. </w:t>
      </w:r>
      <w:r>
        <w:rPr>
          <w:rFonts w:ascii="Arial" w:hAnsi="Arial"/>
          <w:b w:val="0"/>
          <w:i w:val="0"/>
          <w:sz w:val="20"/>
        </w:rPr>
        <w:t>CAPI capture to weighting to county estimates to the bulk-upload CSV (indicator_code, county, year, value, source) to Content Studio to validation to review queue to live publish.</w:t>
      </w:r>
    </w:p>
    <w:p>
      <w:pPr>
        <w:spacing w:before="200" w:after="80"/>
      </w:pPr>
      <w:r>
        <w:rPr>
          <w:rFonts w:ascii="Arial" w:hAnsi="Arial"/>
          <w:b/>
          <w:i w:val="0"/>
          <w:color w:val="12263A"/>
          <w:sz w:val="28"/>
        </w:rPr>
        <w:t>County sampling &amp; field-team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512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County</w:t>
            </w:r>
          </w:p>
        </w:tc>
        <w:tc>
          <w:tcPr>
            <w:tcW w:type="dxa" w:w="893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Pop.</w:t>
            </w:r>
          </w:p>
        </w:tc>
        <w:tc>
          <w:tcPr>
            <w:tcW w:type="dxa" w:w="792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Urban</w:t>
            </w:r>
          </w:p>
        </w:tc>
        <w:tc>
          <w:tcPr>
            <w:tcW w:type="dxa" w:w="1123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Completed</w:t>
            </w:r>
          </w:p>
        </w:tc>
        <w:tc>
          <w:tcPr>
            <w:tcW w:type="dxa" w:w="864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Issued</w:t>
            </w:r>
          </w:p>
        </w:tc>
        <w:tc>
          <w:tcPr>
            <w:tcW w:type="dxa" w:w="720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EAs</w:t>
            </w:r>
          </w:p>
        </w:tc>
        <w:tc>
          <w:tcPr>
            <w:tcW w:type="dxa" w:w="792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Enum.</w:t>
            </w:r>
          </w:p>
        </w:tc>
        <w:tc>
          <w:tcPr>
            <w:tcW w:type="dxa" w:w="648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Sup.</w:t>
            </w:r>
          </w:p>
        </w:tc>
        <w:tc>
          <w:tcPr>
            <w:tcW w:type="dxa" w:w="648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Lead</w:t>
            </w:r>
          </w:p>
        </w:tc>
        <w:tc>
          <w:tcPr>
            <w:tcW w:type="dxa" w:w="648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KII</w:t>
            </w:r>
          </w:p>
        </w:tc>
        <w:tc>
          <w:tcPr>
            <w:tcW w:type="dxa" w:w="720"/>
            <w:shd w:val="clear" w:color="auto" w:fill="1E8A8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Team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Montserrado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1761k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85%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1160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1310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1512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Nimba</w:t>
            </w:r>
          </w:p>
        </w:tc>
        <w:tc>
          <w:tcPr>
            <w:tcW w:type="dxa" w:w="89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621k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24%</w:t>
            </w:r>
          </w:p>
        </w:tc>
        <w:tc>
          <w:tcPr>
            <w:tcW w:type="dxa" w:w="112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810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920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46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Bong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470k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28%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920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46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1512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Lofa</w:t>
            </w:r>
          </w:p>
        </w:tc>
        <w:tc>
          <w:tcPr>
            <w:tcW w:type="dxa" w:w="89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397k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112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690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790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40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Grand Bassa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288k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32%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690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790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40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1512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Margibi</w:t>
            </w:r>
          </w:p>
        </w:tc>
        <w:tc>
          <w:tcPr>
            <w:tcW w:type="dxa" w:w="89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280k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45%</w:t>
            </w:r>
          </w:p>
        </w:tc>
        <w:tc>
          <w:tcPr>
            <w:tcW w:type="dxa" w:w="112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690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790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40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Maryland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173k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28%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650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512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Grand Cape Mount</w:t>
            </w:r>
          </w:p>
        </w:tc>
        <w:tc>
          <w:tcPr>
            <w:tcW w:type="dxa" w:w="89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165k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18%</w:t>
            </w:r>
          </w:p>
        </w:tc>
        <w:tc>
          <w:tcPr>
            <w:tcW w:type="dxa" w:w="112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570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650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Grand Gedeh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156k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25%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650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512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Sinoe</w:t>
            </w:r>
          </w:p>
        </w:tc>
        <w:tc>
          <w:tcPr>
            <w:tcW w:type="dxa" w:w="89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125k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14%</w:t>
            </w:r>
          </w:p>
        </w:tc>
        <w:tc>
          <w:tcPr>
            <w:tcW w:type="dxa" w:w="112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570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650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Bomi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110k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30%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650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512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Gbarpolu</w:t>
            </w:r>
          </w:p>
        </w:tc>
        <w:tc>
          <w:tcPr>
            <w:tcW w:type="dxa" w:w="89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100k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12%</w:t>
            </w:r>
          </w:p>
        </w:tc>
        <w:tc>
          <w:tcPr>
            <w:tcW w:type="dxa" w:w="112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570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650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River Cess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96k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8%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650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512"/>
            <w:shd w:val="clear" w:color="auto" w:fill="F7F4EE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River Gee</w:t>
            </w:r>
          </w:p>
        </w:tc>
        <w:tc>
          <w:tcPr>
            <w:tcW w:type="dxa" w:w="89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89k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10%</w:t>
            </w:r>
          </w:p>
        </w:tc>
        <w:tc>
          <w:tcPr>
            <w:tcW w:type="dxa" w:w="1123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570</w:t>
            </w:r>
          </w:p>
        </w:tc>
        <w:tc>
          <w:tcPr>
            <w:tcW w:type="dxa" w:w="864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650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33</w:t>
            </w:r>
          </w:p>
        </w:tc>
        <w:tc>
          <w:tcPr>
            <w:tcW w:type="dxa" w:w="792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shd w:val="clear" w:color="auto" w:fill="F7F4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i w:val="0"/>
                <w:sz w:val="18"/>
              </w:rPr>
              <w:t>Grand Kru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78k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10%</w:t>
            </w:r>
          </w:p>
        </w:tc>
        <w:tc>
          <w:tcPr>
            <w:tcW w:type="dxa" w:w="112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640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1512"/>
            <w:shd w:val="clear" w:color="auto" w:fill="12263A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NATIONAL</w:t>
            </w:r>
          </w:p>
        </w:tc>
        <w:tc>
          <w:tcPr>
            <w:tcW w:type="dxa" w:w="893"/>
            <w:shd w:val="clear" w:color="auto" w:fill="12263A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4909k</w:t>
            </w:r>
          </w:p>
        </w:tc>
        <w:tc>
          <w:tcPr>
            <w:tcW w:type="dxa" w:w="792"/>
            <w:shd w:val="clear" w:color="auto" w:fill="12263A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-</w:t>
            </w:r>
          </w:p>
        </w:tc>
        <w:tc>
          <w:tcPr>
            <w:tcW w:type="dxa" w:w="1123"/>
            <w:shd w:val="clear" w:color="auto" w:fill="12263A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9980</w:t>
            </w:r>
          </w:p>
        </w:tc>
        <w:tc>
          <w:tcPr>
            <w:tcW w:type="dxa" w:w="864"/>
            <w:shd w:val="clear" w:color="auto" w:fill="12263A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11360</w:t>
            </w:r>
          </w:p>
        </w:tc>
        <w:tc>
          <w:tcPr>
            <w:tcW w:type="dxa" w:w="720"/>
            <w:shd w:val="clear" w:color="auto" w:fill="12263A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574</w:t>
            </w:r>
          </w:p>
        </w:tc>
        <w:tc>
          <w:tcPr>
            <w:tcW w:type="dxa" w:w="792"/>
            <w:shd w:val="clear" w:color="auto" w:fill="12263A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118</w:t>
            </w:r>
          </w:p>
        </w:tc>
        <w:tc>
          <w:tcPr>
            <w:tcW w:type="dxa" w:w="648"/>
            <w:shd w:val="clear" w:color="auto" w:fill="12263A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31</w:t>
            </w:r>
          </w:p>
        </w:tc>
        <w:tc>
          <w:tcPr>
            <w:tcW w:type="dxa" w:w="648"/>
            <w:shd w:val="clear" w:color="auto" w:fill="12263A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15</w:t>
            </w:r>
          </w:p>
        </w:tc>
        <w:tc>
          <w:tcPr>
            <w:tcW w:type="dxa" w:w="648"/>
            <w:shd w:val="clear" w:color="auto" w:fill="12263A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33</w:t>
            </w:r>
          </w:p>
        </w:tc>
        <w:tc>
          <w:tcPr>
            <w:tcW w:type="dxa" w:w="720"/>
            <w:shd w:val="clear" w:color="auto" w:fill="12263A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197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i w:val="0"/>
          <w:color w:val="12263A"/>
          <w:sz w:val="32"/>
        </w:rPr>
        <w:t>NICTD Household ICT Survey — Field Questionnaire</w:t>
      </w:r>
    </w:p>
    <w:p>
      <w:r>
        <w:rPr>
          <w:rFonts w:ascii="Arial" w:hAnsi="Arial"/>
          <w:b w:val="0"/>
          <w:i/>
          <w:color w:val="5C6B78"/>
          <w:sz w:val="19"/>
        </w:rPr>
        <w:t>CAPI instrument (tablet). Codes in [brackets] are stored values. Every question carries a "Don't know" [98] and "Refused" [99] option. One questionnaire per sampled household; Module D/E individual questions are asked of one randomly selected adult (18+), with E1 asked of one adult man and one adult woman where present.</w:t>
      </w:r>
    </w:p>
    <w:p>
      <w:pPr>
        <w:spacing w:before="240" w:after="80"/>
      </w:pPr>
      <w:r>
        <w:rPr>
          <w:rFonts w:ascii="Arial" w:hAnsi="Arial"/>
          <w:b/>
          <w:i w:val="0"/>
          <w:color w:val="1E8A8A"/>
          <w:sz w:val="24"/>
        </w:rPr>
        <w:t>Module A — Identification &amp; Consent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A1. </w:t>
      </w:r>
      <w:r>
        <w:rPr>
          <w:rFonts w:ascii="Arial" w:hAnsi="Arial"/>
          <w:b w:val="0"/>
          <w:i w:val="0"/>
          <w:sz w:val="20"/>
        </w:rPr>
        <w:t>County / District / Enumeration Area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[auto from sample frame]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A2. </w:t>
      </w:r>
      <w:r>
        <w:rPr>
          <w:rFonts w:ascii="Arial" w:hAnsi="Arial"/>
          <w:b w:val="0"/>
          <w:i w:val="0"/>
          <w:sz w:val="20"/>
        </w:rPr>
        <w:t>GPS coordinates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[auto-captured]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A3. </w:t>
      </w:r>
      <w:r>
        <w:rPr>
          <w:rFonts w:ascii="Arial" w:hAnsi="Arial"/>
          <w:b w:val="0"/>
          <w:i w:val="0"/>
          <w:sz w:val="20"/>
        </w:rPr>
        <w:t>Setting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Urban [1]   Rural [2]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A4. </w:t>
      </w:r>
      <w:r>
        <w:rPr>
          <w:rFonts w:ascii="Arial" w:hAnsi="Arial"/>
          <w:b w:val="0"/>
          <w:i w:val="0"/>
          <w:sz w:val="20"/>
        </w:rPr>
        <w:t>Read consent script. Does the respondent agree to participate?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Yes [1] -&gt; continue   No [2] -&gt; end &amp; replace household</w:t>
      </w:r>
    </w:p>
    <w:p>
      <w:pPr>
        <w:ind w:left="432"/>
      </w:pPr>
      <w:r>
        <w:rPr>
          <w:rFonts w:ascii="Arial" w:hAnsi="Arial"/>
          <w:b w:val="0"/>
          <w:i/>
          <w:color w:val="1E8A8A"/>
          <w:sz w:val="17"/>
        </w:rPr>
        <w:t>Consent script: voluntary, anonymous, aggregate statistics only, ~20 minutes, may stop anytime.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A5. </w:t>
      </w:r>
      <w:r>
        <w:rPr>
          <w:rFonts w:ascii="Arial" w:hAnsi="Arial"/>
          <w:b w:val="0"/>
          <w:i w:val="0"/>
          <w:sz w:val="20"/>
        </w:rPr>
        <w:t>Interviewer ID / Date / Start time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[auto]</w:t>
      </w:r>
    </w:p>
    <w:p>
      <w:pPr>
        <w:spacing w:before="240" w:after="80"/>
      </w:pPr>
      <w:r>
        <w:rPr>
          <w:rFonts w:ascii="Arial" w:hAnsi="Arial"/>
          <w:b/>
          <w:i w:val="0"/>
          <w:color w:val="1E8A8A"/>
          <w:sz w:val="24"/>
        </w:rPr>
        <w:t>Module B — Household Roster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B1. </w:t>
      </w:r>
      <w:r>
        <w:rPr>
          <w:rFonts w:ascii="Arial" w:hAnsi="Arial"/>
          <w:b w:val="0"/>
          <w:i w:val="0"/>
          <w:sz w:val="20"/>
        </w:rPr>
        <w:t>How many people usually live in this household?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[number]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B2. </w:t>
      </w:r>
      <w:r>
        <w:rPr>
          <w:rFonts w:ascii="Arial" w:hAnsi="Arial"/>
          <w:b w:val="0"/>
          <w:i w:val="0"/>
          <w:sz w:val="20"/>
        </w:rPr>
        <w:t>List each member: first name, age (years), sex (M[1]/F[2]), highest education completed.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[roster grid, one row per member]</w:t>
      </w:r>
    </w:p>
    <w:p>
      <w:pPr>
        <w:ind w:left="432"/>
      </w:pPr>
      <w:r>
        <w:rPr>
          <w:rFonts w:ascii="Arial" w:hAnsi="Arial"/>
          <w:b w:val="0"/>
          <w:i/>
          <w:color w:val="1E8A8A"/>
          <w:sz w:val="17"/>
        </w:rPr>
        <w:t>Roster drives age/sex weighting and identifies eligible adults (18+) and youth (15-24).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B3. </w:t>
      </w:r>
      <w:r>
        <w:rPr>
          <w:rFonts w:ascii="Arial" w:hAnsi="Arial"/>
          <w:b w:val="0"/>
          <w:i w:val="0"/>
          <w:sz w:val="20"/>
        </w:rPr>
        <w:t>Randomly select ONE adult (18+) for the individual modules.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[CAPI auto-selects via Kish grid]</w:t>
      </w:r>
    </w:p>
    <w:p>
      <w:pPr>
        <w:spacing w:before="240" w:after="80"/>
      </w:pPr>
      <w:r>
        <w:rPr>
          <w:rFonts w:ascii="Arial" w:hAnsi="Arial"/>
          <w:b/>
          <w:i w:val="0"/>
          <w:color w:val="1E8A8A"/>
          <w:sz w:val="24"/>
        </w:rPr>
        <w:t>Module C — Household ICT Assets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C1. </w:t>
      </w:r>
      <w:r>
        <w:rPr>
          <w:rFonts w:ascii="Arial" w:hAnsi="Arial"/>
          <w:b w:val="0"/>
          <w:i w:val="0"/>
          <w:sz w:val="20"/>
        </w:rPr>
        <w:t>Does anyone in this household own a working mobile phone?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Yes [1]   No [2] -&gt; skip to C3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C2. </w:t>
      </w:r>
      <w:r>
        <w:rPr>
          <w:rFonts w:ascii="Arial" w:hAnsi="Arial"/>
          <w:b w:val="0"/>
          <w:i w:val="0"/>
          <w:sz w:val="20"/>
        </w:rPr>
        <w:t>Is at least one of those phones a smartphone (can connect to the internet)?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Yes [1]   No [2]</w:t>
      </w:r>
    </w:p>
    <w:p>
      <w:pPr>
        <w:ind w:left="432"/>
      </w:pPr>
      <w:r>
        <w:rPr>
          <w:rFonts w:ascii="Arial" w:hAnsi="Arial"/>
          <w:b w:val="0"/>
          <w:i/>
          <w:color w:val="1E8A8A"/>
          <w:sz w:val="17"/>
        </w:rPr>
        <w:t>Produces: smartphone_ownership (share of adults; combined with roster).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C3. </w:t>
      </w:r>
      <w:r>
        <w:rPr>
          <w:rFonts w:ascii="Arial" w:hAnsi="Arial"/>
          <w:b w:val="0"/>
          <w:i w:val="0"/>
          <w:sz w:val="20"/>
        </w:rPr>
        <w:t>Does this household have any of the following at home?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Radio [a]   Television [b]   Computer/laptop/tablet [c]   Fixed internet connection [d]   None [e]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C4. </w:t>
      </w:r>
      <w:r>
        <w:rPr>
          <w:rFonts w:ascii="Arial" w:hAnsi="Arial"/>
          <w:b w:val="0"/>
          <w:i w:val="0"/>
          <w:sz w:val="20"/>
        </w:rPr>
        <w:t>What is the household's main source of electricity?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Grid [1]   Generator [2]   Solar [3]   None [4]</w:t>
      </w:r>
    </w:p>
    <w:p>
      <w:pPr>
        <w:spacing w:before="240" w:after="80"/>
      </w:pPr>
      <w:r>
        <w:rPr>
          <w:rFonts w:ascii="Arial" w:hAnsi="Arial"/>
          <w:b/>
          <w:i w:val="0"/>
          <w:color w:val="1E8A8A"/>
          <w:sz w:val="24"/>
        </w:rPr>
        <w:t>Module D — Individual Internet Use  (randomly selected adult)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D1. </w:t>
      </w:r>
      <w:r>
        <w:rPr>
          <w:rFonts w:ascii="Arial" w:hAnsi="Arial"/>
          <w:b w:val="0"/>
          <w:i w:val="0"/>
          <w:sz w:val="20"/>
        </w:rPr>
        <w:t>Have you personally used the internet in the last 3 months, from any device or location?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Yes [1]   No [2] -&gt; skip to D5   Don't know [98]</w:t>
      </w:r>
    </w:p>
    <w:p>
      <w:pPr>
        <w:ind w:left="432"/>
      </w:pPr>
      <w:r>
        <w:rPr>
          <w:rFonts w:ascii="Arial" w:hAnsi="Arial"/>
          <w:b w:val="0"/>
          <w:i/>
          <w:color w:val="1E8A8A"/>
          <w:sz w:val="17"/>
        </w:rPr>
        <w:t>Produces: internet_penetration, and — split by A3 setting — urban_connectivity / rural_connectivity.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D2. </w:t>
      </w:r>
      <w:r>
        <w:rPr>
          <w:rFonts w:ascii="Arial" w:hAnsi="Arial"/>
          <w:b w:val="0"/>
          <w:i w:val="0"/>
          <w:sz w:val="20"/>
        </w:rPr>
        <w:t>Where do you usually access the internet?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Home [a]   Mobile data anywhere [b]   Work [c]   School [d]   Public Wi-Fi [e]   Cyber cafe [f]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D3. </w:t>
      </w:r>
      <w:r>
        <w:rPr>
          <w:rFonts w:ascii="Arial" w:hAnsi="Arial"/>
          <w:b w:val="0"/>
          <w:i w:val="0"/>
          <w:sz w:val="20"/>
        </w:rPr>
        <w:t>How often do you use it?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Daily [1]   At least weekly [2]   At least monthly [3]   Less than monthly [4]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D4. </w:t>
      </w:r>
      <w:r>
        <w:rPr>
          <w:rFonts w:ascii="Arial" w:hAnsi="Arial"/>
          <w:b w:val="0"/>
          <w:i w:val="0"/>
          <w:sz w:val="20"/>
        </w:rPr>
        <w:t>What do you mainly use it for?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Calls/messaging [a]   Social media [b]   News/info [c]   Education [d]   Work/business [e]   Government services [f]   Money/payments [g]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D5. </w:t>
      </w:r>
      <w:r>
        <w:rPr>
          <w:rFonts w:ascii="Arial" w:hAnsi="Arial"/>
          <w:b w:val="0"/>
          <w:i w:val="0"/>
          <w:sz w:val="20"/>
        </w:rPr>
        <w:t>If not / rarely: what is the main barrier?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Too expensive [1]   No network [2]   No device [3]   No skills [4]   Not interested [5]   Safety concerns [6]</w:t>
      </w:r>
    </w:p>
    <w:p>
      <w:pPr>
        <w:spacing w:before="240" w:after="80"/>
      </w:pPr>
      <w:r>
        <w:rPr>
          <w:rFonts w:ascii="Arial" w:hAnsi="Arial"/>
          <w:b/>
          <w:i w:val="0"/>
          <w:color w:val="1E8A8A"/>
          <w:sz w:val="24"/>
        </w:rPr>
        <w:t>Module E — Gender &amp; Youth Module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E1. </w:t>
      </w:r>
      <w:r>
        <w:rPr>
          <w:rFonts w:ascii="Arial" w:hAnsi="Arial"/>
          <w:b w:val="0"/>
          <w:i w:val="0"/>
          <w:sz w:val="20"/>
        </w:rPr>
        <w:t>Ask ONE adult man and ONE adult woman in the household: Do you personally use the internet?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Man: Yes[1]/No[2]   Woman: Yes[1]/No[2]</w:t>
      </w:r>
    </w:p>
    <w:p>
      <w:pPr>
        <w:ind w:left="432"/>
      </w:pPr>
      <w:r>
        <w:rPr>
          <w:rFonts w:ascii="Arial" w:hAnsi="Arial"/>
          <w:b w:val="0"/>
          <w:i/>
          <w:color w:val="1E8A8A"/>
          <w:sz w:val="17"/>
        </w:rPr>
        <w:t>Produces: gender_access_gap (male use rate minus female use rate, in percentage points).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E2. </w:t>
      </w:r>
      <w:r>
        <w:rPr>
          <w:rFonts w:ascii="Arial" w:hAnsi="Arial"/>
          <w:b w:val="0"/>
          <w:i w:val="0"/>
          <w:sz w:val="20"/>
        </w:rPr>
        <w:t>For each household member aged 15-24: Have you used the internet in the last 3 months?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Yes [1]   No [2]   per youth member</w:t>
      </w:r>
    </w:p>
    <w:p>
      <w:pPr>
        <w:ind w:left="432"/>
      </w:pPr>
      <w:r>
        <w:rPr>
          <w:rFonts w:ascii="Arial" w:hAnsi="Arial"/>
          <w:b w:val="0"/>
          <w:i/>
          <w:color w:val="1E8A8A"/>
          <w:sz w:val="17"/>
        </w:rPr>
        <w:t>Produces: youth_access (internet use among 15-24 year-olds).</w:t>
      </w:r>
    </w:p>
    <w:p>
      <w:pPr>
        <w:spacing w:before="240" w:after="80"/>
      </w:pPr>
      <w:r>
        <w:rPr>
          <w:rFonts w:ascii="Arial" w:hAnsi="Arial"/>
          <w:b/>
          <w:i w:val="0"/>
          <w:color w:val="1E8A8A"/>
          <w:sz w:val="24"/>
        </w:rPr>
        <w:t>Module F — Affordability &amp; Income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F1. </w:t>
      </w:r>
      <w:r>
        <w:rPr>
          <w:rFonts w:ascii="Arial" w:hAnsi="Arial"/>
          <w:b w:val="0"/>
          <w:i w:val="0"/>
          <w:sz w:val="20"/>
        </w:rPr>
        <w:t>In a usual month, about how much does this household spend on mobile airtime and data together?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[amount LRD or USD]   None [0]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F2. </w:t>
      </w:r>
      <w:r>
        <w:rPr>
          <w:rFonts w:ascii="Arial" w:hAnsi="Arial"/>
          <w:b w:val="0"/>
          <w:i w:val="0"/>
          <w:sz w:val="20"/>
        </w:rPr>
        <w:t>In a usual month, about how much on any fixed home internet?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[amount]   None [0]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F3. </w:t>
      </w:r>
      <w:r>
        <w:rPr>
          <w:rFonts w:ascii="Arial" w:hAnsi="Arial"/>
          <w:b w:val="0"/>
          <w:i w:val="0"/>
          <w:sz w:val="20"/>
        </w:rPr>
        <w:t>Which band best describes this household's total monthly income?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Lowest 20% [1]   2nd [2]   Middle [3]   4th [4]   Highest 20% [5]   Refused [99]</w:t>
      </w:r>
    </w:p>
    <w:p>
      <w:pPr>
        <w:ind w:left="432"/>
      </w:pPr>
      <w:r>
        <w:rPr>
          <w:rFonts w:ascii="Arial" w:hAnsi="Arial"/>
          <w:b w:val="0"/>
          <w:i/>
          <w:color w:val="1E8A8A"/>
          <w:sz w:val="17"/>
        </w:rPr>
        <w:t>Produces: low_income_access (internet-use rate within band [1]); F1/F2 feed the affordability baskets alongside GNI per capita.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F4. </w:t>
      </w:r>
      <w:r>
        <w:rPr>
          <w:rFonts w:ascii="Arial" w:hAnsi="Arial"/>
          <w:b w:val="0"/>
          <w:i w:val="0"/>
          <w:sz w:val="20"/>
        </w:rPr>
        <w:t>Record end time. Thank the respondent.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[auto]</w:t>
      </w:r>
    </w:p>
    <w:p>
      <w:r>
        <w:br w:type="page"/>
      </w:r>
    </w:p>
    <w:p>
      <w:r>
        <w:rPr>
          <w:rFonts w:ascii="Arial" w:hAnsi="Arial"/>
          <w:b/>
          <w:i w:val="0"/>
          <w:color w:val="12263A"/>
          <w:sz w:val="32"/>
        </w:rPr>
        <w:t>Companion Instruments</w:t>
      </w:r>
    </w:p>
    <w:p>
      <w:pPr>
        <w:spacing w:before="200" w:after="80"/>
      </w:pPr>
      <w:r>
        <w:rPr>
          <w:rFonts w:ascii="Arial" w:hAnsi="Arial"/>
          <w:b/>
          <w:i w:val="0"/>
          <w:color w:val="1E8A8A"/>
          <w:sz w:val="24"/>
        </w:rPr>
        <w:t>School Facility Checklist (Key-Informant)</w:t>
      </w:r>
    </w:p>
    <w:p>
      <w:r>
        <w:rPr>
          <w:rFonts w:ascii="Arial" w:hAnsi="Arial"/>
          <w:b w:val="0"/>
          <w:i/>
          <w:color w:val="5C6B78"/>
          <w:sz w:val="19"/>
        </w:rPr>
        <w:t>Completed by a KII collector at each sampled school (EMIS frame). Produces school_connectivity and student_device_ratio.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S1. </w:t>
      </w:r>
      <w:r>
        <w:rPr>
          <w:rFonts w:ascii="Arial" w:hAnsi="Arial"/>
          <w:b w:val="0"/>
          <w:i w:val="0"/>
          <w:sz w:val="20"/>
        </w:rPr>
        <w:t>School name / EMIS code / county / setting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[from frame]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S2. </w:t>
      </w:r>
      <w:r>
        <w:rPr>
          <w:rFonts w:ascii="Arial" w:hAnsi="Arial"/>
          <w:b w:val="0"/>
          <w:i w:val="0"/>
          <w:sz w:val="20"/>
        </w:rPr>
        <w:t>Is there a working internet connection at the school today?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Yes [1]   Sometimes/unreliable [2]   No [3]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S3. </w:t>
      </w:r>
      <w:r>
        <w:rPr>
          <w:rFonts w:ascii="Arial" w:hAnsi="Arial"/>
          <w:b w:val="0"/>
          <w:i w:val="0"/>
          <w:sz w:val="20"/>
        </w:rPr>
        <w:t>Total enrolment (pupils)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[number]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S4. </w:t>
      </w:r>
      <w:r>
        <w:rPr>
          <w:rFonts w:ascii="Arial" w:hAnsi="Arial"/>
          <w:b w:val="0"/>
          <w:i w:val="0"/>
          <w:sz w:val="20"/>
        </w:rPr>
        <w:t>Number of internet-capable learning devices available to pupils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[number]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S5. </w:t>
      </w:r>
      <w:r>
        <w:rPr>
          <w:rFonts w:ascii="Arial" w:hAnsi="Arial"/>
          <w:b w:val="0"/>
          <w:i w:val="0"/>
          <w:sz w:val="20"/>
        </w:rPr>
        <w:t>Head-teacher: how is the connection used for teaching/administration?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[short text]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S6. </w:t>
      </w:r>
      <w:r>
        <w:rPr>
          <w:rFonts w:ascii="Arial" w:hAnsi="Arial"/>
          <w:b w:val="0"/>
          <w:i w:val="0"/>
          <w:sz w:val="20"/>
        </w:rPr>
        <w:t>Main barrier to connectivity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Cost [1]  No network [2]  No devices [3]  No power [4]  Other [5]</w:t>
      </w:r>
    </w:p>
    <w:p>
      <w:pPr>
        <w:spacing w:before="200" w:after="80"/>
      </w:pPr>
      <w:r>
        <w:rPr>
          <w:rFonts w:ascii="Arial" w:hAnsi="Arial"/>
          <w:b/>
          <w:i w:val="0"/>
          <w:color w:val="1E8A8A"/>
          <w:sz w:val="24"/>
        </w:rPr>
        <w:t>Tariff Price Sheet (Price Audit)</w:t>
      </w:r>
    </w:p>
    <w:p>
      <w:r>
        <w:rPr>
          <w:rFonts w:ascii="Arial" w:hAnsi="Arial"/>
          <w:b w:val="0"/>
          <w:i/>
          <w:color w:val="5C6B78"/>
          <w:sz w:val="19"/>
        </w:rPr>
        <w:t>Completed in each county capital from each operator/ISP shop. Feeds mobile_basket_price and broadband_basket_price (with GNI per capita).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P1. </w:t>
      </w:r>
      <w:r>
        <w:rPr>
          <w:rFonts w:ascii="Arial" w:hAnsi="Arial"/>
          <w:b w:val="0"/>
          <w:i w:val="0"/>
          <w:sz w:val="20"/>
        </w:rPr>
        <w:t>Operator / ISP name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[text]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P2. </w:t>
      </w:r>
      <w:r>
        <w:rPr>
          <w:rFonts w:ascii="Arial" w:hAnsi="Arial"/>
          <w:b w:val="0"/>
          <w:i w:val="0"/>
          <w:sz w:val="20"/>
        </w:rPr>
        <w:t>Cheapest entry-level mobile bundle meeting the standard basket (data + voice), monthly price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[amount]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P3. </w:t>
      </w:r>
      <w:r>
        <w:rPr>
          <w:rFonts w:ascii="Arial" w:hAnsi="Arial"/>
          <w:b w:val="0"/>
          <w:i w:val="0"/>
          <w:sz w:val="20"/>
        </w:rPr>
        <w:t>Cheapest entry-level fixed-broadband plan, monthly price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[amount]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P4. </w:t>
      </w:r>
      <w:r>
        <w:rPr>
          <w:rFonts w:ascii="Arial" w:hAnsi="Arial"/>
          <w:b w:val="0"/>
          <w:i w:val="0"/>
          <w:sz w:val="20"/>
        </w:rPr>
        <w:t>Data allowance / speed of the quoted plans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[GB / Mbps]</w:t>
      </w:r>
    </w:p>
    <w:p>
      <w:pPr>
        <w:spacing w:after="40"/>
      </w:pPr>
      <w:r>
        <w:rPr>
          <w:rFonts w:ascii="Arial" w:hAnsi="Arial"/>
          <w:b/>
          <w:i w:val="0"/>
          <w:color w:val="12263A"/>
          <w:sz w:val="20"/>
        </w:rPr>
        <w:t xml:space="preserve">P5. </w:t>
      </w:r>
      <w:r>
        <w:rPr>
          <w:rFonts w:ascii="Arial" w:hAnsi="Arial"/>
          <w:b w:val="0"/>
          <w:i w:val="0"/>
          <w:sz w:val="20"/>
        </w:rPr>
        <w:t>Date &amp; location of price capture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color w:val="5C6B78"/>
          <w:sz w:val="18"/>
        </w:rPr>
        <w:t>[auto]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