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2263A"/>
          <w:sz w:val="40"/>
        </w:rPr>
        <w:t>National ICT Database of Liberia (NICTD)</w:t>
      </w:r>
    </w:p>
    <w:p>
      <w:r>
        <w:rPr>
          <w:rFonts w:ascii="Arial" w:hAnsi="Arial"/>
          <w:color w:val="1E8A8A"/>
          <w:sz w:val="26"/>
        </w:rPr>
        <w:t>Indicator Catalogue &amp; Data Collection Guide</w:t>
      </w:r>
    </w:p>
    <w:p>
      <w:r>
        <w:rPr>
          <w:rFonts w:ascii="Arial" w:hAnsi="Arial"/>
          <w:color w:val="5C6B78"/>
          <w:sz w:val="19"/>
        </w:rPr>
        <w:t>30 indicators across 6 domains - each collected for all 15 counties as a yearly time series. Prepared for the ICT Statistics &amp; Policy Unit, Ministry of Posts &amp; Telecommunications.</w:t>
      </w:r>
    </w:p>
    <w:p>
      <w:r>
        <w:rPr>
          <w:rFonts w:ascii="Arial" w:hAnsi="Arial"/>
          <w:b/>
          <w:color w:val="12263A"/>
          <w:sz w:val="26"/>
        </w:rPr>
        <w:t>Table 1 - Indicator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00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736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2232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Indicator code</w:t>
            </w:r>
          </w:p>
        </w:tc>
        <w:tc>
          <w:tcPr>
            <w:tcW w:type="dxa" w:w="1728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1080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Connectivity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Internet penetration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internet_penetration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% of population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Connectivity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Mobile-cellular subscriptions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mobile_subscriptions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per 100 people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Connectivity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Active mobile-broadband subscriptions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mobile_broadband_subs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per 100 people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Connectivity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Fixed broadband subscriptions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fixed_broadband_subs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per 100 people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Connectivity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Urban connectivity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urban_connectivity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% of urban population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Connectivity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Rural connectivity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rural_connectivity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% of rural population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Connectivity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Gender access gap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gender_access_gap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percentage points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Connectivity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Youth access (15-24)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youth_access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% of age group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registered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Access &amp; Infrastructure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Cell tower density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cell_towers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towers per 1,000 km2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Access &amp; Infrastructure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Population covered by 4G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mobile_network_coverage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% of population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Access &amp; Infrastructure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Fiber backbone coverage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fiber_coverage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% of districts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Access &amp; Infrastructure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Fixed broadband access points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broadband_points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access points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Access &amp; Infrastructure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Schools connected to the internet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school_connectivity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% of schools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registered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Access &amp; Infrastructure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Students per learning device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student_device_ratio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students per device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registered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Affordability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Mobile data-and-voice basket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mobile_basket_price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% of GNI per capita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Affordability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Fixed-broadband basket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broadband_basket_price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% of GNI per capita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Affordability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Smartphone ownership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smartphone_ownership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% of adults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Affordability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Average data consumption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data_consumption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GB / user / month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registered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Affordability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Access - lowest income band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low_income_access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% of band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stakeholder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Market 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Registered ICT businesses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ict_businesses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businesses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Market 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ICT sector employment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ict_employment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jobs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registered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Market 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ICT sector investment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sector_investment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US$ millions / yr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stakeholder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Market Structure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Registered mobile money accounts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mobile_money_accounts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per 100 adults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Digital Trust &amp; Governance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Data protection framework score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data_protection_index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index (0-100)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Digital Trust &amp; Governance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Digital ID coverage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digital_id_coverage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% of adults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Digital Trust &amp; Governance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E-government services score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egov_services_index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index (0-100)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registered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8"/>
              </w:rPr>
              <w:t>Digital Trust &amp; Governance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Cybersecurity incidents reported</w:t>
            </w:r>
          </w:p>
        </w:tc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cyber_incidents_reported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incidents / yr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stakeholder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Sustainability / E-Waste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E-waste generated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ewaste_generated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kg per capita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Sustainability / E-Waste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E-waste formally collected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ewaste_collection_rate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% of e-waste generated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</w:tr>
      <w:tr>
        <w:tc>
          <w:tcPr>
            <w:tcW w:type="dxa" w:w="1800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Sustainability / E-Waste</w:t>
            </w:r>
          </w:p>
        </w:tc>
        <w:tc>
          <w:tcPr>
            <w:tcW w:type="dxa" w:w="2736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ICT sector renewable electricity</w:t>
            </w:r>
          </w:p>
        </w:tc>
        <w:tc>
          <w:tcPr>
            <w:tcW w:type="dxa" w:w="2232"/>
            <w:shd w:val="clear" w:color="auto" w:fill="F7F4EE"/>
          </w:tcPr>
          <w:p>
            <w:r/>
            <w:r>
              <w:rPr>
                <w:rFonts w:ascii="Arial" w:hAnsi="Arial"/>
                <w:b w:val="0"/>
                <w:color w:val="1E8A8A"/>
                <w:sz w:val="18"/>
              </w:rPr>
              <w:t>ict_renewable_energy</w:t>
            </w:r>
          </w:p>
        </w:tc>
        <w:tc>
          <w:tcPr>
            <w:tcW w:type="dxa" w:w="1728"/>
            <w:shd w:val="clear" w:color="auto" w:fill="F7F4EE"/>
          </w:tcPr>
          <w:p>
            <w:r/>
            <w:r>
              <w:rPr>
                <w:rFonts w:ascii="Arial" w:hAnsi="Arial"/>
                <w:b w:val="0"/>
                <w:sz w:val="18"/>
              </w:rPr>
              <w:t>% of ICT electricity use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registered</w:t>
            </w:r>
          </w:p>
        </w:tc>
      </w:tr>
    </w:tbl>
    <w:p/>
    <w:p>
      <w:r>
        <w:rPr>
          <w:rFonts w:ascii="Arial" w:hAnsi="Arial"/>
          <w:b/>
          <w:color w:val="12263A"/>
          <w:sz w:val="26"/>
        </w:rPr>
        <w:t>Table 2 - Data Collection Guide</w:t>
      </w:r>
    </w:p>
    <w:p>
      <w:r>
        <w:rPr>
          <w:rFonts w:ascii="Arial" w:hAnsi="Arial"/>
          <w:color w:val="5C6B78"/>
          <w:sz w:val="19"/>
        </w:rPr>
        <w:t>Each indicator mapped to its source agency, ingestion channel, reporting frequency and collection method.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32"/>
            <w:shd w:val="clear" w:color="auto" w:fill="1E8A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1944"/>
            <w:shd w:val="clear" w:color="auto" w:fill="1E8A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Source agency</w:t>
            </w:r>
          </w:p>
        </w:tc>
        <w:tc>
          <w:tcPr>
            <w:tcW w:type="dxa" w:w="1296"/>
            <w:shd w:val="clear" w:color="auto" w:fill="1E8A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936"/>
            <w:shd w:val="clear" w:color="auto" w:fill="1E8A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Freq.</w:t>
            </w:r>
          </w:p>
        </w:tc>
        <w:tc>
          <w:tcPr>
            <w:tcW w:type="dxa" w:w="3168"/>
            <w:shd w:val="clear" w:color="auto" w:fill="1E8A8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How to collect</w:t>
            </w:r>
          </w:p>
        </w:tc>
      </w:tr>
      <w:tr>
        <w:tc>
          <w:tcPr>
            <w:tcW w:type="dxa" w:w="3168"/>
            <w:gridSpan w:val="5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Connectivity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Internet penetration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LISGIS / LTA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Survey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National household ICT survey - individuals using the internet in the last 3 months, per county.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Mobile-cellular subscriptions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(operator returns)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Operator feed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Active mobile-cellular SIM counts from operators, normalized per 100 inhabitants.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Active mobile-broadband subscriptions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(operator returns)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Operator feed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Active 3G+ data subscriptions from operators, per 100 inhabitants.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Fixed broadband subscriptions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/ ISPs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Operator feed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Fixed (wired) broadband subscriber counts filed by ISPs, per 100 inhabitants.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Urban connectivity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LISGIS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Survey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Household survey, urban enumeration areas - share with regular internet access.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Rural connectivity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LISGIS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Survey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Household survey, rural enumeration areas - share with regular internet access.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Gender access gap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LISGIS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Survey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Household survey - male minus female internet-use rate (percentage points).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Youth access (15-24)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LISGIS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Survey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Household survey, ages 15-24 - internet use in the age group.</w:t>
            </w:r>
          </w:p>
        </w:tc>
      </w:tr>
      <w:tr>
        <w:tc>
          <w:tcPr>
            <w:tcW w:type="dxa" w:w="3168"/>
            <w:gridSpan w:val="5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Access &amp; Infrastructure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Cell tower density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site registry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Operator feed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Active macro cell sites from the site registry, divided by county land area (per 1,000 km2).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Population covered by 4G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/ operators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Operator feed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Operator 4G coverage-engineering polygons overlaid on the population grid; share of population covered.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Fiber backbone coverage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/ MoPT backbone unit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Backbone route survey - share of administrative districts within 10 km of the fiber backbone.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Fixed broadband access points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/ ISPs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Operator feed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Registered fixed broadband access points (ISP POPs, public access sites) - absolute count per county.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Schools connected to the internet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Ministry of Education (EMIS)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EMIS school census - share of primary/secondary schools with a working internet connection.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Students per learning device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Ministry of Education (EMIS)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School census - enrolment divided by internet-capable learning devices, in connected schools.</w:t>
            </w:r>
          </w:p>
        </w:tc>
      </w:tr>
      <w:tr>
        <w:tc>
          <w:tcPr>
            <w:tcW w:type="dxa" w:w="3168"/>
            <w:gridSpan w:val="5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Affordability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Mobile data-and-voice basket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tariffs + LISGIS income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Priced entry-level mobile data-and-voice basket as a % of GNI per capita (county income from survey).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Fixed-broadband basket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tariffs + LISGIS income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Priced entry-level fixed-broadband basket as a % of GNI per capita.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Smartphone ownership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LISGIS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Survey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Household survey device-ownership module - adults owning an internet-capable smartphone.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Average data consumption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LTA / operators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Operator feed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Aggregate mobile data traffic divided by active data subscribers (GB per user per month).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Access - lowest income band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LISGIS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Survey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Household survey - internet use within the lowest household-income quintile.</w:t>
            </w:r>
          </w:p>
        </w:tc>
      </w:tr>
      <w:tr>
        <w:tc>
          <w:tcPr>
            <w:tcW w:type="dxa" w:w="3168"/>
            <w:gridSpan w:val="5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Market Structure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Registered ICT businesses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MoPT / business registry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National business registry filtered to ICT-sector businesses - absolute count per county.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ICT sector employment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MoPT / sector returns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Formal employment reported by registered ICT businesses - job counts per county.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ICT sector investment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MoPT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Disclosed annual public + private ICT investment (US$ millions).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Registered mobile money accounts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Central Bank of Liberia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Registered mobile-money accounts from CBL reporting, per 100 adults.</w:t>
            </w:r>
          </w:p>
        </w:tc>
      </w:tr>
      <w:tr>
        <w:tc>
          <w:tcPr>
            <w:tcW w:type="dxa" w:w="3168"/>
            <w:gridSpan w:val="5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Digital Trust &amp; Governance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Data protection framework score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ICT Statistics &amp; Policy Unit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Annual expert scoring (0-100) of data-protection laws and institutional capacity in force. National figure applied to counties.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Digital ID coverage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National ID authority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Registered digital/national IDs usable online, divided by adult population.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E-government services score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ICT Statistics &amp; Policy Unit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Structured audit (0-100) of government services available online. National figure applied to counties.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Cybersecurity incidents reported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National CERT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Cybersecurity incidents formally reported to the national CERT (count per year).</w:t>
            </w:r>
          </w:p>
        </w:tc>
      </w:tr>
      <w:tr>
        <w:tc>
          <w:tcPr>
            <w:tcW w:type="dxa" w:w="3168"/>
            <w:gridSpan w:val="5"/>
            <w:shd w:val="clear" w:color="auto" w:fill="12263A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Sustainability / E-Waste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E-waste generated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EPA / MoPT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Device import/take-back registry modelled to kg of e-waste generated per capita.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E-waste formally collected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EPA / registered recyclers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Biennial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Formally collected/recycled e-waste tonnage divided by e-waste generated (%).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Arial" w:hAnsi="Arial"/>
                <w:b w:val="0"/>
                <w:sz w:val="18"/>
              </w:rPr>
              <w:t>ICT sector renewable electricity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EPA + operators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Manual upload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Annual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Share of ICT-sector electricity consumption sourced from renewables (%).</w:t>
            </w:r>
          </w:p>
        </w:tc>
      </w:tr>
    </w:tbl>
    <w:p/>
    <w:p>
      <w:r>
        <w:rPr>
          <w:rFonts w:ascii="Arial" w:hAnsi="Arial"/>
          <w:b/>
          <w:color w:val="12263A"/>
          <w:sz w:val="26"/>
        </w:rPr>
        <w:t>How the data is collected</w:t>
      </w:r>
    </w:p>
    <w:p>
      <w:r>
        <w:rPr>
          <w:rFonts w:ascii="Arial" w:hAnsi="Arial"/>
          <w:b/>
          <w:color w:val="12263A"/>
          <w:sz w:val="20"/>
        </w:rPr>
        <w:t xml:space="preserve">Three ingestion channels. </w:t>
      </w:r>
      <w:r>
        <w:rPr>
          <w:rFonts w:ascii="Arial" w:hAnsi="Arial"/>
          <w:sz w:val="20"/>
        </w:rPr>
        <w:t>Survey (national household ICT survey via LISGIS) for demand-side indicators; Operator feed (periodic returns from operators and ISPs via the LTA) for supply-side indicators; Manual upload (admin CSV in the Content Studio) for agency registers and index scores.</w:t>
      </w:r>
    </w:p>
    <w:p>
      <w:r>
        <w:rPr>
          <w:rFonts w:ascii="Arial" w:hAnsi="Arial"/>
          <w:b/>
          <w:color w:val="12263A"/>
          <w:sz w:val="20"/>
        </w:rPr>
        <w:t xml:space="preserve">Pipeline. </w:t>
      </w:r>
      <w:r>
        <w:rPr>
          <w:rFonts w:ascii="Arial" w:hAnsi="Arial"/>
          <w:sz w:val="20"/>
        </w:rPr>
        <w:t>Every value flows Collect -&gt; Validate (automatic range/type checks) -&gt; Human review (admin approve/reject in the quality queue) -&gt; Publish. No figure reaches the public front end without passing validation and review.</w:t>
      </w:r>
    </w:p>
    <w:p>
      <w:r>
        <w:rPr>
          <w:rFonts w:ascii="Arial" w:hAnsi="Arial"/>
          <w:b/>
          <w:color w:val="12263A"/>
          <w:sz w:val="20"/>
        </w:rPr>
        <w:t xml:space="preserve">Upload format. </w:t>
      </w:r>
      <w:r>
        <w:rPr>
          <w:rFonts w:ascii="Arial" w:hAnsi="Arial"/>
          <w:sz w:val="20"/>
        </w:rPr>
        <w:t>The bulk uploader expects exactly five columns: indicator_code, county, year, value, source. Use the county name as listed, or 'National' for the country-level figure.</w:t>
      </w:r>
    </w:p>
    <w:p>
      <w:r>
        <w:rPr>
          <w:rFonts w:ascii="Arial" w:hAnsi="Arial"/>
          <w:b/>
          <w:color w:val="12263A"/>
          <w:sz w:val="20"/>
        </w:rPr>
        <w:t xml:space="preserve">Current status. </w:t>
      </w:r>
      <w:r>
        <w:rPr>
          <w:rFonts w:ascii="Arial" w:hAnsi="Arial"/>
          <w:sz w:val="20"/>
        </w:rPr>
        <w:t>All values in the platform are demonstration data. This catalogue is the plan to replace them, indicator by indicator, with real agency returns through the three channels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