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4FEC7" w14:textId="77777777" w:rsidR="004A2711" w:rsidRPr="004A2711" w:rsidRDefault="004A2711" w:rsidP="004A2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2711">
        <w:rPr>
          <w:rFonts w:ascii="Times New Roman" w:eastAsia="Times New Roman" w:hAnsi="Times New Roman" w:cs="Times New Roman"/>
          <w:b/>
          <w:bCs/>
          <w:kern w:val="36"/>
          <w:sz w:val="48"/>
          <w:szCs w:val="48"/>
        </w:rPr>
        <w:t>ASA DATA QUEST 2026</w:t>
      </w:r>
    </w:p>
    <w:p w14:paraId="25FEE459" w14:textId="77777777" w:rsidR="004A2711" w:rsidRPr="004A2711" w:rsidRDefault="004A2711" w:rsidP="004A2711">
      <w:pPr>
        <w:spacing w:before="100" w:beforeAutospacing="1" w:after="100" w:afterAutospacing="1" w:line="240" w:lineRule="auto"/>
        <w:outlineLvl w:val="1"/>
        <w:rPr>
          <w:rFonts w:ascii="Times New Roman" w:eastAsia="Times New Roman" w:hAnsi="Times New Roman" w:cs="Times New Roman"/>
          <w:b/>
          <w:bCs/>
          <w:sz w:val="36"/>
          <w:szCs w:val="36"/>
        </w:rPr>
      </w:pPr>
      <w:r w:rsidRPr="004A2711">
        <w:rPr>
          <w:rFonts w:ascii="Times New Roman" w:eastAsia="Times New Roman" w:hAnsi="Times New Roman" w:cs="Times New Roman"/>
          <w:b/>
          <w:bCs/>
          <w:sz w:val="36"/>
          <w:szCs w:val="36"/>
        </w:rPr>
        <w:t>The Silver Tsunami: Unearthing the Demographic Forces Shaping Global Population Ageing</w:t>
      </w:r>
    </w:p>
    <w:p w14:paraId="3E8AEBD2"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Subtitle:</w:t>
      </w:r>
      <w:r w:rsidRPr="004A2711">
        <w:rPr>
          <w:rFonts w:ascii="Times New Roman" w:eastAsia="Times New Roman" w:hAnsi="Times New Roman" w:cs="Times New Roman"/>
          <w:sz w:val="24"/>
          <w:szCs w:val="24"/>
        </w:rPr>
        <w:t xml:space="preserve"> A Cross-National Statistical Analysis of Fertility, Longevity, Migration and Population Ageing, 2000–2050</w:t>
      </w:r>
    </w:p>
    <w:p w14:paraId="7285A7AF" w14:textId="77777777" w:rsidR="004A2711" w:rsidRPr="004A2711" w:rsidRDefault="004A2711" w:rsidP="004A2711">
      <w:pPr>
        <w:spacing w:before="100" w:beforeAutospacing="1" w:after="100" w:afterAutospacing="1" w:line="240" w:lineRule="auto"/>
        <w:outlineLvl w:val="2"/>
        <w:rPr>
          <w:rFonts w:ascii="Times New Roman" w:eastAsia="Times New Roman" w:hAnsi="Times New Roman" w:cs="Times New Roman"/>
          <w:b/>
          <w:bCs/>
          <w:sz w:val="27"/>
          <w:szCs w:val="27"/>
        </w:rPr>
      </w:pPr>
      <w:r w:rsidRPr="004A2711">
        <w:rPr>
          <w:rFonts w:ascii="Times New Roman" w:eastAsia="Times New Roman" w:hAnsi="Times New Roman" w:cs="Times New Roman"/>
          <w:b/>
          <w:bCs/>
          <w:sz w:val="27"/>
          <w:szCs w:val="27"/>
        </w:rPr>
        <w:t>1. Project Overview</w:t>
      </w:r>
    </w:p>
    <w:p w14:paraId="0C7EE0F5"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 xml:space="preserve">This study investigates global population ageing, focusing on how fertility, life expectancy and net migration are associated with differences in population age structures across countries. It seeks to identify distinct demographic </w:t>
      </w:r>
      <w:proofErr w:type="gramStart"/>
      <w:r w:rsidRPr="004A2711">
        <w:rPr>
          <w:rFonts w:ascii="Times New Roman" w:eastAsia="Times New Roman" w:hAnsi="Times New Roman" w:cs="Times New Roman"/>
          <w:sz w:val="24"/>
          <w:szCs w:val="24"/>
        </w:rPr>
        <w:t>profiles,</w:t>
      </w:r>
      <w:proofErr w:type="gramEnd"/>
      <w:r w:rsidRPr="004A2711">
        <w:rPr>
          <w:rFonts w:ascii="Times New Roman" w:eastAsia="Times New Roman" w:hAnsi="Times New Roman" w:cs="Times New Roman"/>
          <w:sz w:val="24"/>
          <w:szCs w:val="24"/>
        </w:rPr>
        <w:t xml:space="preserve"> examine how they have evolved historically and assess their projected changes through 2050.</w:t>
      </w:r>
    </w:p>
    <w:p w14:paraId="7A88DE8F"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 xml:space="preserve">The central research question is: </w:t>
      </w:r>
      <w:r w:rsidRPr="004A2711">
        <w:rPr>
          <w:rFonts w:ascii="Times New Roman" w:eastAsia="Times New Roman" w:hAnsi="Times New Roman" w:cs="Times New Roman"/>
          <w:b/>
          <w:bCs/>
          <w:sz w:val="24"/>
          <w:szCs w:val="24"/>
        </w:rPr>
        <w:t>How do countries with different demographic starting conditions experience population ageing, and what roles do fertility, longevity and migration play in their demographic transitions?</w:t>
      </w:r>
    </w:p>
    <w:p w14:paraId="6FCEFFB2" w14:textId="77777777" w:rsidR="004A2711" w:rsidRPr="004A2711" w:rsidRDefault="004A2711" w:rsidP="004A2711">
      <w:pPr>
        <w:spacing w:before="100" w:beforeAutospacing="1" w:after="100" w:afterAutospacing="1" w:line="240" w:lineRule="auto"/>
        <w:outlineLvl w:val="2"/>
        <w:rPr>
          <w:rFonts w:ascii="Times New Roman" w:eastAsia="Times New Roman" w:hAnsi="Times New Roman" w:cs="Times New Roman"/>
          <w:b/>
          <w:bCs/>
          <w:sz w:val="27"/>
          <w:szCs w:val="27"/>
        </w:rPr>
      </w:pPr>
      <w:r w:rsidRPr="004A2711">
        <w:rPr>
          <w:rFonts w:ascii="Times New Roman" w:eastAsia="Times New Roman" w:hAnsi="Times New Roman" w:cs="Times New Roman"/>
          <w:b/>
          <w:bCs/>
          <w:sz w:val="27"/>
          <w:szCs w:val="27"/>
        </w:rPr>
        <w:t>2. Dataset</w:t>
      </w:r>
    </w:p>
    <w:p w14:paraId="7334314B"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 xml:space="preserve">The study uses the </w:t>
      </w:r>
      <w:r w:rsidRPr="004A2711">
        <w:rPr>
          <w:rFonts w:ascii="Times New Roman" w:eastAsia="Times New Roman" w:hAnsi="Times New Roman" w:cs="Times New Roman"/>
          <w:b/>
          <w:bCs/>
          <w:sz w:val="24"/>
          <w:szCs w:val="24"/>
        </w:rPr>
        <w:t>United Nations World Population Prospects (WPP) 2024</w:t>
      </w:r>
      <w:r w:rsidRPr="004A2711">
        <w:rPr>
          <w:rFonts w:ascii="Times New Roman" w:eastAsia="Times New Roman" w:hAnsi="Times New Roman" w:cs="Times New Roman"/>
          <w:sz w:val="24"/>
          <w:szCs w:val="24"/>
        </w:rPr>
        <w:t xml:space="preserve">, provided for the ASA </w:t>
      </w:r>
      <w:proofErr w:type="spellStart"/>
      <w:r w:rsidRPr="004A2711">
        <w:rPr>
          <w:rFonts w:ascii="Times New Roman" w:eastAsia="Times New Roman" w:hAnsi="Times New Roman" w:cs="Times New Roman"/>
          <w:sz w:val="24"/>
          <w:szCs w:val="24"/>
        </w:rPr>
        <w:t>DataQuest</w:t>
      </w:r>
      <w:proofErr w:type="spellEnd"/>
      <w:r w:rsidRPr="004A2711">
        <w:rPr>
          <w:rFonts w:ascii="Times New Roman" w:eastAsia="Times New Roman" w:hAnsi="Times New Roman" w:cs="Times New Roman"/>
          <w:sz w:val="24"/>
          <w:szCs w:val="24"/>
        </w:rPr>
        <w:t xml:space="preserve"> competition.</w:t>
      </w:r>
    </w:p>
    <w:p w14:paraId="3453FE29"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Coverage:</w:t>
      </w:r>
      <w:r w:rsidRPr="004A2711">
        <w:rPr>
          <w:rFonts w:ascii="Times New Roman" w:eastAsia="Times New Roman" w:hAnsi="Times New Roman" w:cs="Times New Roman"/>
          <w:sz w:val="24"/>
          <w:szCs w:val="24"/>
        </w:rPr>
        <w:t xml:space="preserve"> 237 countries and areas, with 35,787 annual observations spanning 1950–2100.</w:t>
      </w:r>
    </w:p>
    <w:p w14:paraId="154A44BD"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Historical analysis:</w:t>
      </w:r>
      <w:r w:rsidRPr="004A2711">
        <w:rPr>
          <w:rFonts w:ascii="Times New Roman" w:eastAsia="Times New Roman" w:hAnsi="Times New Roman" w:cs="Times New Roman"/>
          <w:sz w:val="24"/>
          <w:szCs w:val="24"/>
        </w:rPr>
        <w:t xml:space="preserve"> 2000–2023.</w:t>
      </w:r>
    </w:p>
    <w:p w14:paraId="5D3BB1F8"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Future projections:</w:t>
      </w:r>
      <w:r w:rsidRPr="004A2711">
        <w:rPr>
          <w:rFonts w:ascii="Times New Roman" w:eastAsia="Times New Roman" w:hAnsi="Times New Roman" w:cs="Times New Roman"/>
          <w:sz w:val="24"/>
          <w:szCs w:val="24"/>
        </w:rPr>
        <w:t xml:space="preserve"> 2024–2050.</w:t>
      </w:r>
    </w:p>
    <w:p w14:paraId="5627507B"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Principal ageing indicator:</w:t>
      </w:r>
      <w:r w:rsidRPr="004A2711">
        <w:rPr>
          <w:rFonts w:ascii="Times New Roman" w:eastAsia="Times New Roman" w:hAnsi="Times New Roman" w:cs="Times New Roman"/>
          <w:sz w:val="24"/>
          <w:szCs w:val="24"/>
        </w:rPr>
        <w:t xml:space="preserve"> Median population age.</w:t>
      </w:r>
    </w:p>
    <w:p w14:paraId="3D477346"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Explanatory indicators:</w:t>
      </w:r>
      <w:r w:rsidRPr="004A2711">
        <w:rPr>
          <w:rFonts w:ascii="Times New Roman" w:eastAsia="Times New Roman" w:hAnsi="Times New Roman" w:cs="Times New Roman"/>
          <w:sz w:val="24"/>
          <w:szCs w:val="24"/>
        </w:rPr>
        <w:t xml:space="preserve"> Total fertility rate, life expectancy at birth and net migration rate.</w:t>
      </w:r>
    </w:p>
    <w:p w14:paraId="791E102E" w14:textId="77777777" w:rsidR="004A2711" w:rsidRPr="004A2711" w:rsidRDefault="004A2711" w:rsidP="004A2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Software:</w:t>
      </w:r>
      <w:r w:rsidRPr="004A2711">
        <w:rPr>
          <w:rFonts w:ascii="Times New Roman" w:eastAsia="Times New Roman" w:hAnsi="Times New Roman" w:cs="Times New Roman"/>
          <w:sz w:val="24"/>
          <w:szCs w:val="24"/>
        </w:rPr>
        <w:t xml:space="preserve"> RStudio.</w:t>
      </w:r>
    </w:p>
    <w:p w14:paraId="115FA70E"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The year 2000 serves as the baseline for classifying countries according to their initial demographic characteristics.</w:t>
      </w:r>
    </w:p>
    <w:p w14:paraId="1D987EC2" w14:textId="77777777" w:rsidR="004A2711" w:rsidRPr="004A2711" w:rsidRDefault="004A2711" w:rsidP="004A2711">
      <w:pPr>
        <w:spacing w:before="100" w:beforeAutospacing="1" w:after="100" w:afterAutospacing="1" w:line="240" w:lineRule="auto"/>
        <w:outlineLvl w:val="2"/>
        <w:rPr>
          <w:rFonts w:ascii="Times New Roman" w:eastAsia="Times New Roman" w:hAnsi="Times New Roman" w:cs="Times New Roman"/>
          <w:b/>
          <w:bCs/>
          <w:sz w:val="27"/>
          <w:szCs w:val="27"/>
        </w:rPr>
      </w:pPr>
      <w:r w:rsidRPr="004A2711">
        <w:rPr>
          <w:rFonts w:ascii="Times New Roman" w:eastAsia="Times New Roman" w:hAnsi="Times New Roman" w:cs="Times New Roman"/>
          <w:b/>
          <w:bCs/>
          <w:sz w:val="27"/>
          <w:szCs w:val="27"/>
        </w:rPr>
        <w:t>3. Statistical Analyses Completed</w:t>
      </w:r>
    </w:p>
    <w:p w14:paraId="7E439491"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Data preparation and exploratory analysis:</w:t>
      </w:r>
      <w:r w:rsidRPr="004A2711">
        <w:rPr>
          <w:rFonts w:ascii="Times New Roman" w:eastAsia="Times New Roman" w:hAnsi="Times New Roman" w:cs="Times New Roman"/>
          <w:sz w:val="24"/>
          <w:szCs w:val="24"/>
        </w:rPr>
        <w:t xml:space="preserve"> Prepared the country-level dataset, examined summary statistics and investigated relationships among demographic indicators. Median age and fertility exhibited a strong negative correlation (r = −0.840), while median age and life expectancy were positively correlated (r = 0.763).</w:t>
      </w:r>
    </w:p>
    <w:p w14:paraId="01A77272"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lastRenderedPageBreak/>
        <w:t>Migration diagnostics:</w:t>
      </w:r>
      <w:r w:rsidRPr="004A2711">
        <w:rPr>
          <w:rFonts w:ascii="Times New Roman" w:eastAsia="Times New Roman" w:hAnsi="Times New Roman" w:cs="Times New Roman"/>
          <w:sz w:val="24"/>
          <w:szCs w:val="24"/>
        </w:rPr>
        <w:t xml:space="preserve"> Identified extreme migration observations and evaluated an inverse hyperbolic sine transformation. Three clustering specifications were compared: without migration, with original migration and with transformed migration. The specification without migration produced better average cluster separation at the selected three-cluster solution.</w:t>
      </w:r>
    </w:p>
    <w:p w14:paraId="0FDE24F5"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K-Means clustering:</w:t>
      </w:r>
      <w:r w:rsidRPr="004A2711">
        <w:rPr>
          <w:rFonts w:ascii="Times New Roman" w:eastAsia="Times New Roman" w:hAnsi="Times New Roman" w:cs="Times New Roman"/>
          <w:sz w:val="24"/>
          <w:szCs w:val="24"/>
        </w:rPr>
        <w:t xml:space="preserve"> </w:t>
      </w:r>
      <w:proofErr w:type="spellStart"/>
      <w:r w:rsidRPr="004A2711">
        <w:rPr>
          <w:rFonts w:ascii="Times New Roman" w:eastAsia="Times New Roman" w:hAnsi="Times New Roman" w:cs="Times New Roman"/>
          <w:sz w:val="24"/>
          <w:szCs w:val="24"/>
        </w:rPr>
        <w:t>Standardised</w:t>
      </w:r>
      <w:proofErr w:type="spellEnd"/>
      <w:r w:rsidRPr="004A2711">
        <w:rPr>
          <w:rFonts w:ascii="Times New Roman" w:eastAsia="Times New Roman" w:hAnsi="Times New Roman" w:cs="Times New Roman"/>
          <w:sz w:val="24"/>
          <w:szCs w:val="24"/>
        </w:rPr>
        <w:t xml:space="preserve"> the demographic indicators and applied K-Means using median age, fertility and life expectancy. The Elbow and Silhouette methods were used to evaluate cluster numbers. Although two clusters achieved the highest silhouette score (0.5308), three clusters (0.4865) were provisionally selected for their additional demographic interpretability.</w:t>
      </w:r>
    </w:p>
    <w:p w14:paraId="583C7E8E"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Cluster stability:</w:t>
      </w:r>
      <w:r w:rsidRPr="004A2711">
        <w:rPr>
          <w:rFonts w:ascii="Times New Roman" w:eastAsia="Times New Roman" w:hAnsi="Times New Roman" w:cs="Times New Roman"/>
          <w:sz w:val="24"/>
          <w:szCs w:val="24"/>
        </w:rPr>
        <w:t xml:space="preserve"> Repeated K-Means across 100 random </w:t>
      </w:r>
      <w:proofErr w:type="spellStart"/>
      <w:r w:rsidRPr="004A2711">
        <w:rPr>
          <w:rFonts w:ascii="Times New Roman" w:eastAsia="Times New Roman" w:hAnsi="Times New Roman" w:cs="Times New Roman"/>
          <w:sz w:val="24"/>
          <w:szCs w:val="24"/>
        </w:rPr>
        <w:t>initialisations</w:t>
      </w:r>
      <w:proofErr w:type="spellEnd"/>
      <w:r w:rsidRPr="004A2711">
        <w:rPr>
          <w:rFonts w:ascii="Times New Roman" w:eastAsia="Times New Roman" w:hAnsi="Times New Roman" w:cs="Times New Roman"/>
          <w:sz w:val="24"/>
          <w:szCs w:val="24"/>
        </w:rPr>
        <w:t>. The mean Adjusted Rand Index of 0.9995 indicated highly reproducible cluster assignments.</w:t>
      </w:r>
    </w:p>
    <w:p w14:paraId="23CFF1BB" w14:textId="77777777" w:rsidR="004A2711" w:rsidRPr="004A2711" w:rsidRDefault="004A2711" w:rsidP="004A2711">
      <w:pPr>
        <w:spacing w:before="100" w:beforeAutospacing="1" w:after="100" w:afterAutospacing="1" w:line="240" w:lineRule="auto"/>
        <w:outlineLvl w:val="2"/>
        <w:rPr>
          <w:rFonts w:ascii="Times New Roman" w:eastAsia="Times New Roman" w:hAnsi="Times New Roman" w:cs="Times New Roman"/>
          <w:b/>
          <w:bCs/>
          <w:sz w:val="27"/>
          <w:szCs w:val="27"/>
        </w:rPr>
      </w:pPr>
      <w:r w:rsidRPr="004A2711">
        <w:rPr>
          <w:rFonts w:ascii="Times New Roman" w:eastAsia="Times New Roman" w:hAnsi="Times New Roman" w:cs="Times New Roman"/>
          <w:b/>
          <w:bCs/>
          <w:sz w:val="27"/>
          <w:szCs w:val="27"/>
        </w:rPr>
        <w:t>4. Preliminary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1687"/>
        <w:gridCol w:w="1667"/>
        <w:gridCol w:w="1353"/>
        <w:gridCol w:w="2033"/>
      </w:tblGrid>
      <w:tr w:rsidR="004A2711" w:rsidRPr="004A2711" w14:paraId="603542AC" w14:textId="77777777" w:rsidTr="004A2711">
        <w:trPr>
          <w:tblCellSpacing w:w="15" w:type="dxa"/>
        </w:trPr>
        <w:tc>
          <w:tcPr>
            <w:tcW w:w="0" w:type="auto"/>
            <w:vAlign w:val="center"/>
            <w:hideMark/>
          </w:tcPr>
          <w:p w14:paraId="7B795085" w14:textId="77777777" w:rsidR="004A2711" w:rsidRPr="004A2711" w:rsidRDefault="004A2711" w:rsidP="004A2711">
            <w:pPr>
              <w:spacing w:after="0" w:line="240" w:lineRule="auto"/>
              <w:jc w:val="center"/>
              <w:rPr>
                <w:rFonts w:ascii="Times New Roman" w:eastAsia="Times New Roman" w:hAnsi="Times New Roman" w:cs="Times New Roman"/>
                <w:b/>
                <w:bCs/>
                <w:sz w:val="24"/>
                <w:szCs w:val="24"/>
              </w:rPr>
            </w:pPr>
            <w:r w:rsidRPr="004A2711">
              <w:rPr>
                <w:rFonts w:ascii="Times New Roman" w:eastAsia="Times New Roman" w:hAnsi="Times New Roman" w:cs="Times New Roman"/>
                <w:b/>
                <w:bCs/>
                <w:sz w:val="24"/>
                <w:szCs w:val="24"/>
              </w:rPr>
              <w:t>Demographic profile (2000)</w:t>
            </w:r>
          </w:p>
        </w:tc>
        <w:tc>
          <w:tcPr>
            <w:tcW w:w="0" w:type="auto"/>
            <w:vAlign w:val="center"/>
            <w:hideMark/>
          </w:tcPr>
          <w:p w14:paraId="78130A5B" w14:textId="77777777" w:rsidR="004A2711" w:rsidRPr="004A2711" w:rsidRDefault="004A2711" w:rsidP="004A2711">
            <w:pPr>
              <w:spacing w:after="0" w:line="240" w:lineRule="auto"/>
              <w:jc w:val="center"/>
              <w:rPr>
                <w:rFonts w:ascii="Times New Roman" w:eastAsia="Times New Roman" w:hAnsi="Times New Roman" w:cs="Times New Roman"/>
                <w:b/>
                <w:bCs/>
                <w:sz w:val="24"/>
                <w:szCs w:val="24"/>
              </w:rPr>
            </w:pPr>
            <w:r w:rsidRPr="004A2711">
              <w:rPr>
                <w:rFonts w:ascii="Times New Roman" w:eastAsia="Times New Roman" w:hAnsi="Times New Roman" w:cs="Times New Roman"/>
                <w:b/>
                <w:bCs/>
                <w:sz w:val="24"/>
                <w:szCs w:val="24"/>
              </w:rPr>
              <w:t>Countries/areas</w:t>
            </w:r>
          </w:p>
        </w:tc>
        <w:tc>
          <w:tcPr>
            <w:tcW w:w="0" w:type="auto"/>
            <w:vAlign w:val="center"/>
            <w:hideMark/>
          </w:tcPr>
          <w:p w14:paraId="0D8131A2" w14:textId="77777777" w:rsidR="004A2711" w:rsidRPr="004A2711" w:rsidRDefault="004A2711" w:rsidP="004A2711">
            <w:pPr>
              <w:spacing w:after="0" w:line="240" w:lineRule="auto"/>
              <w:jc w:val="center"/>
              <w:rPr>
                <w:rFonts w:ascii="Times New Roman" w:eastAsia="Times New Roman" w:hAnsi="Times New Roman" w:cs="Times New Roman"/>
                <w:b/>
                <w:bCs/>
                <w:sz w:val="24"/>
                <w:szCs w:val="24"/>
              </w:rPr>
            </w:pPr>
            <w:r w:rsidRPr="004A2711">
              <w:rPr>
                <w:rFonts w:ascii="Times New Roman" w:eastAsia="Times New Roman" w:hAnsi="Times New Roman" w:cs="Times New Roman"/>
                <w:b/>
                <w:bCs/>
                <w:sz w:val="24"/>
                <w:szCs w:val="24"/>
              </w:rPr>
              <w:t>Mean median age</w:t>
            </w:r>
          </w:p>
        </w:tc>
        <w:tc>
          <w:tcPr>
            <w:tcW w:w="0" w:type="auto"/>
            <w:vAlign w:val="center"/>
            <w:hideMark/>
          </w:tcPr>
          <w:p w14:paraId="3059CEF9" w14:textId="77777777" w:rsidR="004A2711" w:rsidRPr="004A2711" w:rsidRDefault="004A2711" w:rsidP="004A2711">
            <w:pPr>
              <w:spacing w:after="0" w:line="240" w:lineRule="auto"/>
              <w:jc w:val="center"/>
              <w:rPr>
                <w:rFonts w:ascii="Times New Roman" w:eastAsia="Times New Roman" w:hAnsi="Times New Roman" w:cs="Times New Roman"/>
                <w:b/>
                <w:bCs/>
                <w:sz w:val="24"/>
                <w:szCs w:val="24"/>
              </w:rPr>
            </w:pPr>
            <w:r w:rsidRPr="004A2711">
              <w:rPr>
                <w:rFonts w:ascii="Times New Roman" w:eastAsia="Times New Roman" w:hAnsi="Times New Roman" w:cs="Times New Roman"/>
                <w:b/>
                <w:bCs/>
                <w:sz w:val="24"/>
                <w:szCs w:val="24"/>
              </w:rPr>
              <w:t>Mean fertility</w:t>
            </w:r>
          </w:p>
        </w:tc>
        <w:tc>
          <w:tcPr>
            <w:tcW w:w="0" w:type="auto"/>
            <w:vAlign w:val="center"/>
            <w:hideMark/>
          </w:tcPr>
          <w:p w14:paraId="0065E600" w14:textId="77777777" w:rsidR="004A2711" w:rsidRPr="004A2711" w:rsidRDefault="004A2711" w:rsidP="004A2711">
            <w:pPr>
              <w:spacing w:after="0" w:line="240" w:lineRule="auto"/>
              <w:jc w:val="center"/>
              <w:rPr>
                <w:rFonts w:ascii="Times New Roman" w:eastAsia="Times New Roman" w:hAnsi="Times New Roman" w:cs="Times New Roman"/>
                <w:b/>
                <w:bCs/>
                <w:sz w:val="24"/>
                <w:szCs w:val="24"/>
              </w:rPr>
            </w:pPr>
            <w:r w:rsidRPr="004A2711">
              <w:rPr>
                <w:rFonts w:ascii="Times New Roman" w:eastAsia="Times New Roman" w:hAnsi="Times New Roman" w:cs="Times New Roman"/>
                <w:b/>
                <w:bCs/>
                <w:sz w:val="24"/>
                <w:szCs w:val="24"/>
              </w:rPr>
              <w:t>Mean life expectancy</w:t>
            </w:r>
          </w:p>
        </w:tc>
      </w:tr>
      <w:tr w:rsidR="004A2711" w:rsidRPr="004A2711" w14:paraId="3FD566AE" w14:textId="77777777" w:rsidTr="004A2711">
        <w:trPr>
          <w:tblCellSpacing w:w="15" w:type="dxa"/>
        </w:trPr>
        <w:tc>
          <w:tcPr>
            <w:tcW w:w="0" w:type="auto"/>
            <w:vAlign w:val="center"/>
            <w:hideMark/>
          </w:tcPr>
          <w:p w14:paraId="764BB4EC"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Youthful, high-fertility</w:t>
            </w:r>
          </w:p>
        </w:tc>
        <w:tc>
          <w:tcPr>
            <w:tcW w:w="0" w:type="auto"/>
            <w:vAlign w:val="center"/>
            <w:hideMark/>
          </w:tcPr>
          <w:p w14:paraId="5168B44D"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54</w:t>
            </w:r>
          </w:p>
        </w:tc>
        <w:tc>
          <w:tcPr>
            <w:tcW w:w="0" w:type="auto"/>
            <w:vAlign w:val="center"/>
            <w:hideMark/>
          </w:tcPr>
          <w:p w14:paraId="38D9BD79"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16.4</w:t>
            </w:r>
          </w:p>
        </w:tc>
        <w:tc>
          <w:tcPr>
            <w:tcW w:w="0" w:type="auto"/>
            <w:vAlign w:val="center"/>
            <w:hideMark/>
          </w:tcPr>
          <w:p w14:paraId="14469A16"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5.64</w:t>
            </w:r>
          </w:p>
        </w:tc>
        <w:tc>
          <w:tcPr>
            <w:tcW w:w="0" w:type="auto"/>
            <w:vAlign w:val="center"/>
            <w:hideMark/>
          </w:tcPr>
          <w:p w14:paraId="7391EA46"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53.7</w:t>
            </w:r>
          </w:p>
        </w:tc>
      </w:tr>
      <w:tr w:rsidR="004A2711" w:rsidRPr="004A2711" w14:paraId="43F151DA" w14:textId="77777777" w:rsidTr="004A2711">
        <w:trPr>
          <w:tblCellSpacing w:w="15" w:type="dxa"/>
        </w:trPr>
        <w:tc>
          <w:tcPr>
            <w:tcW w:w="0" w:type="auto"/>
            <w:vAlign w:val="center"/>
            <w:hideMark/>
          </w:tcPr>
          <w:p w14:paraId="78D106BC"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Intermediate</w:t>
            </w:r>
          </w:p>
        </w:tc>
        <w:tc>
          <w:tcPr>
            <w:tcW w:w="0" w:type="auto"/>
            <w:vAlign w:val="center"/>
            <w:hideMark/>
          </w:tcPr>
          <w:p w14:paraId="05FC5F39"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87</w:t>
            </w:r>
          </w:p>
        </w:tc>
        <w:tc>
          <w:tcPr>
            <w:tcW w:w="0" w:type="auto"/>
            <w:vAlign w:val="center"/>
            <w:hideMark/>
          </w:tcPr>
          <w:p w14:paraId="3DDDCA2D"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21.6</w:t>
            </w:r>
          </w:p>
        </w:tc>
        <w:tc>
          <w:tcPr>
            <w:tcW w:w="0" w:type="auto"/>
            <w:vAlign w:val="center"/>
            <w:hideMark/>
          </w:tcPr>
          <w:p w14:paraId="00A1EA3B"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3.07</w:t>
            </w:r>
          </w:p>
        </w:tc>
        <w:tc>
          <w:tcPr>
            <w:tcW w:w="0" w:type="auto"/>
            <w:vAlign w:val="center"/>
            <w:hideMark/>
          </w:tcPr>
          <w:p w14:paraId="5EA390A7"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69.0</w:t>
            </w:r>
          </w:p>
        </w:tc>
      </w:tr>
      <w:tr w:rsidR="004A2711" w:rsidRPr="004A2711" w14:paraId="4984665C" w14:textId="77777777" w:rsidTr="004A2711">
        <w:trPr>
          <w:tblCellSpacing w:w="15" w:type="dxa"/>
        </w:trPr>
        <w:tc>
          <w:tcPr>
            <w:tcW w:w="0" w:type="auto"/>
            <w:vAlign w:val="center"/>
            <w:hideMark/>
          </w:tcPr>
          <w:p w14:paraId="1BDDEED1"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Older, low-fertility</w:t>
            </w:r>
          </w:p>
        </w:tc>
        <w:tc>
          <w:tcPr>
            <w:tcW w:w="0" w:type="auto"/>
            <w:vAlign w:val="center"/>
            <w:hideMark/>
          </w:tcPr>
          <w:p w14:paraId="2C1F7A81"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96</w:t>
            </w:r>
          </w:p>
        </w:tc>
        <w:tc>
          <w:tcPr>
            <w:tcW w:w="0" w:type="auto"/>
            <w:vAlign w:val="center"/>
            <w:hideMark/>
          </w:tcPr>
          <w:p w14:paraId="4EAB71A4"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34.0</w:t>
            </w:r>
          </w:p>
        </w:tc>
        <w:tc>
          <w:tcPr>
            <w:tcW w:w="0" w:type="auto"/>
            <w:vAlign w:val="center"/>
            <w:hideMark/>
          </w:tcPr>
          <w:p w14:paraId="2233850F"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1.71</w:t>
            </w:r>
          </w:p>
        </w:tc>
        <w:tc>
          <w:tcPr>
            <w:tcW w:w="0" w:type="auto"/>
            <w:vAlign w:val="center"/>
            <w:hideMark/>
          </w:tcPr>
          <w:p w14:paraId="2D845A2E" w14:textId="77777777" w:rsidR="004A2711" w:rsidRPr="004A2711" w:rsidRDefault="004A2711" w:rsidP="004A2711">
            <w:pPr>
              <w:spacing w:after="0"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75.5</w:t>
            </w:r>
          </w:p>
        </w:tc>
      </w:tr>
    </w:tbl>
    <w:p w14:paraId="7757B47B"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The clusters reveal pronounced geographical differences. Approximately 78% of African countries/areas belonged to the youthful cluster, whereas 96% of European countries/areas belonged to the older cluster. Asia, Latin America and Oceania exhibited more varied demographic profiles.</w:t>
      </w:r>
    </w:p>
    <w:p w14:paraId="7AB3C373"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sz w:val="24"/>
          <w:szCs w:val="24"/>
        </w:rPr>
        <w:t>These findings describe demographic conditions in 2000; they do not yet establish the causes or speed of subsequent population ageing.</w:t>
      </w:r>
    </w:p>
    <w:p w14:paraId="5D5DFADA" w14:textId="77777777" w:rsidR="004A2711" w:rsidRPr="004A2711" w:rsidRDefault="004A2711" w:rsidP="004A2711">
      <w:pPr>
        <w:spacing w:before="100" w:beforeAutospacing="1" w:after="100" w:afterAutospacing="1" w:line="240" w:lineRule="auto"/>
        <w:outlineLvl w:val="2"/>
        <w:rPr>
          <w:rFonts w:ascii="Times New Roman" w:eastAsia="Times New Roman" w:hAnsi="Times New Roman" w:cs="Times New Roman"/>
          <w:b/>
          <w:bCs/>
          <w:sz w:val="27"/>
          <w:szCs w:val="27"/>
        </w:rPr>
      </w:pPr>
      <w:r w:rsidRPr="004A2711">
        <w:rPr>
          <w:rFonts w:ascii="Times New Roman" w:eastAsia="Times New Roman" w:hAnsi="Times New Roman" w:cs="Times New Roman"/>
          <w:b/>
          <w:bCs/>
          <w:sz w:val="27"/>
          <w:szCs w:val="27"/>
        </w:rPr>
        <w:t>5. Pending Analyses</w:t>
      </w:r>
    </w:p>
    <w:p w14:paraId="796D6292"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Historical demographic trends (2000–2023):</w:t>
      </w:r>
      <w:r w:rsidRPr="004A2711">
        <w:rPr>
          <w:rFonts w:ascii="Times New Roman" w:eastAsia="Times New Roman" w:hAnsi="Times New Roman" w:cs="Times New Roman"/>
          <w:sz w:val="24"/>
          <w:szCs w:val="24"/>
        </w:rPr>
        <w:t xml:space="preserve"> Examine changes in median age, fertility, longevity and migration across the three baseline clusters, including differences in the pace of population ageing.</w:t>
      </w:r>
    </w:p>
    <w:p w14:paraId="746B7206"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Panel regression:</w:t>
      </w:r>
      <w:r w:rsidRPr="004A2711">
        <w:rPr>
          <w:rFonts w:ascii="Times New Roman" w:eastAsia="Times New Roman" w:hAnsi="Times New Roman" w:cs="Times New Roman"/>
          <w:sz w:val="24"/>
          <w:szCs w:val="24"/>
        </w:rPr>
        <w:t xml:space="preserve"> Estimate associations between population ageing and fertility, life expectancy and migration, including whether these associations differ across demographic groups. Model assumptions and diagnostic tests will be evaluated.</w:t>
      </w:r>
    </w:p>
    <w:p w14:paraId="59023B1A"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Future demographic projections (2024–2050):</w:t>
      </w:r>
      <w:r w:rsidRPr="004A2711">
        <w:rPr>
          <w:rFonts w:ascii="Times New Roman" w:eastAsia="Times New Roman" w:hAnsi="Times New Roman" w:cs="Times New Roman"/>
          <w:sz w:val="24"/>
          <w:szCs w:val="24"/>
        </w:rPr>
        <w:t xml:space="preserve"> </w:t>
      </w:r>
      <w:proofErr w:type="spellStart"/>
      <w:r w:rsidRPr="004A2711">
        <w:rPr>
          <w:rFonts w:ascii="Times New Roman" w:eastAsia="Times New Roman" w:hAnsi="Times New Roman" w:cs="Times New Roman"/>
          <w:sz w:val="24"/>
          <w:szCs w:val="24"/>
        </w:rPr>
        <w:t>Analyse</w:t>
      </w:r>
      <w:proofErr w:type="spellEnd"/>
      <w:r w:rsidRPr="004A2711">
        <w:rPr>
          <w:rFonts w:ascii="Times New Roman" w:eastAsia="Times New Roman" w:hAnsi="Times New Roman" w:cs="Times New Roman"/>
          <w:sz w:val="24"/>
          <w:szCs w:val="24"/>
        </w:rPr>
        <w:t xml:space="preserve"> projected median-age trajectories and investigate whether demographic differences between the baseline clusters are expected to narrow or widen.</w:t>
      </w:r>
    </w:p>
    <w:p w14:paraId="45A23614"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lastRenderedPageBreak/>
        <w:t>Final interpretation and presentation:</w:t>
      </w:r>
      <w:r w:rsidRPr="004A2711">
        <w:rPr>
          <w:rFonts w:ascii="Times New Roman" w:eastAsia="Times New Roman" w:hAnsi="Times New Roman" w:cs="Times New Roman"/>
          <w:sz w:val="24"/>
          <w:szCs w:val="24"/>
        </w:rPr>
        <w:t xml:space="preserve"> Integrate the findings into an evidence-based narrative highlighting demographic transitions, regional differences and relevant policy implications for the five-minute ASA </w:t>
      </w:r>
      <w:proofErr w:type="spellStart"/>
      <w:r w:rsidRPr="004A2711">
        <w:rPr>
          <w:rFonts w:ascii="Times New Roman" w:eastAsia="Times New Roman" w:hAnsi="Times New Roman" w:cs="Times New Roman"/>
          <w:sz w:val="24"/>
          <w:szCs w:val="24"/>
        </w:rPr>
        <w:t>DataQuest</w:t>
      </w:r>
      <w:proofErr w:type="spellEnd"/>
      <w:r w:rsidRPr="004A2711">
        <w:rPr>
          <w:rFonts w:ascii="Times New Roman" w:eastAsia="Times New Roman" w:hAnsi="Times New Roman" w:cs="Times New Roman"/>
          <w:sz w:val="24"/>
          <w:szCs w:val="24"/>
        </w:rPr>
        <w:t xml:space="preserve"> presentation.</w:t>
      </w:r>
    </w:p>
    <w:p w14:paraId="7B016ABD" w14:textId="77777777" w:rsidR="004A2711" w:rsidRPr="004A2711" w:rsidRDefault="004A2711" w:rsidP="004A2711">
      <w:pPr>
        <w:spacing w:before="100" w:beforeAutospacing="1" w:after="100" w:afterAutospacing="1" w:line="240" w:lineRule="auto"/>
        <w:rPr>
          <w:rFonts w:ascii="Times New Roman" w:eastAsia="Times New Roman" w:hAnsi="Times New Roman" w:cs="Times New Roman"/>
          <w:sz w:val="24"/>
          <w:szCs w:val="24"/>
        </w:rPr>
      </w:pPr>
      <w:r w:rsidRPr="004A2711">
        <w:rPr>
          <w:rFonts w:ascii="Times New Roman" w:eastAsia="Times New Roman" w:hAnsi="Times New Roman" w:cs="Times New Roman"/>
          <w:b/>
          <w:bCs/>
          <w:sz w:val="24"/>
          <w:szCs w:val="24"/>
        </w:rPr>
        <w:t>Current status:</w:t>
      </w:r>
      <w:r w:rsidRPr="004A2711">
        <w:rPr>
          <w:rFonts w:ascii="Times New Roman" w:eastAsia="Times New Roman" w:hAnsi="Times New Roman" w:cs="Times New Roman"/>
          <w:sz w:val="24"/>
          <w:szCs w:val="24"/>
        </w:rPr>
        <w:t xml:space="preserve"> Initial demographic clustering and validation completed; historical analysis, regression modelling and future projection analysis pending.</w:t>
      </w:r>
    </w:p>
    <w:p w14:paraId="32D9251D" w14:textId="77777777" w:rsidR="004A2711" w:rsidRDefault="004A2711"/>
    <w:sectPr w:rsidR="004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528D1"/>
    <w:multiLevelType w:val="multilevel"/>
    <w:tmpl w:val="142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11"/>
    <w:rsid w:val="004A2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7A08"/>
  <w15:chartTrackingRefBased/>
  <w15:docId w15:val="{412647D7-1856-414D-BC88-DDE680F6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27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27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27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7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27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27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27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7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8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uthman</dc:creator>
  <cp:keywords/>
  <dc:description/>
  <cp:lastModifiedBy>uthman</cp:lastModifiedBy>
  <cp:revision>1</cp:revision>
  <dcterms:created xsi:type="dcterms:W3CDTF">2026-10-20T08:38:00Z</dcterms:created>
  <dcterms:modified xsi:type="dcterms:W3CDTF">2026-10-20T08:42:00Z</dcterms:modified>
</cp:coreProperties>
</file>