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40" w:type="dxa"/>
              <w:left w:w="280" w:type="dxa"/>
              <w:bottom w:w="240" w:type="dxa"/>
              <w:right w:w="2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📊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 Annotations — Rapport de Synthèse</w:t>
            </w:r>
          </w:p>
          <w:p w:rsidR="000B0399" w:rsidRDefault="00587CC1">
            <w:pPr>
              <w:spacing w:before="80"/>
              <w:jc w:val="center"/>
            </w:pPr>
            <w:r>
              <w:rPr>
                <w:color w:val="AEB6BF"/>
              </w:rPr>
              <w:t>Partie 4 : Génération de Données Synthétiques  |  PFE · Churn Detection · Tunisie Télécom</w:t>
            </w:r>
          </w:p>
          <w:p w:rsidR="000B0399" w:rsidRDefault="00587CC1">
            <w:pPr>
              <w:spacing w:before="60"/>
              <w:jc w:val="center"/>
            </w:pPr>
            <w:r>
              <w:rPr>
                <w:i/>
                <w:iCs/>
                <w:color w:val="7F8C8D"/>
                <w:sz w:val="17"/>
                <w:szCs w:val="17"/>
              </w:rPr>
              <w:t>Document d'encadrement — Licence Business Computing · FSEGN</w:t>
            </w:r>
          </w:p>
        </w:tc>
      </w:tr>
    </w:tbl>
    <w:p w:rsidR="000B0399" w:rsidRDefault="000B0399">
      <w:pPr>
        <w:spacing w:before="50" w:after="50"/>
      </w:pPr>
    </w:p>
    <w:p w:rsidR="000B0399" w:rsidRDefault="00587CC1">
      <w:pPr>
        <w:spacing w:before="60" w:after="60"/>
      </w:pPr>
      <w:r>
        <w:rPr>
          <w:color w:val="2C2C2C"/>
        </w:rPr>
        <w:t>Ce document analyse le rapport de synthèse de la Partie 4 du PFE portant sur la génération de données synthétiques via SDV. L'évaluation couvre cinq dimensions : la cohérence méthodologique du pipeline, la rigueur statistique des analyses, les incohérences</w:t>
      </w:r>
      <w:r>
        <w:rPr>
          <w:color w:val="2C2C2C"/>
        </w:rPr>
        <w:t xml:space="preserve"> détectées, les modifications requises, et la feuille de route pour les étapes suivantes.</w:t>
      </w:r>
    </w:p>
    <w:p w:rsidR="000B0399" w:rsidRDefault="000B0399">
      <w:pPr>
        <w:spacing w:before="50" w:after="50"/>
      </w:pPr>
    </w:p>
    <w:p w:rsidR="000B0399" w:rsidRDefault="00587CC1">
      <w:pPr>
        <w:pStyle w:val="Titre1"/>
      </w:pPr>
      <w:r>
        <w:t>1.  Tableau de synthèse globale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38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399" w:rsidRDefault="00587CC1">
            <w:r>
              <w:rPr>
                <w:b/>
                <w:bCs/>
                <w:color w:val="FFFFFF"/>
                <w:sz w:val="18"/>
                <w:szCs w:val="18"/>
              </w:rPr>
              <w:t>Élément évalué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399" w:rsidRDefault="00587CC1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0399" w:rsidRDefault="00587CC1">
            <w:r>
              <w:rPr>
                <w:b/>
                <w:bCs/>
                <w:color w:val="FFFFFF"/>
                <w:sz w:val="18"/>
                <w:szCs w:val="18"/>
              </w:rPr>
              <w:t>Commentaire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Pipeline en 4 étapes (génération → SDV → correction → biais)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17A65"/>
                <w:sz w:val="17"/>
                <w:szCs w:val="17"/>
              </w:rPr>
              <w:t>🟩</w:t>
            </w:r>
            <w:r>
              <w:rPr>
                <w:b/>
                <w:bCs/>
                <w:color w:val="117A65"/>
                <w:sz w:val="17"/>
                <w:szCs w:val="17"/>
              </w:rPr>
              <w:t xml:space="preserve"> Excellent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Architecture claire et reproductible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Fidélité SDV : 8/9 métriques &lt; 20% d'écart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✅</w:t>
            </w:r>
            <w:r>
              <w:rPr>
                <w:b/>
                <w:bCs/>
                <w:color w:val="1A7A4A"/>
                <w:sz w:val="17"/>
                <w:szCs w:val="17"/>
              </w:rPr>
              <w:t xml:space="preserve"> Solide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Validation statistique bien menée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Taux de churn après biais : 31.3% vs cible 27.7%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🔴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Critique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Dérive non corrigée de +3.6 pts — dataset non conforme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Signal Faible → churn 14.3% (moins que la moyenne)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⚠</w:t>
            </w:r>
            <w:r>
              <w:rPr>
                <w:b/>
                <w:bCs/>
                <w:color w:val="C0392B"/>
                <w:sz w:val="17"/>
                <w:szCs w:val="17"/>
              </w:rPr>
              <w:t>️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Incohérence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Contradiction avec le biais n°3 injecté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Forfait Illimité SDV : écart 22% (hors tolérance)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💡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À corriger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Seule métrique hors seuil, non corrigée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Questions métier Q1–Q5 : structure pertinente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✅</w:t>
            </w:r>
            <w:r>
              <w:rPr>
                <w:b/>
                <w:bCs/>
                <w:color w:val="1A7A4A"/>
                <w:sz w:val="17"/>
                <w:szCs w:val="17"/>
              </w:rPr>
              <w:t xml:space="preserve"> Solide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Bon cadrage de la démarche analytique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Biais métier : logique télécom cohérente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✅</w:t>
            </w:r>
            <w:r>
              <w:rPr>
                <w:b/>
                <w:bCs/>
                <w:color w:val="1A7A4A"/>
                <w:sz w:val="17"/>
                <w:szCs w:val="17"/>
              </w:rPr>
              <w:t xml:space="preserve"> Solide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3 biais bien documentés et justifiés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Biais : conditions et probabilités non justifiées statistiquement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🔵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À préciser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15e/80e percentile et 30/25/40% arbitraires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Analyse Q3 : features discriminantes bien identifiées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117A65"/>
                <w:sz w:val="17"/>
                <w:szCs w:val="17"/>
              </w:rPr>
              <w:t>🟩</w:t>
            </w:r>
            <w:r>
              <w:rPr>
                <w:b/>
                <w:bCs/>
                <w:color w:val="117A65"/>
                <w:sz w:val="17"/>
                <w:szCs w:val="17"/>
              </w:rPr>
              <w:t xml:space="preserve"> Excellent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Tableau actifs vs churnés très lisible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recence_cdr_jours dans features discriminantes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🟣</w:t>
            </w:r>
            <w:r>
              <w:rPr>
                <w:b/>
                <w:bCs/>
                <w:color w:val="6C3483"/>
                <w:sz w:val="17"/>
                <w:szCs w:val="17"/>
              </w:rPr>
              <w:t xml:space="preserve"> Alerte ML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Data leakage si utilisée comme feature X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SMOTE recommandé mais sans analyse alternatives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💡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À corriger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class_weight natif XGBoost non comparé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Absence de test statistique (KS, chi²) sur fidélité SDV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💡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À corriger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Écarts en % insuffisants sans p-value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Absence de visualisations dans le rapport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💡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À corriger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Distributions, corrélations non illustrées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b/>
                <w:bCs/>
                <w:sz w:val="18"/>
                <w:szCs w:val="18"/>
              </w:rPr>
              <w:t>Recommandation 'données réelles TT' non réalisable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⚠</w:t>
            </w:r>
            <w:r>
              <w:rPr>
                <w:b/>
                <w:bCs/>
                <w:color w:val="C0392B"/>
                <w:sz w:val="17"/>
                <w:szCs w:val="17"/>
              </w:rPr>
              <w:t>️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Incohérence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0399" w:rsidRDefault="00587CC1">
            <w:r>
              <w:rPr>
                <w:i/>
                <w:iCs/>
                <w:color w:val="3C3C3C"/>
                <w:sz w:val="17"/>
                <w:szCs w:val="17"/>
              </w:rPr>
              <w:t>Irréaliste dans le cadre d'un PFE</w:t>
            </w:r>
          </w:p>
        </w:tc>
      </w:tr>
    </w:tbl>
    <w:p w:rsidR="000B0399" w:rsidRDefault="000B0399">
      <w:pPr>
        <w:spacing w:before="50" w:after="50"/>
      </w:pPr>
    </w:p>
    <w:p w:rsidR="000B0399" w:rsidRDefault="00587CC1">
      <w:pPr>
        <w:pStyle w:val="Titre1"/>
      </w:pPr>
      <w:r>
        <w:t>2.  Points forts et cohérences</w:t>
      </w:r>
    </w:p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2" w:space="0" w:color="117A65"/>
              <w:bottom w:val="none" w:sz="0" w:space="0" w:color="FFFFFF"/>
              <w:right w:val="single" w:sz="1" w:space="0" w:color="CCCCCC"/>
            </w:tcBorders>
            <w:shd w:val="clear" w:color="auto" w:fill="D1F2EB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17A65"/>
                <w:sz w:val="19"/>
                <w:szCs w:val="19"/>
              </w:rPr>
              <w:t>🟩</w:t>
            </w:r>
            <w:r>
              <w:rPr>
                <w:b/>
                <w:bCs/>
                <w:color w:val="117A65"/>
                <w:sz w:val="19"/>
                <w:szCs w:val="19"/>
              </w:rPr>
              <w:t xml:space="preserve"> EXCELLENT   </w:t>
            </w:r>
            <w:r>
              <w:rPr>
                <w:b/>
                <w:bCs/>
                <w:color w:val="1A1A1A"/>
                <w:sz w:val="19"/>
                <w:szCs w:val="19"/>
              </w:rPr>
              <w:t>Pipeline de génération en 4 étapes : architecture professionnelle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17A65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lastRenderedPageBreak/>
              <w:t>La structuration du pipeline (génération manuelle → SDV GaussianCopula → corrections post-génération → injection de biais) est une approche mature et reproductible. Peu d'</w:t>
            </w:r>
            <w:r>
              <w:rPr>
                <w:color w:val="2C2C2C"/>
              </w:rPr>
              <w:t>étudiants en PFE License atteignent ce niveau de structuration du processus de génération de données.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séparation des responsabilités est claire : generator.py pour la logique métier, SDV pour la structure statistique, corrections pour les asymétries, biais pour la cohérence télécom.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 fait de nommer le fichier final dataset_sdv_final.csv et de préci</w:t>
            </w:r>
            <w:r>
              <w:rPr>
                <w:color w:val="2C2C2C"/>
                <w:sz w:val="19"/>
                <w:szCs w:val="19"/>
              </w:rPr>
              <w:t>ser le nombre de lignes (300) et de colonnes (38) donne une traçabilité immédiate.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L'utilisation de GaussianCopulaSynthesizer est un choix approprié pour un dataset de 300 lignes avec variables mixtes (continues + catégorielles).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2" w:space="0" w:color="117A65"/>
              <w:bottom w:val="none" w:sz="0" w:space="0" w:color="FFFFFF"/>
              <w:right w:val="single" w:sz="1" w:space="0" w:color="CCCCCC"/>
            </w:tcBorders>
            <w:shd w:val="clear" w:color="auto" w:fill="D1F2EB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17A65"/>
                <w:sz w:val="19"/>
                <w:szCs w:val="19"/>
              </w:rPr>
              <w:t>🟩</w:t>
            </w:r>
            <w:r>
              <w:rPr>
                <w:b/>
                <w:bCs/>
                <w:color w:val="117A65"/>
                <w:sz w:val="19"/>
                <w:szCs w:val="19"/>
              </w:rPr>
              <w:t xml:space="preserve"> EXCELLENT   </w:t>
            </w:r>
            <w:r>
              <w:rPr>
                <w:b/>
                <w:bCs/>
                <w:color w:val="1A1A1A"/>
                <w:sz w:val="19"/>
                <w:szCs w:val="19"/>
              </w:rPr>
              <w:t>Tableau Q3 — Features discriminantes : analyse de haute qualité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17A65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 tableau comparatif Actifs vs Churné avec calcul des écarts relatifs est l'</w:t>
            </w:r>
            <w:r>
              <w:rPr>
                <w:color w:val="2C2C2C"/>
              </w:rPr>
              <w:t>un des meilleurs éléments analytiques du rapport. La hiérarchisation des signaux (Très fort / Fort / Modéré / Faible) est claire et directement exploitable pour le feature selection du modèle ML.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L'écart de récence CDR (+279.5%) confirme quantitativemen</w:t>
            </w:r>
            <w:r>
              <w:rPr>
                <w:color w:val="2C2C2C"/>
                <w:sz w:val="19"/>
                <w:szCs w:val="19"/>
              </w:rPr>
              <w:t>t la règle métier des 90 jours adoptée en Partie 2.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L'écart de consommation data (−87.8%) et l'écart de score_frustration (+67.6%) valident les biais 1 et 2 injectés — bonne cohérence interne.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facture mensuelle plus élevée chez les churné (+42.3%)</w:t>
            </w:r>
            <w:r>
              <w:rPr>
                <w:color w:val="2C2C2C"/>
                <w:sz w:val="19"/>
                <w:szCs w:val="19"/>
              </w:rPr>
              <w:t xml:space="preserve"> est un résultat contre-intuitif mais réaliste : suggère que ce sont les clients insatisfaits du rapport qualité/prix qui partent.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4A"/>
              <w:left w:val="single" w:sz="12" w:space="0" w:color="1A7A4A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A7A4A"/>
                <w:sz w:val="19"/>
                <w:szCs w:val="19"/>
              </w:rPr>
              <w:t>✅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 COHÉRENCE   </w:t>
            </w:r>
            <w:r>
              <w:rPr>
                <w:b/>
                <w:bCs/>
                <w:color w:val="1A1A1A"/>
                <w:sz w:val="19"/>
                <w:szCs w:val="19"/>
              </w:rPr>
              <w:t>Validation SDV : critère de tolérance 20% et résultats bien présentés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7A4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 choix d'un seuil de 20% d'</w:t>
            </w:r>
            <w:r>
              <w:rPr>
                <w:color w:val="2C2C2C"/>
              </w:rPr>
              <w:t>écart relatif comme critère de qualité est standard dans la littérature sur les données synthétiques. Le tableau de comparaison (Original vs Synthétique) est clair et honnête — l'étudiant signale lui-même l'anomalie sur le Forfait Illimité.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4A"/>
              <w:left w:val="single" w:sz="12" w:space="0" w:color="1A7A4A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A7A4A"/>
                <w:sz w:val="19"/>
                <w:szCs w:val="19"/>
              </w:rPr>
              <w:t>✅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 COHÉRENCE   </w:t>
            </w:r>
            <w:r>
              <w:rPr>
                <w:b/>
                <w:bCs/>
                <w:color w:val="1A1A1A"/>
                <w:sz w:val="19"/>
                <w:szCs w:val="19"/>
              </w:rPr>
              <w:t>Segmentation par risque Q2 : résultats métier bien interprétés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7A4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 classement des segments par taux de churn est pertinent et bien exploité. L'</w:t>
            </w:r>
            <w:r>
              <w:rPr>
                <w:color w:val="2C2C2C"/>
              </w:rPr>
              <w:t>observation que le Forfait Illimité constitue un facteur protecteur (3.7% de churn) est une insight marketing actionnable et bien mise en valeur.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distinction entre les deux segments à risque prioritaires (Offre à Facture 36.5% et Offre Classique 33%)</w:t>
            </w:r>
            <w:r>
              <w:rPr>
                <w:color w:val="2C2C2C"/>
                <w:sz w:val="19"/>
                <w:szCs w:val="19"/>
              </w:rPr>
              <w:t xml:space="preserve"> est utile pour la stratégie de rétention.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 fait que l'Offre à Facture concentre 36.5% de churn malgré seulement 17.3% du portefeuille signale une sur-représentation du risque — bien identifié.</w:t>
            </w:r>
          </w:p>
        </w:tc>
      </w:tr>
    </w:tbl>
    <w:p w:rsidR="000B0399" w:rsidRDefault="000B0399">
      <w:pPr>
        <w:spacing w:before="50" w:after="50"/>
      </w:pPr>
    </w:p>
    <w:p w:rsidR="000B0399" w:rsidRDefault="000B0399">
      <w:pPr>
        <w:pBdr>
          <w:bottom w:val="single" w:sz="4" w:space="1" w:color="1A5276"/>
        </w:pBdr>
        <w:spacing w:before="140" w:after="140"/>
      </w:pPr>
    </w:p>
    <w:p w:rsidR="000B0399" w:rsidRDefault="00587CC1">
      <w:pPr>
        <w:pStyle w:val="Titre1"/>
      </w:pPr>
      <w:r>
        <w:t>3.  Incohérences et problèmes à corriger</w:t>
      </w:r>
    </w:p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2" w:space="0" w:color="C0392B"/>
              <w:bottom w:val="none" w:sz="0" w:space="0" w:color="FFFFFF"/>
              <w:right w:val="single" w:sz="1" w:space="0" w:color="CCCCCC"/>
            </w:tcBorders>
            <w:shd w:val="clear" w:color="auto" w:fill="FDEDEC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0392B"/>
                <w:sz w:val="19"/>
                <w:szCs w:val="19"/>
              </w:rPr>
              <w:t>🔴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CRITIQUE   </w:t>
            </w:r>
            <w:r>
              <w:rPr>
                <w:b/>
                <w:bCs/>
                <w:color w:val="1A1A1A"/>
                <w:sz w:val="19"/>
                <w:szCs w:val="19"/>
              </w:rPr>
              <w:t>Taux de churn final 31.3% ≠ cible 27.7% — dataset non conforme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C'</w:t>
            </w:r>
            <w:r>
              <w:rPr>
                <w:color w:val="2C2C2C"/>
              </w:rPr>
              <w:t>est le problème le plus grave du rapport. Après injection des biais, le taux de churn monte à 31.3% alors que la cible définie en Partie 2 (règle des 90 jours CDR) est de 27.7%. L'étudiant signale cet écart mais ne le corrige pas, se contentant d'une justi</w:t>
            </w:r>
            <w:r>
              <w:rPr>
                <w:color w:val="2C2C2C"/>
              </w:rPr>
              <w:t>fication par la 'faible population des segments à risque'.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Cette explication est insuffisante : si le taux cible est 27.7%, le dataset final doit respecter cette valeur, sinon le modèle apprend sur une distribution de churn différente de celle définie métier.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Correction requise : après injection des biais, appl</w:t>
            </w:r>
            <w:r>
              <w:rPr>
                <w:color w:val="2C2C2C"/>
                <w:sz w:val="19"/>
                <w:szCs w:val="19"/>
              </w:rPr>
              <w:t>iquer un rééquilibrage de la variable churn pour ramener le taux à 27.7% ± 1%. Technique : sélectionner aléatoirement parmi les clients basculés en churn ceux à exclure pour revenir à la cible.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Alternative : revoir les probabilités d'injection (30%, 25%</w:t>
            </w:r>
            <w:r>
              <w:rPr>
                <w:color w:val="2C2C2C"/>
                <w:sz w:val="19"/>
                <w:szCs w:val="19"/>
              </w:rPr>
              <w:t>, 40%) à la baisse pour que le taux post-biais converge vers 27.7% naturellement.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 point doit être corrigé dans le notebook et le dataset regeneré avant toute phase de modélisation.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2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INCOHÉRENCE   </w:t>
            </w:r>
            <w:r>
              <w:rPr>
                <w:b/>
                <w:bCs/>
                <w:color w:val="1A1A1A"/>
                <w:sz w:val="19"/>
                <w:szCs w:val="19"/>
              </w:rPr>
              <w:t>Signal Faible → churn 14.3% : contradiction directe avec le Biais n°3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 tableau §2.3 indique que les clients avec qualité signal 'Faible'</w:t>
            </w:r>
            <w:r>
              <w:rPr>
                <w:color w:val="2C2C2C"/>
              </w:rPr>
              <w:t xml:space="preserve"> ont un taux de churn de 14.3%, soit bien en dessous de la moyenne globale (27.7%). Or le Biais n°3 injecte explicitement 40% de churn=1 forcé sur les clients RURAL + Signal Faible. Ces deux résultats sont contradictoires.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Explication probable : la zone</w:t>
            </w:r>
            <w:r>
              <w:rPr>
                <w:color w:val="2C2C2C"/>
                <w:sz w:val="19"/>
                <w:szCs w:val="19"/>
              </w:rPr>
              <w:t xml:space="preserve"> RURAL représente 11.3% du dataset (34 clients) et la qualité 'Faible' représente 7% (21 clients). L'intersection RURAL + Faible est donc très petite (~5-8 clients), rendant l'effet du biais statistiquement invisible à l'échelle du groupe 'Signal Faible' g</w:t>
            </w:r>
            <w:r>
              <w:rPr>
                <w:color w:val="2C2C2C"/>
                <w:sz w:val="19"/>
                <w:szCs w:val="19"/>
              </w:rPr>
              <w:t>lobal.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Mais la présentation du tableau §2.3 sans ce contexte est trompeuse : un lecteur conclut que le signal faible est un facteur protecteur contre le churn — l'inverse de la réalité télécom.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Correction requise : ajouter une note explicative sous l</w:t>
            </w:r>
            <w:r>
              <w:rPr>
                <w:color w:val="2C2C2C"/>
                <w:sz w:val="19"/>
                <w:szCs w:val="19"/>
              </w:rPr>
              <w:t>e tableau §2.3 précisant que l'effet du biais n°3 ne s'observe pas sur le segment 'Signal Faible' global mais uniquement sur l'intersection RURAL × Faible.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Mieux encore : créer un tableau croisé Zone × Qualité signal × Taux de churn pour montrer l'effet</w:t>
            </w:r>
            <w:r>
              <w:rPr>
                <w:color w:val="2C2C2C"/>
                <w:sz w:val="19"/>
                <w:szCs w:val="19"/>
              </w:rPr>
              <w:t xml:space="preserve"> du biais là où il s'applique.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2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INCOHÉRENCE   </w:t>
            </w:r>
            <w:r>
              <w:rPr>
                <w:b/>
                <w:bCs/>
                <w:color w:val="1A1A1A"/>
                <w:sz w:val="19"/>
                <w:szCs w:val="19"/>
              </w:rPr>
              <w:t>Taux de churn Offre à Facture (36.5%) &gt; Offre Prépayée (25.8%) — contradiction avec la Partie 2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En Partie 2, la définition du churn par inactivité CDR &gt; 90 jours a été choisie précisément parce qu'elle s'</w:t>
            </w:r>
            <w:r>
              <w:rPr>
                <w:color w:val="2C2C2C"/>
              </w:rPr>
              <w:t>applique mieux au contexte prépayé (82.7% des clients). Or le dataset final montre que l'Offre à Facture churne davantage (36.5% vs 25.8%).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Si la règle churn = inactivité CDR, pourquoi les clients post-payés (à facture) inactivent-ils plus souvent leur </w:t>
            </w:r>
            <w:r>
              <w:rPr>
                <w:color w:val="2C2C2C"/>
                <w:sz w:val="19"/>
                <w:szCs w:val="19"/>
              </w:rPr>
              <w:t>usage ? Les clients post-payés maintiennent généralement un contrat actif même sans usage.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Cette incohérence suggère que les biais injectés ont pu déséquilibrer la distribution churn par type d'abonnement sans que cet effet secondaire soit anticipé ni d</w:t>
            </w:r>
            <w:r>
              <w:rPr>
                <w:color w:val="2C2C2C"/>
                <w:sz w:val="19"/>
                <w:szCs w:val="19"/>
              </w:rPr>
              <w:t>iscuté.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À documenter dans le rapport comme limite connue du dataset simulé.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2" w:space="0" w:color="6C3483"/>
              <w:bottom w:val="none" w:sz="0" w:space="0" w:color="FFFFFF"/>
              <w:right w:val="single" w:sz="1" w:space="0" w:color="CCCCCC"/>
            </w:tcBorders>
            <w:shd w:val="clear" w:color="auto" w:fill="F4ECF7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6C3483"/>
                <w:sz w:val="19"/>
                <w:szCs w:val="19"/>
              </w:rPr>
              <w:t>🟣</w:t>
            </w:r>
            <w:r>
              <w:rPr>
                <w:b/>
                <w:bCs/>
                <w:color w:val="6C3483"/>
                <w:sz w:val="19"/>
                <w:szCs w:val="19"/>
              </w:rPr>
              <w:t xml:space="preserve"> ALERTE ML   </w:t>
            </w:r>
            <w:r>
              <w:rPr>
                <w:b/>
                <w:bCs/>
                <w:color w:val="1A1A1A"/>
                <w:sz w:val="19"/>
                <w:szCs w:val="19"/>
              </w:rPr>
              <w:t>recence_cdr_jours listée comme feature discriminante = data leakage potentiel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6C3483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 xml:space="preserve">La section Q3 identifie recence_cdr_jours comme la feature la plus discriminante (écart +279.5%). Or cette variable est exactement celle utilisée pour construire la variable cible churn (règle des 90 jours). L'inclure dans la matrice X est un data leakage </w:t>
            </w:r>
            <w:r>
              <w:rPr>
                <w:color w:val="2C2C2C"/>
              </w:rPr>
              <w:t>qui invaliderait le modèle.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Si recence_cdr_jours &gt; 90 → churn=1 par définition, le modèle apprendra simplement ce seuil sans généralisation possible.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Cette variable doit être explicitement exclue de X et mentionnée dans le rapport comme 'variable de </w:t>
            </w:r>
            <w:r>
              <w:rPr>
                <w:color w:val="2C2C2C"/>
                <w:sz w:val="19"/>
                <w:szCs w:val="19"/>
              </w:rPr>
              <w:t>construction de la cible, non utilisée comme feature'.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section Q3 peut conserver cette analyse à titre illustratif, mais avec une note claire indiquant qu'elle ne sera pas intégrée dans la matrice X.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Revoir la liste des 'features prioritaires' en </w:t>
            </w:r>
            <w:r>
              <w:rPr>
                <w:color w:val="2C2C2C"/>
                <w:sz w:val="19"/>
                <w:szCs w:val="19"/>
              </w:rPr>
              <w:t>§7.2 : retirer recence_cdr_jours et la remplacer par d'autres signaux forts (score_frustration, data_totale_mb).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2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INCOHÉRENCE   </w:t>
            </w:r>
            <w:r>
              <w:rPr>
                <w:b/>
                <w:bCs/>
                <w:color w:val="1A1A1A"/>
                <w:sz w:val="19"/>
                <w:szCs w:val="19"/>
              </w:rPr>
              <w:t>Forfait Illimité SDV : écart 22% hors tolérance sans correction appliquée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lastRenderedPageBreak/>
              <w:t>Le rapport signale que le Forfait Illimité présente un écart de 22% (au-delà du seuil de 20%) mais n'applique aucune correction, contrairement à data_totale_mb et nb_appels qui ont bénéficié de facteurs de recalibration.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Si des corrections post-générati</w:t>
            </w:r>
            <w:r>
              <w:rPr>
                <w:color w:val="2C2C2C"/>
                <w:sz w:val="19"/>
                <w:szCs w:val="19"/>
              </w:rPr>
              <w:t>on ont été appliquées sur d'autres colonnes, pourquoi pas sur la distribution du Forfait Illimité ?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justification ('faible représentation de 27 clients') est valide comme explication mais pas comme raison de ne pas corriger.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Correction possible : </w:t>
            </w:r>
            <w:r>
              <w:rPr>
                <w:color w:val="2C2C2C"/>
                <w:sz w:val="19"/>
                <w:szCs w:val="19"/>
              </w:rPr>
              <w:t>appliquer un facteur de recalibration sur la proportion du Forfait Illimité pour la ramener de 7% à 9% dans le dataset synthétique.</w:t>
            </w:r>
          </w:p>
        </w:tc>
      </w:tr>
    </w:tbl>
    <w:p w:rsidR="000B0399" w:rsidRDefault="000B0399">
      <w:pPr>
        <w:spacing w:before="50" w:after="50"/>
      </w:pPr>
    </w:p>
    <w:p w:rsidR="000B0399" w:rsidRDefault="000B0399">
      <w:pPr>
        <w:pBdr>
          <w:bottom w:val="single" w:sz="4" w:space="1" w:color="1A5276"/>
        </w:pBdr>
        <w:spacing w:before="140" w:after="140"/>
      </w:pPr>
    </w:p>
    <w:p w:rsidR="000B0399" w:rsidRDefault="00587CC1">
      <w:pPr>
        <w:pStyle w:val="Titre1"/>
      </w:pPr>
      <w:r>
        <w:t>4.  Améliorations et modifications requises</w:t>
      </w:r>
    </w:p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2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 </w:t>
            </w:r>
            <w:r>
              <w:rPr>
                <w:b/>
                <w:bCs/>
                <w:color w:val="1A1A1A"/>
                <w:sz w:val="19"/>
                <w:szCs w:val="19"/>
              </w:rPr>
              <w:t>Justifier statistiquement les seuils et probabilités des biais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Les trois biais utilisent des seuils (15e percentile, 80e percentile) et des probabilités (30%, 25%, 40%) qui ne sont justifiés ni par une source bibliographique, ni par une calibration statistique.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Pour le Biais 1 (data &lt; 15e percentile → 30% churn for</w:t>
            </w:r>
            <w:r>
              <w:rPr>
                <w:color w:val="2C2C2C"/>
                <w:sz w:val="19"/>
                <w:szCs w:val="19"/>
              </w:rPr>
              <w:t>cé) : pourquoi 15e percentile ? Quelle valeur cela représente-t-il en MB ? Quelle est la valeur réelle de ce percentile sur le dataset ?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Pour le Biais 2 (frustration &gt; 80e percentile → 25%) : le score_frustration est-il défini dans le rapport ? Comment </w:t>
            </w:r>
            <w:r>
              <w:rPr>
                <w:color w:val="2C2C2C"/>
                <w:sz w:val="19"/>
                <w:szCs w:val="19"/>
              </w:rPr>
              <w:t>est-il calculé ?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Pour le Biais 3 (RURAL + Faible → 40%) : ce taux de 40% est-il fondé sur une étude ou une hypothèse ? Le justifier par un benchmark télécom africain.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Recommandation : ajouter un tableau des paramètres de biais avec valeurs numériques</w:t>
            </w:r>
            <w:r>
              <w:rPr>
                <w:color w:val="2C2C2C"/>
                <w:sz w:val="19"/>
                <w:szCs w:val="19"/>
              </w:rPr>
              <w:t xml:space="preserve"> des percentiles calculés et sources des probabilités retenues.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2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 </w:t>
            </w:r>
            <w:r>
              <w:rPr>
                <w:b/>
                <w:bCs/>
                <w:color w:val="1A1A1A"/>
                <w:sz w:val="19"/>
                <w:szCs w:val="19"/>
              </w:rPr>
              <w:t>Ajouter des tests statistiques formels pour la validation SDV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Comparer des moyennes avec des écarts en pourcentage est une validation descriptive insuffisante. La littérature sur les données synthétiques exige des tests statistiques formels.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Test de Kolmogorov-Smirnov (KS) pour chaque variable continue : compare l</w:t>
            </w:r>
            <w:r>
              <w:rPr>
                <w:color w:val="2C2C2C"/>
                <w:sz w:val="19"/>
                <w:szCs w:val="19"/>
              </w:rPr>
              <w:t>es distributions empiriques original vs synthétique. Un p-value &gt; 0.05 valide la similarité.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Test du chi² pour les variables catégorielles (plan_tarifaire, zone, type_abonnement) : valide la fidélité des proportions.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Ces tests peuvent être produits e</w:t>
            </w:r>
            <w:r>
              <w:rPr>
                <w:color w:val="2C2C2C"/>
                <w:sz w:val="19"/>
                <w:szCs w:val="19"/>
              </w:rPr>
              <w:t>n 5 lignes de Python (scipy.stats.ks_2samp et scipy.stats.chisquare) et apportent une crédibilité académique forte.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 score SDV Quality Report natif (sdv.evaluation.evaluate) peut aussi être utilisé directement — il produit un score global entre 0 et 1</w:t>
            </w:r>
            <w:r>
              <w:rPr>
                <w:color w:val="2C2C2C"/>
                <w:sz w:val="19"/>
                <w:szCs w:val="19"/>
              </w:rPr>
              <w:t>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2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 </w:t>
            </w:r>
            <w:r>
              <w:rPr>
                <w:b/>
                <w:bCs/>
                <w:color w:val="1A1A1A"/>
                <w:sz w:val="19"/>
                <w:szCs w:val="19"/>
              </w:rPr>
              <w:t>Ajouter les visualisations manquantes dans le rapport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Le rapport est entièrement textuel. Pour un travail de data science, les visualisations sont indispensables pour valider visuellement la fidélité du dataset et la pertinence des biais.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Distribution de churn avant/après biais : histogramme ou pie chart superposé (original vs synthétique vs post-biais).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Heatmap de corrélation : montrer que les corrélations features/churn sont cohérentes entre dataset original et synthétique.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Boxplots</w:t>
            </w:r>
            <w:r>
              <w:rPr>
                <w:color w:val="2C2C2C"/>
                <w:sz w:val="19"/>
                <w:szCs w:val="19"/>
              </w:rPr>
              <w:t xml:space="preserve"> comparatifs Actifs vs Churné pour les 4 features discriminantes (data, récence, frustration, appels).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Distribution de recence_cdr_jours avec le seuil de 90 jours matérialisé — valide visuellement la règle métier.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Ces visualisations doivent être géné</w:t>
            </w:r>
            <w:r>
              <w:rPr>
                <w:color w:val="2C2C2C"/>
                <w:sz w:val="19"/>
                <w:szCs w:val="19"/>
              </w:rPr>
              <w:t>rées dans le notebook et incluses dans le rapport (en annexe si nécessaire).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12" w:space="0" w:color="1A5276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A5276"/>
                <w:sz w:val="19"/>
                <w:szCs w:val="19"/>
              </w:rPr>
              <w:t>🔵</w:t>
            </w:r>
            <w:r>
              <w:rPr>
                <w:b/>
                <w:bCs/>
                <w:color w:val="1A5276"/>
                <w:sz w:val="19"/>
                <w:szCs w:val="19"/>
              </w:rPr>
              <w:t xml:space="preserve"> MODIFICATION   </w:t>
            </w:r>
            <w:r>
              <w:rPr>
                <w:b/>
                <w:bCs/>
                <w:color w:val="1A1A1A"/>
                <w:sz w:val="19"/>
                <w:szCs w:val="19"/>
              </w:rPr>
              <w:t>Revoir la recommandation §7.2 'Données réelles TT' — irréalisable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5276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La recommandation '</w:t>
            </w:r>
            <w:r>
              <w:rPr>
                <w:color w:val="2C2C2C"/>
              </w:rPr>
              <w:t>Appliquer le modèle entraîné sur le dataset réel TT pour validation terrain' est irréaliste dans le cadre d'un PFE : l'accès aux données réelles de Tunisie Télécom nécessite des accords de confidentialité, une anonymisation, et des délais incompatibles ave</w:t>
            </w:r>
            <w:r>
              <w:rPr>
                <w:color w:val="2C2C2C"/>
              </w:rPr>
              <w:t>c l'échéance du projet.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Reformuler en : 'Dans un contexte industriel réel, le modèle devrait être validé sur les données historiques CDR de l'agence de Kairouan avec un découpage temporel train/test.'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Ajouter à la place une validation par simulation </w:t>
            </w:r>
            <w:r>
              <w:rPr>
                <w:color w:val="2C2C2C"/>
                <w:sz w:val="19"/>
                <w:szCs w:val="19"/>
              </w:rPr>
              <w:t>: entraîner le modèle sur 70% du dataset et tester sur 30%, en vérifiant que les performances ne sont pas artificiellement gonflées par le data leakage de recence_cdr_jours.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12" w:space="0" w:color="1A5276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A5276"/>
                <w:sz w:val="19"/>
                <w:szCs w:val="19"/>
              </w:rPr>
              <w:t>🔵</w:t>
            </w:r>
            <w:r>
              <w:rPr>
                <w:b/>
                <w:bCs/>
                <w:color w:val="1A5276"/>
                <w:sz w:val="19"/>
                <w:szCs w:val="19"/>
              </w:rPr>
              <w:t xml:space="preserve"> MODIFICATION   </w:t>
            </w:r>
            <w:r>
              <w:rPr>
                <w:b/>
                <w:bCs/>
                <w:color w:val="1A1A1A"/>
                <w:sz w:val="19"/>
                <w:szCs w:val="19"/>
              </w:rPr>
              <w:t>Préciser le rôle de score_frustration : variable construite ou native ?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A5276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La feature score_frustration apparaît dans plusieurs analyses (Q3, biais n°2, recommandations §7.2) sans jamais être définie. Est-ce une variable native du dataset ou une variable construite (feature engineering) ?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Si c'est une variable construite : déc</w:t>
            </w:r>
            <w:r>
              <w:rPr>
                <w:color w:val="2C2C2C"/>
                <w:sz w:val="19"/>
                <w:szCs w:val="19"/>
              </w:rPr>
              <w:t>rire sa formule (ex. combinaison linéaire de nb_reclamations, satisfaction_client, ancienneté).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Si c'est une variable native simulée : préciser comment elle a été générée dans generator.py et quelle distribution elle suit.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Cette définition est indisp</w:t>
            </w:r>
            <w:r>
              <w:rPr>
                <w:color w:val="2C2C2C"/>
                <w:sz w:val="19"/>
                <w:szCs w:val="19"/>
              </w:rPr>
              <w:t>ensable pour que le modèle soit reproductible sur de nouvelles données.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2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90" w:type="dxa"/>
              <w:left w:w="20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 </w:t>
            </w:r>
            <w:r>
              <w:rPr>
                <w:b/>
                <w:bCs/>
                <w:color w:val="1A1A1A"/>
                <w:sz w:val="19"/>
                <w:szCs w:val="19"/>
              </w:rPr>
              <w:t>Analyse de corrélation entre features : compléter Q3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10" w:type="dxa"/>
              <w:left w:w="200" w:type="dxa"/>
              <w:bottom w:w="110" w:type="dxa"/>
              <w:right w:w="140" w:type="dxa"/>
            </w:tcMar>
          </w:tcPr>
          <w:p w:rsidR="000B0399" w:rsidRDefault="00587CC1">
            <w:pPr>
              <w:spacing w:after="90"/>
            </w:pPr>
            <w:r>
              <w:rPr>
                <w:color w:val="2C2C2C"/>
              </w:rPr>
              <w:t>La section Q3 compare les moyennes par classe mais ne présente pas les corrélations entre features, ce qui est pourtant essentiel pour anticiper la multicolinéarité dans le modèle ML.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Vérifier la corrélation entre recence_cdr_jours et data_totale_mb : s</w:t>
            </w:r>
            <w:r>
              <w:rPr>
                <w:color w:val="2C2C2C"/>
                <w:sz w:val="19"/>
                <w:szCs w:val="19"/>
              </w:rPr>
              <w:t>i deux features très corrélées sont toutes deux dans X, l'une est redondante.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Vérifier la corrélation entre score_frustration et nb_reclamations / satisfaction_client : le score est probablement construit à partir de ces variables.</w:t>
            </w:r>
          </w:p>
          <w:p w:rsidR="000B0399" w:rsidRDefault="00587CC1">
            <w:pPr>
              <w:spacing w:before="32" w:after="32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Calculer le VIF (V</w:t>
            </w:r>
            <w:r>
              <w:rPr>
                <w:color w:val="2C2C2C"/>
                <w:sz w:val="19"/>
                <w:szCs w:val="19"/>
              </w:rPr>
              <w:t>ariance Inflation Factor) pour les features continues — signal d'alerte si VIF &gt; 5.</w:t>
            </w:r>
          </w:p>
        </w:tc>
      </w:tr>
    </w:tbl>
    <w:p w:rsidR="000B0399" w:rsidRDefault="000B0399">
      <w:pPr>
        <w:spacing w:before="50" w:after="50"/>
      </w:pPr>
    </w:p>
    <w:p w:rsidR="000B0399" w:rsidRDefault="000B0399">
      <w:pPr>
        <w:pBdr>
          <w:bottom w:val="single" w:sz="4" w:space="1" w:color="1A5276"/>
        </w:pBdr>
        <w:spacing w:before="140" w:after="140"/>
      </w:pPr>
    </w:p>
    <w:p w:rsidR="000B0399" w:rsidRDefault="00587CC1">
      <w:pPr>
        <w:pStyle w:val="Titre1"/>
      </w:pPr>
      <w:r>
        <w:t>5.  Feuille de route — Étapes suivantes du projet</w:t>
      </w:r>
    </w:p>
    <w:p w:rsidR="000B0399" w:rsidRDefault="000B0399">
      <w:pPr>
        <w:spacing w:before="50" w:after="50"/>
      </w:pPr>
    </w:p>
    <w:p w:rsidR="000B0399" w:rsidRDefault="00587CC1">
      <w:pPr>
        <w:spacing w:before="60" w:after="60"/>
      </w:pPr>
      <w:r>
        <w:rPr>
          <w:color w:val="2C2C2C"/>
        </w:rPr>
        <w:t>Les étapes ci-dessous constituent la séquence de travail recommandée pour la suite du PFE, en partant de l'</w:t>
      </w:r>
      <w:r>
        <w:rPr>
          <w:color w:val="2C2C2C"/>
        </w:rPr>
        <w:t>état actuel du dataset synthétique jusqu'au modèle ML final déployé dans l'application web.</w:t>
      </w:r>
    </w:p>
    <w:p w:rsidR="000B0399" w:rsidRDefault="000B0399">
      <w:pPr>
        <w:spacing w:before="50" w:after="50"/>
      </w:pPr>
    </w:p>
    <w:tbl>
      <w:tblPr>
        <w:tblW w:w="9026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"/>
        <w:gridCol w:w="8691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14" w:space="0" w:color="1A5276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90" w:type="dxa"/>
              <w:left w:w="80" w:type="dxa"/>
              <w:bottom w:w="9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1A5276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1A5276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A5276"/>
                <w:sz w:val="17"/>
                <w:szCs w:val="17"/>
              </w:rPr>
              <w:t xml:space="preserve">CORRECTION IMMÉDIATE  —  </w:t>
            </w:r>
            <w:r>
              <w:rPr>
                <w:b/>
                <w:bCs/>
                <w:color w:val="1A1A1A"/>
                <w:sz w:val="19"/>
                <w:szCs w:val="19"/>
              </w:rPr>
              <w:t>Corriger le dataset avant toute modélisation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0" w:color="1A5276"/>
              <w:bottom w:val="single" w:sz="1" w:space="0" w:color="CCCCCC"/>
              <w:right w:val="none" w:sz="0" w:space="0" w:color="FFFFFF"/>
            </w:tcBorders>
            <w:shd w:val="clear" w:color="auto" w:fill="1A5276"/>
            <w:tcMar>
              <w:top w:w="0" w:type="dxa"/>
              <w:left w:w="80" w:type="dxa"/>
              <w:bottom w:w="90" w:type="dxa"/>
              <w:right w:w="80" w:type="dxa"/>
            </w:tcMar>
          </w:tcPr>
          <w:p w:rsidR="000B0399" w:rsidRDefault="000B039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60" w:type="dxa"/>
              <w:bottom w:w="110" w:type="dxa"/>
              <w:right w:w="140" w:type="dxa"/>
            </w:tcMar>
          </w:tcPr>
          <w:p w:rsidR="000B0399" w:rsidRDefault="00587CC1">
            <w:pPr>
              <w:spacing w:before="30" w:after="30"/>
            </w:pPr>
            <w:r>
              <w:rPr>
                <w:b/>
                <w:bCs/>
                <w:color w:val="1A5276"/>
                <w:sz w:val="18"/>
                <w:szCs w:val="18"/>
              </w:rPr>
              <w:t>✦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Corriger le taux de churn post-biais : ramener de 31.3% à 27.7% par rééchantillonnage contrôlé.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A5276"/>
                <w:sz w:val="18"/>
                <w:szCs w:val="18"/>
              </w:rPr>
              <w:t>✦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Appliquer le facteur de recalibration manquant sur la proportion Forfait Illimité (7% → 9%).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A5276"/>
                <w:sz w:val="18"/>
                <w:szCs w:val="18"/>
              </w:rPr>
              <w:t>✦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Exclure définitivement recence_cdr_jours de la matrice X et d</w:t>
            </w:r>
            <w:r>
              <w:rPr>
                <w:color w:val="2C2C2C"/>
                <w:sz w:val="18"/>
                <w:szCs w:val="18"/>
              </w:rPr>
              <w:t>ocumenter ce choix.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A5276"/>
                <w:sz w:val="18"/>
                <w:szCs w:val="18"/>
              </w:rPr>
              <w:t>✦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Corriger les 167 incohérences tarifaires (Offre Classique avec data &gt; 0) identifiées en audit.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A5276"/>
                <w:sz w:val="18"/>
                <w:szCs w:val="18"/>
              </w:rPr>
              <w:t>✦</w:t>
            </w:r>
            <w:r>
              <w:rPr>
                <w:b/>
                <w:bCs/>
                <w:color w:val="1A5276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Sauvegarder le dataset corrigé sous dataset_ml_ready_v2.csv avec changelog.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"/>
        <w:gridCol w:w="8710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4" w:space="0" w:color="117A65"/>
              <w:bottom w:val="none" w:sz="0" w:space="0" w:color="FFFFFF"/>
              <w:right w:val="none" w:sz="0" w:space="0" w:color="FFFFFF"/>
            </w:tcBorders>
            <w:shd w:val="clear" w:color="auto" w:fill="117A65"/>
            <w:tcMar>
              <w:top w:w="90" w:type="dxa"/>
              <w:left w:w="80" w:type="dxa"/>
              <w:bottom w:w="9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117A65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117A65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117A65"/>
                <w:sz w:val="17"/>
                <w:szCs w:val="17"/>
              </w:rPr>
              <w:t xml:space="preserve">FEATURE ENGINEERING  —  </w:t>
            </w:r>
            <w:r>
              <w:rPr>
                <w:b/>
                <w:bCs/>
                <w:color w:val="1A1A1A"/>
                <w:sz w:val="19"/>
                <w:szCs w:val="19"/>
              </w:rPr>
              <w:t>Construire et sélectionner les variables prédictives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0" w:color="117A65"/>
              <w:bottom w:val="single" w:sz="1" w:space="0" w:color="CCCCCC"/>
              <w:right w:val="none" w:sz="0" w:space="0" w:color="FFFFFF"/>
            </w:tcBorders>
            <w:shd w:val="clear" w:color="auto" w:fill="117A65"/>
            <w:tcMar>
              <w:top w:w="0" w:type="dxa"/>
              <w:left w:w="80" w:type="dxa"/>
              <w:bottom w:w="90" w:type="dxa"/>
              <w:right w:w="80" w:type="dxa"/>
            </w:tcMar>
          </w:tcPr>
          <w:p w:rsidR="000B0399" w:rsidRDefault="000B039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60" w:type="dxa"/>
              <w:bottom w:w="110" w:type="dxa"/>
              <w:right w:w="140" w:type="dxa"/>
            </w:tcMar>
          </w:tcPr>
          <w:p w:rsidR="000B0399" w:rsidRDefault="00587CC1">
            <w:pPr>
              <w:spacing w:before="30" w:after="30"/>
            </w:pPr>
            <w:r>
              <w:rPr>
                <w:b/>
                <w:bCs/>
                <w:color w:val="117A65"/>
                <w:sz w:val="18"/>
                <w:szCs w:val="18"/>
              </w:rPr>
              <w:t>✦</w:t>
            </w:r>
            <w:r>
              <w:rPr>
                <w:b/>
                <w:bCs/>
                <w:color w:val="117A65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Définir formellement score_frustration si variable construite (formule + code).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17A65"/>
                <w:sz w:val="18"/>
                <w:szCs w:val="18"/>
              </w:rPr>
              <w:t>✦</w:t>
            </w:r>
            <w:r>
              <w:rPr>
                <w:b/>
                <w:bCs/>
                <w:color w:val="117A65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Créer les variables supplémentaires : flag_contradiction_statut, ratio_data_par_appel, flag_incoherence_tarifaire.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17A65"/>
                <w:sz w:val="18"/>
                <w:szCs w:val="18"/>
              </w:rPr>
              <w:t>✦</w:t>
            </w:r>
            <w:r>
              <w:rPr>
                <w:b/>
                <w:bCs/>
                <w:color w:val="117A65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Encoder les variables catégorielles : plan_tarifaire (OHE), zone (OHE), modalité 'Inconnu' (target encoding).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17A65"/>
                <w:sz w:val="18"/>
                <w:szCs w:val="18"/>
              </w:rPr>
              <w:t>✦</w:t>
            </w:r>
            <w:r>
              <w:rPr>
                <w:b/>
                <w:bCs/>
                <w:color w:val="117A65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Normaliser les variables continues si un algorithme sensible à l'échelle est testé (ex. SVM, kNN).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117A65"/>
                <w:sz w:val="18"/>
                <w:szCs w:val="18"/>
              </w:rPr>
              <w:t>✦</w:t>
            </w:r>
            <w:r>
              <w:rPr>
                <w:b/>
                <w:bCs/>
                <w:color w:val="117A65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 xml:space="preserve">Produire la matrice de corrélation et </w:t>
            </w:r>
            <w:r>
              <w:rPr>
                <w:color w:val="2C2C2C"/>
                <w:sz w:val="18"/>
                <w:szCs w:val="18"/>
              </w:rPr>
              <w:t>calculer le VIF pour identifier les variables redondantes.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"/>
        <w:gridCol w:w="8710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4" w:space="0" w:color="6C3483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90" w:type="dxa"/>
              <w:left w:w="80" w:type="dxa"/>
              <w:bottom w:w="9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6C3483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6C3483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6C3483"/>
                <w:sz w:val="17"/>
                <w:szCs w:val="17"/>
              </w:rPr>
              <w:t xml:space="preserve">MODÉLISATION ML  —  </w:t>
            </w:r>
            <w:r>
              <w:rPr>
                <w:b/>
                <w:bCs/>
                <w:color w:val="1A1A1A"/>
                <w:sz w:val="19"/>
                <w:szCs w:val="19"/>
              </w:rPr>
              <w:t>Entraîner, comparer et optimiser les modèles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0" w:color="6C3483"/>
              <w:bottom w:val="single" w:sz="1" w:space="0" w:color="CCCCCC"/>
              <w:right w:val="none" w:sz="0" w:space="0" w:color="FFFFFF"/>
            </w:tcBorders>
            <w:shd w:val="clear" w:color="auto" w:fill="6C3483"/>
            <w:tcMar>
              <w:top w:w="0" w:type="dxa"/>
              <w:left w:w="80" w:type="dxa"/>
              <w:bottom w:w="90" w:type="dxa"/>
              <w:right w:w="80" w:type="dxa"/>
            </w:tcMar>
          </w:tcPr>
          <w:p w:rsidR="000B0399" w:rsidRDefault="000B039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60" w:type="dxa"/>
              <w:bottom w:w="110" w:type="dxa"/>
              <w:right w:w="140" w:type="dxa"/>
            </w:tcMar>
          </w:tcPr>
          <w:p w:rsidR="000B0399" w:rsidRDefault="00587CC1">
            <w:pPr>
              <w:spacing w:before="30" w:after="30"/>
            </w:pPr>
            <w:r>
              <w:rPr>
                <w:b/>
                <w:bCs/>
                <w:color w:val="6C3483"/>
                <w:sz w:val="18"/>
                <w:szCs w:val="18"/>
              </w:rPr>
              <w:t>✦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Découpage stratifié train/test (70/30) en préservant le ratio 27.7% de churn dans chaque split.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6C3483"/>
                <w:sz w:val="18"/>
                <w:szCs w:val="18"/>
              </w:rPr>
              <w:t>✦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Tester au minimum 3 algorithmes : XGBoost (baseline), Random Forest, Logistic Regression.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6C3483"/>
                <w:sz w:val="18"/>
                <w:szCs w:val="18"/>
              </w:rPr>
              <w:t>✦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Gérer le déséquilibre des classes : tester class_weight natif XGBoost vs SMOTE et comparer les résultats.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6C3483"/>
                <w:sz w:val="18"/>
                <w:szCs w:val="18"/>
              </w:rPr>
              <w:t>✦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Métriques d'évaluation prioritaires : AUC-ROC, F1-scor</w:t>
            </w:r>
            <w:r>
              <w:rPr>
                <w:color w:val="2C2C2C"/>
                <w:sz w:val="18"/>
                <w:szCs w:val="18"/>
              </w:rPr>
              <w:t>e, Recall (minimiser les faux négatifs = churners non détectés).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6C3483"/>
                <w:sz w:val="18"/>
                <w:szCs w:val="18"/>
              </w:rPr>
              <w:t>✦</w:t>
            </w:r>
            <w:r>
              <w:rPr>
                <w:b/>
                <w:bCs/>
                <w:color w:val="6C3483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Optimisation des hyperparamètres : GridSearchCV ou Optuna sur XGBoost (n_estimators, max_depth, learning_rate, scale_pos_weight).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"/>
        <w:gridCol w:w="8710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4" w:space="0" w:color="C87D0E"/>
              <w:bottom w:val="none" w:sz="0" w:space="0" w:color="FFFFFF"/>
              <w:right w:val="none" w:sz="0" w:space="0" w:color="FFFFFF"/>
            </w:tcBorders>
            <w:shd w:val="clear" w:color="auto" w:fill="C87D0E"/>
            <w:tcMar>
              <w:top w:w="90" w:type="dxa"/>
              <w:left w:w="80" w:type="dxa"/>
              <w:bottom w:w="9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C87D0E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C87D0E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87D0E"/>
                <w:sz w:val="17"/>
                <w:szCs w:val="17"/>
              </w:rPr>
              <w:t xml:space="preserve">INTERPRÉTABILITÉ SHAP  —  </w:t>
            </w:r>
            <w:r>
              <w:rPr>
                <w:b/>
                <w:bCs/>
                <w:color w:val="1A1A1A"/>
                <w:sz w:val="19"/>
                <w:szCs w:val="19"/>
              </w:rPr>
              <w:t>Expliquer les prédictions du modèle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0" w:color="C87D0E"/>
              <w:bottom w:val="single" w:sz="1" w:space="0" w:color="CCCCCC"/>
              <w:right w:val="none" w:sz="0" w:space="0" w:color="FFFFFF"/>
            </w:tcBorders>
            <w:shd w:val="clear" w:color="auto" w:fill="C87D0E"/>
            <w:tcMar>
              <w:top w:w="0" w:type="dxa"/>
              <w:left w:w="80" w:type="dxa"/>
              <w:bottom w:w="90" w:type="dxa"/>
              <w:right w:w="80" w:type="dxa"/>
            </w:tcMar>
          </w:tcPr>
          <w:p w:rsidR="000B0399" w:rsidRDefault="000B039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60" w:type="dxa"/>
              <w:bottom w:w="110" w:type="dxa"/>
              <w:right w:w="140" w:type="dxa"/>
            </w:tcMar>
          </w:tcPr>
          <w:p w:rsidR="000B0399" w:rsidRDefault="00587CC1">
            <w:pPr>
              <w:spacing w:before="30" w:after="30"/>
            </w:pPr>
            <w:r>
              <w:rPr>
                <w:b/>
                <w:bCs/>
                <w:color w:val="C87D0E"/>
                <w:sz w:val="18"/>
                <w:szCs w:val="18"/>
              </w:rPr>
              <w:t>✦</w:t>
            </w:r>
            <w:r>
              <w:rPr>
                <w:b/>
                <w:bCs/>
                <w:color w:val="C87D0E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Calculer les valeurs SHAP globales : identifier le top 10 des features les plus influentes.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87D0E"/>
                <w:sz w:val="18"/>
                <w:szCs w:val="18"/>
              </w:rPr>
              <w:t>✦</w:t>
            </w:r>
            <w:r>
              <w:rPr>
                <w:b/>
                <w:bCs/>
                <w:color w:val="C87D0E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Produire le SHAP Summary Plot (beeswarm) pour le rapport.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87D0E"/>
                <w:sz w:val="18"/>
                <w:szCs w:val="18"/>
              </w:rPr>
              <w:t>✦</w:t>
            </w:r>
            <w:r>
              <w:rPr>
                <w:b/>
                <w:bCs/>
                <w:color w:val="C87D0E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Calculer les SHAP individuels par client pour alimenter la fiche client de l'application web.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87D0E"/>
                <w:sz w:val="18"/>
                <w:szCs w:val="18"/>
              </w:rPr>
              <w:t>✦</w:t>
            </w:r>
            <w:r>
              <w:rPr>
                <w:b/>
                <w:bCs/>
                <w:color w:val="C87D0E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Vérifier que recence_cdr_jours n'apparaît pas dans les SHAP features — si oui, data leakage confirmé.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87D0E"/>
                <w:sz w:val="18"/>
                <w:szCs w:val="18"/>
              </w:rPr>
              <w:t>✦</w:t>
            </w:r>
            <w:r>
              <w:rPr>
                <w:b/>
                <w:bCs/>
                <w:color w:val="C87D0E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Documenter l'interprétation métier de chaque feature S</w:t>
            </w:r>
            <w:r>
              <w:rPr>
                <w:color w:val="2C2C2C"/>
                <w:sz w:val="18"/>
                <w:szCs w:val="18"/>
              </w:rPr>
              <w:t>HAP importante (ex. 'data faible = signal de désengagement').</w:t>
            </w:r>
          </w:p>
        </w:tc>
      </w:tr>
    </w:tbl>
    <w:p w:rsidR="000B0399" w:rsidRDefault="000B0399">
      <w:pPr>
        <w:spacing w:before="50" w:after="50"/>
      </w:pPr>
    </w:p>
    <w:tbl>
      <w:tblPr>
        <w:tblW w:w="9026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"/>
        <w:gridCol w:w="8710"/>
      </w:tblGrid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4" w:space="0" w:color="C0392B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:rsidR="000B0399" w:rsidRDefault="00587CC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C0392B"/>
              <w:left w:val="none" w:sz="0" w:space="0" w:color="FFFFFF"/>
              <w:bottom w:val="none" w:sz="0" w:space="0" w:color="FFFFFF"/>
              <w:right w:val="single" w:sz="1" w:space="0" w:color="CCCCCC"/>
            </w:tcBorders>
            <w:shd w:val="clear" w:color="auto" w:fill="C0392B"/>
            <w:tcMar>
              <w:top w:w="90" w:type="dxa"/>
              <w:left w:w="160" w:type="dxa"/>
              <w:bottom w:w="90" w:type="dxa"/>
              <w:right w:w="140" w:type="dxa"/>
            </w:tcMar>
          </w:tcPr>
          <w:p w:rsidR="000B0399" w:rsidRDefault="00587CC1">
            <w:r>
              <w:rPr>
                <w:b/>
                <w:bCs/>
                <w:color w:val="C0392B"/>
                <w:sz w:val="17"/>
                <w:szCs w:val="17"/>
              </w:rPr>
              <w:t xml:space="preserve">INTÉGRATION &amp; DÉPLOIEMENT  —  </w:t>
            </w:r>
            <w:r>
              <w:rPr>
                <w:b/>
                <w:bCs/>
                <w:color w:val="1A1A1A"/>
                <w:sz w:val="19"/>
                <w:szCs w:val="19"/>
              </w:rPr>
              <w:t>Connecter le modèle à l'application web (Sprint 3)</w:t>
            </w:r>
          </w:p>
        </w:tc>
      </w:tr>
      <w:tr w:rsidR="000B039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4" w:space="0" w:color="C0392B"/>
              <w:bottom w:val="single" w:sz="1" w:space="0" w:color="CCCCCC"/>
              <w:right w:val="none" w:sz="0" w:space="0" w:color="FFFFFF"/>
            </w:tcBorders>
            <w:shd w:val="clear" w:color="auto" w:fill="C0392B"/>
            <w:tcMar>
              <w:top w:w="0" w:type="dxa"/>
              <w:left w:w="80" w:type="dxa"/>
              <w:bottom w:w="90" w:type="dxa"/>
              <w:right w:w="80" w:type="dxa"/>
            </w:tcMar>
          </w:tcPr>
          <w:p w:rsidR="000B0399" w:rsidRDefault="000B039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60" w:type="dxa"/>
              <w:bottom w:w="110" w:type="dxa"/>
              <w:right w:w="140" w:type="dxa"/>
            </w:tcMar>
          </w:tcPr>
          <w:p w:rsidR="000B0399" w:rsidRDefault="00587CC1">
            <w:pPr>
              <w:spacing w:before="30" w:after="30"/>
            </w:pPr>
            <w:r>
              <w:rPr>
                <w:b/>
                <w:bCs/>
                <w:color w:val="C0392B"/>
                <w:sz w:val="18"/>
                <w:szCs w:val="18"/>
              </w:rPr>
              <w:t>✦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Sérialiser le modèle final : joblib.dump(model, 'churn_model_v1.pkl').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0392B"/>
                <w:sz w:val="18"/>
                <w:szCs w:val="18"/>
              </w:rPr>
              <w:t>✦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Créer l'</w:t>
            </w:r>
            <w:r>
              <w:rPr>
                <w:color w:val="2C2C2C"/>
                <w:sz w:val="18"/>
                <w:szCs w:val="18"/>
              </w:rPr>
              <w:t>endpoint FastAPI : POST /predict avec validation du schéma d'entrée (Pydantic).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0392B"/>
                <w:sz w:val="18"/>
                <w:szCs w:val="18"/>
              </w:rPr>
              <w:t>✦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Implémenter le pipeline de prétraitement intégré (encodage + normalisation + prédiction) dans un seul objet sklearn Pipeline.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0392B"/>
                <w:sz w:val="18"/>
                <w:szCs w:val="18"/>
              </w:rPr>
              <w:t>✦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Tester l'endpoint avec les 300 clients du da</w:t>
            </w:r>
            <w:r>
              <w:rPr>
                <w:color w:val="2C2C2C"/>
                <w:sz w:val="18"/>
                <w:szCs w:val="18"/>
              </w:rPr>
              <w:t>taset et vérifier la cohérence des probabilités prédites.</w:t>
            </w:r>
          </w:p>
          <w:p w:rsidR="000B0399" w:rsidRDefault="00587CC1">
            <w:pPr>
              <w:spacing w:before="30" w:after="30"/>
            </w:pPr>
            <w:r>
              <w:rPr>
                <w:b/>
                <w:bCs/>
                <w:color w:val="C0392B"/>
                <w:sz w:val="18"/>
                <w:szCs w:val="18"/>
              </w:rPr>
              <w:t>✦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Intégrer les valeurs SHAP dans la réponse API pour alimenter la fiche client en temps réel.</w:t>
            </w:r>
          </w:p>
        </w:tc>
      </w:tr>
    </w:tbl>
    <w:p w:rsidR="000B0399" w:rsidRDefault="000B0399">
      <w:pPr>
        <w:spacing w:before="50" w:after="50"/>
      </w:pPr>
    </w:p>
    <w:p w:rsidR="000B0399" w:rsidRDefault="000B0399">
      <w:pPr>
        <w:pBdr>
          <w:bottom w:val="single" w:sz="4" w:space="1" w:color="1A5276"/>
        </w:pBdr>
        <w:spacing w:before="140" w:after="140"/>
      </w:pPr>
    </w:p>
    <w:p w:rsidR="000B0399" w:rsidRDefault="00587CC1">
      <w:pPr>
        <w:pStyle w:val="Titre1"/>
      </w:pPr>
      <w:r>
        <w:t>6.  Appréciation globale</w:t>
      </w:r>
    </w:p>
    <w:p w:rsidR="000B0399" w:rsidRDefault="000B0399">
      <w:pPr>
        <w:spacing w:before="50" w:after="50"/>
      </w:pPr>
    </w:p>
    <w:p w:rsidR="000B0399" w:rsidRDefault="00587CC1">
      <w:pPr>
        <w:spacing w:before="60" w:after="60"/>
      </w:pPr>
      <w:r>
        <w:rPr>
          <w:color w:val="2C2C2C"/>
        </w:rPr>
        <w:t>Ce rapport de synthèse témoigne d'</w:t>
      </w:r>
      <w:r>
        <w:rPr>
          <w:color w:val="2C2C2C"/>
        </w:rPr>
        <w:t>un travail ambitieux et bien structuré. La maîtrise de SDV, la conception du pipeline en 4 étapes, et la qualité de l'analyse Q3 sont des éléments qui distinguent favorablement ce PFE. L'étudiant montre une vraie vision data science du projet, pas seulemen</w:t>
      </w:r>
      <w:r>
        <w:rPr>
          <w:color w:val="2C2C2C"/>
        </w:rPr>
        <w:t>t une exécution mécanique.</w:t>
      </w:r>
    </w:p>
    <w:p w:rsidR="000B0399" w:rsidRDefault="000B0399">
      <w:pPr>
        <w:spacing w:before="50" w:after="50"/>
      </w:pPr>
    </w:p>
    <w:p w:rsidR="000B0399" w:rsidRDefault="00587CC1">
      <w:pPr>
        <w:spacing w:before="60" w:after="60"/>
      </w:pPr>
      <w:r>
        <w:rPr>
          <w:color w:val="2C2C2C"/>
        </w:rPr>
        <w:t>Cependant, trois problèmes doivent être résolus en priorité absolue avant de passer à la modélisation :</w:t>
      </w:r>
    </w:p>
    <w:p w:rsidR="000B0399" w:rsidRDefault="000B0399">
      <w:pPr>
        <w:spacing w:before="50" w:after="50"/>
      </w:pPr>
    </w:p>
    <w:p w:rsidR="000B0399" w:rsidRDefault="00587CC1">
      <w:pPr>
        <w:pStyle w:val="Paragraphedeliste"/>
        <w:numPr>
          <w:ilvl w:val="0"/>
          <w:numId w:val="2"/>
        </w:numPr>
      </w:pPr>
      <w:r>
        <w:rPr>
          <w:b/>
          <w:bCs/>
          <w:color w:val="C0392B"/>
        </w:rPr>
        <w:t>Le taux de churn final (31.3%) ne correspond pas à la cible définie (27.7%) — corriger le dataset.</w:t>
      </w:r>
    </w:p>
    <w:p w:rsidR="000B0399" w:rsidRDefault="00587CC1">
      <w:pPr>
        <w:pStyle w:val="Paragraphedeliste"/>
        <w:numPr>
          <w:ilvl w:val="0"/>
          <w:numId w:val="2"/>
        </w:numPr>
      </w:pPr>
      <w:r>
        <w:rPr>
          <w:b/>
          <w:bCs/>
          <w:color w:val="C0392B"/>
        </w:rPr>
        <w:lastRenderedPageBreak/>
        <w:t>recence_cdr_jours doit être exclue de la matrice X — data leakage qui invaliderait le modèle.</w:t>
      </w:r>
    </w:p>
    <w:p w:rsidR="000B0399" w:rsidRDefault="00587CC1">
      <w:pPr>
        <w:pStyle w:val="Paragraphedeliste"/>
        <w:numPr>
          <w:ilvl w:val="0"/>
          <w:numId w:val="2"/>
        </w:numPr>
      </w:pPr>
      <w:r>
        <w:t>La contradiction Signal Faible → churn 14.3% vs Biais n°3 doit être expliquée dans le rapport.</w:t>
      </w:r>
    </w:p>
    <w:p w:rsidR="000B0399" w:rsidRDefault="000B0399">
      <w:pPr>
        <w:spacing w:before="50" w:after="50"/>
      </w:pPr>
    </w:p>
    <w:p w:rsidR="000B0399" w:rsidRDefault="00587CC1">
      <w:pPr>
        <w:spacing w:before="60" w:after="60"/>
      </w:pPr>
      <w:r>
        <w:rPr>
          <w:color w:val="2C2C2C"/>
        </w:rPr>
        <w:t>Une fois ces corrections appliquées, le projet sera prêt pour la p</w:t>
      </w:r>
      <w:r>
        <w:rPr>
          <w:color w:val="2C2C2C"/>
        </w:rPr>
        <w:t>hase de feature engineering et de modélisation décrite dans la feuille de route ci-dessus.</w:t>
      </w:r>
    </w:p>
    <w:p w:rsidR="000B0399" w:rsidRDefault="000B0399">
      <w:pPr>
        <w:spacing w:before="50" w:after="50"/>
      </w:pPr>
    </w:p>
    <w:p w:rsidR="00587CC1" w:rsidRDefault="00587CC1">
      <w:bookmarkStart w:id="0" w:name="_GoBack"/>
      <w:bookmarkEnd w:id="0"/>
    </w:p>
    <w:sectPr w:rsidR="00587CC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CC1" w:rsidRDefault="00587CC1">
      <w:r>
        <w:separator/>
      </w:r>
    </w:p>
  </w:endnote>
  <w:endnote w:type="continuationSeparator" w:id="0">
    <w:p w:rsidR="00587CC1" w:rsidRDefault="0058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399" w:rsidRDefault="00587CC1">
    <w:pPr>
      <w:pBdr>
        <w:top w:val="single" w:sz="4" w:space="1" w:color="1A5276"/>
      </w:pBdr>
    </w:pPr>
    <w:r>
      <w:rPr>
        <w:color w:val="5D6D7E"/>
        <w:sz w:val="16"/>
        <w:szCs w:val="16"/>
      </w:rPr>
      <w:t xml:space="preserve">Document d'encadrement · Confidentiel  —  p.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 w:rsidR="002C4F4B">
      <w:rPr>
        <w:color w:val="5D6D7E"/>
        <w:sz w:val="16"/>
        <w:szCs w:val="16"/>
      </w:rPr>
      <w:fldChar w:fldCharType="separate"/>
    </w:r>
    <w:r w:rsidR="002C4F4B">
      <w:rPr>
        <w:noProof/>
        <w:color w:val="5D6D7E"/>
        <w:sz w:val="16"/>
        <w:szCs w:val="16"/>
      </w:rPr>
      <w:t>3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CC1" w:rsidRDefault="00587CC1">
      <w:r>
        <w:separator/>
      </w:r>
    </w:p>
  </w:footnote>
  <w:footnote w:type="continuationSeparator" w:id="0">
    <w:p w:rsidR="00587CC1" w:rsidRDefault="00587C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399" w:rsidRDefault="00587CC1">
    <w:pPr>
      <w:pBdr>
        <w:bottom w:val="single" w:sz="6" w:space="1" w:color="1A5276"/>
      </w:pBdr>
    </w:pPr>
    <w:r>
      <w:rPr>
        <w:color w:val="5D6D7E"/>
        <w:sz w:val="17"/>
        <w:szCs w:val="17"/>
      </w:rPr>
      <w:t xml:space="preserve">Annotations – Génération de Données Synthétiques  |  </w:t>
    </w:r>
    <w:r>
      <w:rPr>
        <w:b/>
        <w:bCs/>
        <w:color w:val="1A5276"/>
        <w:sz w:val="17"/>
        <w:szCs w:val="17"/>
      </w:rPr>
      <w:t>PFE · Churn Detection · Tunisie Télécom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B3816"/>
    <w:multiLevelType w:val="hybridMultilevel"/>
    <w:tmpl w:val="DDAEFE8A"/>
    <w:lvl w:ilvl="0" w:tplc="A614CF38">
      <w:start w:val="1"/>
      <w:numFmt w:val="bullet"/>
      <w:lvlText w:val="●"/>
      <w:lvlJc w:val="left"/>
      <w:pPr>
        <w:ind w:left="720" w:hanging="360"/>
      </w:pPr>
    </w:lvl>
    <w:lvl w:ilvl="1" w:tplc="14B82592">
      <w:start w:val="1"/>
      <w:numFmt w:val="bullet"/>
      <w:lvlText w:val="○"/>
      <w:lvlJc w:val="left"/>
      <w:pPr>
        <w:ind w:left="1440" w:hanging="360"/>
      </w:pPr>
    </w:lvl>
    <w:lvl w:ilvl="2" w:tplc="A9049736">
      <w:start w:val="1"/>
      <w:numFmt w:val="bullet"/>
      <w:lvlText w:val="■"/>
      <w:lvlJc w:val="left"/>
      <w:pPr>
        <w:ind w:left="2160" w:hanging="360"/>
      </w:pPr>
    </w:lvl>
    <w:lvl w:ilvl="3" w:tplc="6492AFFE">
      <w:start w:val="1"/>
      <w:numFmt w:val="bullet"/>
      <w:lvlText w:val="●"/>
      <w:lvlJc w:val="left"/>
      <w:pPr>
        <w:ind w:left="2880" w:hanging="360"/>
      </w:pPr>
    </w:lvl>
    <w:lvl w:ilvl="4" w:tplc="4016DD5E">
      <w:start w:val="1"/>
      <w:numFmt w:val="bullet"/>
      <w:lvlText w:val="○"/>
      <w:lvlJc w:val="left"/>
      <w:pPr>
        <w:ind w:left="3600" w:hanging="360"/>
      </w:pPr>
    </w:lvl>
    <w:lvl w:ilvl="5" w:tplc="F25E8836">
      <w:start w:val="1"/>
      <w:numFmt w:val="bullet"/>
      <w:lvlText w:val="■"/>
      <w:lvlJc w:val="left"/>
      <w:pPr>
        <w:ind w:left="4320" w:hanging="360"/>
      </w:pPr>
    </w:lvl>
    <w:lvl w:ilvl="6" w:tplc="161C8EC4">
      <w:start w:val="1"/>
      <w:numFmt w:val="bullet"/>
      <w:lvlText w:val="●"/>
      <w:lvlJc w:val="left"/>
      <w:pPr>
        <w:ind w:left="5040" w:hanging="360"/>
      </w:pPr>
    </w:lvl>
    <w:lvl w:ilvl="7" w:tplc="9488AB0E">
      <w:start w:val="1"/>
      <w:numFmt w:val="bullet"/>
      <w:lvlText w:val="●"/>
      <w:lvlJc w:val="left"/>
      <w:pPr>
        <w:ind w:left="5760" w:hanging="360"/>
      </w:pPr>
    </w:lvl>
    <w:lvl w:ilvl="8" w:tplc="C5D4D39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B945E81"/>
    <w:multiLevelType w:val="hybridMultilevel"/>
    <w:tmpl w:val="6E90E528"/>
    <w:lvl w:ilvl="0" w:tplc="B8D07404">
      <w:start w:val="1"/>
      <w:numFmt w:val="lowerLetter"/>
      <w:lvlText w:val="%1."/>
      <w:lvlJc w:val="left"/>
      <w:pPr>
        <w:ind w:left="720" w:hanging="360"/>
      </w:pPr>
    </w:lvl>
    <w:lvl w:ilvl="1" w:tplc="4A1CA6D8">
      <w:numFmt w:val="decimal"/>
      <w:lvlText w:val=""/>
      <w:lvlJc w:val="left"/>
    </w:lvl>
    <w:lvl w:ilvl="2" w:tplc="2408A8DE">
      <w:numFmt w:val="decimal"/>
      <w:lvlText w:val=""/>
      <w:lvlJc w:val="left"/>
    </w:lvl>
    <w:lvl w:ilvl="3" w:tplc="C6C02AB6">
      <w:numFmt w:val="decimal"/>
      <w:lvlText w:val=""/>
      <w:lvlJc w:val="left"/>
    </w:lvl>
    <w:lvl w:ilvl="4" w:tplc="CEC033E0">
      <w:numFmt w:val="decimal"/>
      <w:lvlText w:val=""/>
      <w:lvlJc w:val="left"/>
    </w:lvl>
    <w:lvl w:ilvl="5" w:tplc="A1129AB2">
      <w:numFmt w:val="decimal"/>
      <w:lvlText w:val=""/>
      <w:lvlJc w:val="left"/>
    </w:lvl>
    <w:lvl w:ilvl="6" w:tplc="13D07F28">
      <w:numFmt w:val="decimal"/>
      <w:lvlText w:val=""/>
      <w:lvlJc w:val="left"/>
    </w:lvl>
    <w:lvl w:ilvl="7" w:tplc="A2CAD098">
      <w:numFmt w:val="decimal"/>
      <w:lvlText w:val=""/>
      <w:lvlJc w:val="left"/>
    </w:lvl>
    <w:lvl w:ilvl="8" w:tplc="D1DC6E66">
      <w:numFmt w:val="decimal"/>
      <w:lvlText w:val=""/>
      <w:lvlJc w:val="left"/>
    </w:lvl>
  </w:abstractNum>
  <w:abstractNum w:abstractNumId="2">
    <w:nsid w:val="50550B9B"/>
    <w:multiLevelType w:val="hybridMultilevel"/>
    <w:tmpl w:val="D770607E"/>
    <w:lvl w:ilvl="0" w:tplc="23A033AE">
      <w:start w:val="1"/>
      <w:numFmt w:val="decimal"/>
      <w:lvlText w:val="%1."/>
      <w:lvlJc w:val="left"/>
      <w:pPr>
        <w:ind w:left="720" w:hanging="360"/>
      </w:pPr>
    </w:lvl>
    <w:lvl w:ilvl="1" w:tplc="0F28DFEE">
      <w:numFmt w:val="decimal"/>
      <w:lvlText w:val=""/>
      <w:lvlJc w:val="left"/>
    </w:lvl>
    <w:lvl w:ilvl="2" w:tplc="65364F32">
      <w:numFmt w:val="decimal"/>
      <w:lvlText w:val=""/>
      <w:lvlJc w:val="left"/>
    </w:lvl>
    <w:lvl w:ilvl="3" w:tplc="AD1C92E2">
      <w:numFmt w:val="decimal"/>
      <w:lvlText w:val=""/>
      <w:lvlJc w:val="left"/>
    </w:lvl>
    <w:lvl w:ilvl="4" w:tplc="9190EC10">
      <w:numFmt w:val="decimal"/>
      <w:lvlText w:val=""/>
      <w:lvlJc w:val="left"/>
    </w:lvl>
    <w:lvl w:ilvl="5" w:tplc="E34A41E8">
      <w:numFmt w:val="decimal"/>
      <w:lvlText w:val=""/>
      <w:lvlJc w:val="left"/>
    </w:lvl>
    <w:lvl w:ilvl="6" w:tplc="C930D7F4">
      <w:numFmt w:val="decimal"/>
      <w:lvlText w:val=""/>
      <w:lvlJc w:val="left"/>
    </w:lvl>
    <w:lvl w:ilvl="7" w:tplc="2CA40660">
      <w:numFmt w:val="decimal"/>
      <w:lvlText w:val=""/>
      <w:lvlJc w:val="left"/>
    </w:lvl>
    <w:lvl w:ilvl="8" w:tplc="03A2BC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99"/>
    <w:rsid w:val="000B0399"/>
    <w:rsid w:val="002C4F4B"/>
    <w:rsid w:val="0058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1D159E-1D1A-45DF-8FCB-BF59FA9C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40" w:after="200"/>
      <w:outlineLvl w:val="0"/>
    </w:pPr>
    <w:rPr>
      <w:b/>
      <w:bCs/>
      <w:color w:val="1A3A5C"/>
      <w:sz w:val="30"/>
      <w:szCs w:val="30"/>
    </w:rPr>
  </w:style>
  <w:style w:type="paragraph" w:styleId="Titre2">
    <w:name w:val="heading 2"/>
    <w:qFormat/>
    <w:pPr>
      <w:spacing w:before="280" w:after="120"/>
      <w:outlineLvl w:val="1"/>
    </w:pPr>
    <w:rPr>
      <w:b/>
      <w:bCs/>
      <w:color w:val="1A5276"/>
      <w:sz w:val="23"/>
      <w:szCs w:val="23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2837</Words>
  <Characters>15604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2026-04-04T06:17:00Z</dcterms:created>
  <dcterms:modified xsi:type="dcterms:W3CDTF">2026-04-04T06:17:00Z</dcterms:modified>
</cp:coreProperties>
</file>