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rsidR="007306FA" w:rsidRDefault="00E6661C">
            <w:pPr>
              <w:jc w:val="center"/>
            </w:pPr>
            <w:r>
              <w:rPr>
                <w:b/>
                <w:bCs/>
                <w:color w:val="FFFFFF"/>
                <w:sz w:val="28"/>
                <w:szCs w:val="28"/>
              </w:rPr>
              <w:t>📋</w:t>
            </w:r>
            <w:r>
              <w:rPr>
                <w:b/>
                <w:bCs/>
                <w:color w:val="FFFFFF"/>
                <w:sz w:val="28"/>
                <w:szCs w:val="28"/>
              </w:rPr>
              <w:t xml:space="preserve">  Annotations – Définition du Périmètre Churn</w:t>
            </w:r>
          </w:p>
          <w:p w:rsidR="007306FA" w:rsidRDefault="00E6661C">
            <w:pPr>
              <w:jc w:val="center"/>
            </w:pPr>
            <w:r>
              <w:rPr>
                <w:color w:val="BDC3C7"/>
                <w:sz w:val="18"/>
                <w:szCs w:val="18"/>
              </w:rPr>
              <w:t>PFE · Prédiction du churn client · Tunisie Telecom  |  Document d'encadrement</w:t>
            </w:r>
          </w:p>
        </w:tc>
      </w:tr>
    </w:tbl>
    <w:p w:rsidR="007306FA" w:rsidRDefault="007306FA">
      <w:pPr>
        <w:spacing w:before="60" w:after="60"/>
      </w:pPr>
    </w:p>
    <w:p w:rsidR="007306FA" w:rsidRDefault="007306FA">
      <w:pPr>
        <w:spacing w:before="60" w:after="60"/>
      </w:pPr>
    </w:p>
    <w:p w:rsidR="007306FA" w:rsidRDefault="00935165">
      <w:pPr>
        <w:pStyle w:val="Titre1"/>
      </w:pPr>
      <w:r>
        <w:t>1</w:t>
      </w:r>
      <w:r w:rsidR="00E6661C">
        <w:t>.  Incohérences et faiblesses</w:t>
      </w:r>
    </w:p>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0392B"/>
              <w:left w:val="single" w:sz="10" w:space="0" w:color="C0392B"/>
              <w:bottom w:val="none" w:sz="0" w:space="0" w:color="FFFFFF"/>
              <w:right w:val="single" w:sz="1" w:space="0" w:color="CCCCCC"/>
            </w:tcBorders>
            <w:shd w:val="clear" w:color="auto" w:fill="FADBD8"/>
            <w:tcMar>
              <w:top w:w="80" w:type="dxa"/>
              <w:left w:w="180" w:type="dxa"/>
              <w:bottom w:w="80" w:type="dxa"/>
              <w:right w:w="120" w:type="dxa"/>
            </w:tcMar>
          </w:tcPr>
          <w:p w:rsidR="007306FA" w:rsidRDefault="00E6661C">
            <w:r>
              <w:rPr>
                <w:b/>
                <w:bCs/>
                <w:color w:val="C0392B"/>
                <w:sz w:val="19"/>
                <w:szCs w:val="19"/>
              </w:rPr>
              <w:t>⚠</w:t>
            </w:r>
            <w:r>
              <w:rPr>
                <w:b/>
                <w:bCs/>
                <w:color w:val="C0392B"/>
                <w:sz w:val="19"/>
                <w:szCs w:val="19"/>
              </w:rPr>
              <w:t>️</w:t>
            </w:r>
            <w:r>
              <w:rPr>
                <w:b/>
                <w:bCs/>
                <w:color w:val="C0392B"/>
                <w:sz w:val="19"/>
                <w:szCs w:val="19"/>
              </w:rPr>
              <w:t xml:space="preserve"> INCOHÉRENCE  </w:t>
            </w:r>
            <w:r>
              <w:rPr>
                <w:b/>
                <w:bCs/>
                <w:color w:val="1C1C1C"/>
                <w:sz w:val="19"/>
                <w:szCs w:val="19"/>
              </w:rPr>
              <w:t>Trois scénarios annoncés, seulement deux présentés</w:t>
            </w:r>
          </w:p>
        </w:tc>
      </w:tr>
      <w:tr w:rsidR="007306FA">
        <w:tblPrEx>
          <w:tblCellMar>
            <w:top w:w="0" w:type="dxa"/>
            <w:bottom w:w="0" w:type="dxa"/>
          </w:tblCellMar>
        </w:tblPrEx>
        <w:tc>
          <w:tcPr>
            <w:tcW w:w="0" w:type="auto"/>
            <w:tcBorders>
              <w:top w:val="none" w:sz="0" w:space="0" w:color="FFFFFF"/>
              <w:left w:val="single" w:sz="10" w:space="0" w:color="C0392B"/>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Le document indique d'emblée que « trois scénarios de définition du churn ont été évalués » mais ne présente que deux scénarios (A et B). Le Scénario C n'apparaît nulle part dans le corps du texte.</w:t>
            </w:r>
          </w:p>
          <w:p w:rsidR="007306FA" w:rsidRDefault="00E6661C">
            <w:pPr>
              <w:spacing w:before="30" w:after="30"/>
            </w:pPr>
            <w:r>
              <w:rPr>
                <w:b/>
                <w:bCs/>
                <w:color w:val="C0392B"/>
                <w:sz w:val="19"/>
                <w:szCs w:val="19"/>
              </w:rPr>
              <w:t xml:space="preserve">→  </w:t>
            </w:r>
            <w:r>
              <w:rPr>
                <w:color w:val="2C2C2C"/>
                <w:sz w:val="19"/>
                <w:szCs w:val="19"/>
              </w:rPr>
              <w:t>Soit l'étudiant a oublié de rédiger le Scénario C, soit il n'a évalué que deux scénarios et la formulation est incorrecte.</w:t>
            </w:r>
          </w:p>
          <w:p w:rsidR="007306FA" w:rsidRDefault="00E6661C">
            <w:pPr>
              <w:spacing w:before="30" w:after="30"/>
            </w:pPr>
            <w:r>
              <w:rPr>
                <w:b/>
                <w:bCs/>
                <w:color w:val="C0392B"/>
                <w:sz w:val="19"/>
                <w:szCs w:val="19"/>
              </w:rPr>
              <w:t xml:space="preserve">→  </w:t>
            </w:r>
            <w:r>
              <w:rPr>
                <w:color w:val="2C2C2C"/>
                <w:sz w:val="19"/>
                <w:szCs w:val="19"/>
              </w:rPr>
              <w:t>À corriger impérativement : soit décrire le Scénario C, soit reformuler en « deux scénarios ».</w:t>
            </w:r>
          </w:p>
          <w:p w:rsidR="007306FA" w:rsidRDefault="00E6661C">
            <w:pPr>
              <w:spacing w:before="30" w:after="30"/>
            </w:pPr>
            <w:r>
              <w:rPr>
                <w:b/>
                <w:bCs/>
                <w:color w:val="C0392B"/>
                <w:sz w:val="19"/>
                <w:szCs w:val="19"/>
              </w:rPr>
              <w:t xml:space="preserve">→  </w:t>
            </w:r>
            <w:r>
              <w:rPr>
                <w:color w:val="2C2C2C"/>
                <w:sz w:val="19"/>
                <w:szCs w:val="19"/>
              </w:rPr>
              <w:t>Le tableau de synthèse en page 2</w:t>
            </w:r>
            <w:r>
              <w:rPr>
                <w:color w:val="2C2C2C"/>
                <w:sz w:val="19"/>
                <w:szCs w:val="19"/>
              </w:rPr>
              <w:t xml:space="preserve"> ne mentionne que 3 lignes (A, B, règle finale) — il n'y a donc pas de Scénario C évalué.</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0392B"/>
              <w:left w:val="single" w:sz="10" w:space="0" w:color="C0392B"/>
              <w:bottom w:val="none" w:sz="0" w:space="0" w:color="FFFFFF"/>
              <w:right w:val="single" w:sz="1" w:space="0" w:color="CCCCCC"/>
            </w:tcBorders>
            <w:shd w:val="clear" w:color="auto" w:fill="FADBD8"/>
            <w:tcMar>
              <w:top w:w="80" w:type="dxa"/>
              <w:left w:w="180" w:type="dxa"/>
              <w:bottom w:w="80" w:type="dxa"/>
              <w:right w:w="120" w:type="dxa"/>
            </w:tcMar>
          </w:tcPr>
          <w:p w:rsidR="007306FA" w:rsidRDefault="00E6661C">
            <w:r>
              <w:rPr>
                <w:b/>
                <w:bCs/>
                <w:color w:val="C0392B"/>
                <w:sz w:val="19"/>
                <w:szCs w:val="19"/>
              </w:rPr>
              <w:t>⚠</w:t>
            </w:r>
            <w:r>
              <w:rPr>
                <w:b/>
                <w:bCs/>
                <w:color w:val="C0392B"/>
                <w:sz w:val="19"/>
                <w:szCs w:val="19"/>
              </w:rPr>
              <w:t>️</w:t>
            </w:r>
            <w:r>
              <w:rPr>
                <w:b/>
                <w:bCs/>
                <w:color w:val="C0392B"/>
                <w:sz w:val="19"/>
                <w:szCs w:val="19"/>
              </w:rPr>
              <w:t xml:space="preserve"> INCOHÉRENCE  </w:t>
            </w:r>
            <w:r>
              <w:rPr>
                <w:b/>
                <w:bCs/>
                <w:color w:val="1C1C1C"/>
                <w:sz w:val="19"/>
                <w:szCs w:val="19"/>
              </w:rPr>
              <w:t>Le seuil de 90 jours n'est pas justifié</w:t>
            </w:r>
          </w:p>
        </w:tc>
      </w:tr>
      <w:tr w:rsidR="007306FA">
        <w:tblPrEx>
          <w:tblCellMar>
            <w:top w:w="0" w:type="dxa"/>
            <w:bottom w:w="0" w:type="dxa"/>
          </w:tblCellMar>
        </w:tblPrEx>
        <w:tc>
          <w:tcPr>
            <w:tcW w:w="0" w:type="auto"/>
            <w:tcBorders>
              <w:top w:val="none" w:sz="0" w:space="0" w:color="FFFFFF"/>
              <w:left w:val="single" w:sz="10" w:space="0" w:color="C0392B"/>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La règle retient 90 jours comme seuil d'inactivité mais cette valeur n'</w:t>
            </w:r>
            <w:r>
              <w:rPr>
                <w:color w:val="2C2C2C"/>
                <w:sz w:val="19"/>
                <w:szCs w:val="19"/>
              </w:rPr>
              <w:t>est justifiée ni par une source bibliographique, ni par une analyse statistique de sensibilité, ni par une décision métier explicite.</w:t>
            </w:r>
          </w:p>
          <w:p w:rsidR="007306FA" w:rsidRDefault="00E6661C">
            <w:pPr>
              <w:spacing w:before="30" w:after="30"/>
            </w:pPr>
            <w:r>
              <w:rPr>
                <w:b/>
                <w:bCs/>
                <w:color w:val="C0392B"/>
                <w:sz w:val="19"/>
                <w:szCs w:val="19"/>
              </w:rPr>
              <w:t xml:space="preserve">→  </w:t>
            </w:r>
            <w:r>
              <w:rPr>
                <w:color w:val="2C2C2C"/>
                <w:sz w:val="19"/>
                <w:szCs w:val="19"/>
              </w:rPr>
              <w:t>Pourquoi 90 jours et non 60, 45 ou 120 jours ? Ce choix est arbitraire tel qu'il est présenté.</w:t>
            </w:r>
          </w:p>
          <w:p w:rsidR="007306FA" w:rsidRDefault="00E6661C">
            <w:pPr>
              <w:spacing w:before="30" w:after="30"/>
            </w:pPr>
            <w:r>
              <w:rPr>
                <w:b/>
                <w:bCs/>
                <w:color w:val="C0392B"/>
                <w:sz w:val="19"/>
                <w:szCs w:val="19"/>
              </w:rPr>
              <w:t xml:space="preserve">→  </w:t>
            </w:r>
            <w:r>
              <w:rPr>
                <w:color w:val="2C2C2C"/>
                <w:sz w:val="19"/>
                <w:szCs w:val="19"/>
              </w:rPr>
              <w:t>Dans l'</w:t>
            </w:r>
            <w:r>
              <w:rPr>
                <w:color w:val="2C2C2C"/>
                <w:sz w:val="19"/>
                <w:szCs w:val="19"/>
              </w:rPr>
              <w:t>industrie télécom, les seuils varient selon l'opérateur et le marché. Une référence est indispensable.</w:t>
            </w:r>
          </w:p>
          <w:p w:rsidR="007306FA" w:rsidRDefault="00E6661C">
            <w:pPr>
              <w:spacing w:before="30" w:after="30"/>
            </w:pPr>
            <w:r>
              <w:rPr>
                <w:b/>
                <w:bCs/>
                <w:color w:val="C0392B"/>
                <w:sz w:val="19"/>
                <w:szCs w:val="19"/>
              </w:rPr>
              <w:t xml:space="preserve">→  </w:t>
            </w:r>
            <w:r>
              <w:rPr>
                <w:color w:val="2C2C2C"/>
                <w:sz w:val="19"/>
                <w:szCs w:val="19"/>
              </w:rPr>
              <w:t>Un test de sensibilité simple (taux de churn obtenu à 60j / 90j / 120j) aurait suffi à légitimer ce choix.</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0392B"/>
              <w:left w:val="single" w:sz="10" w:space="0" w:color="C0392B"/>
              <w:bottom w:val="none" w:sz="0" w:space="0" w:color="FFFFFF"/>
              <w:right w:val="single" w:sz="1" w:space="0" w:color="CCCCCC"/>
            </w:tcBorders>
            <w:shd w:val="clear" w:color="auto" w:fill="FADBD8"/>
            <w:tcMar>
              <w:top w:w="80" w:type="dxa"/>
              <w:left w:w="180" w:type="dxa"/>
              <w:bottom w:w="80" w:type="dxa"/>
              <w:right w:w="120" w:type="dxa"/>
            </w:tcMar>
          </w:tcPr>
          <w:p w:rsidR="007306FA" w:rsidRDefault="00E6661C">
            <w:r>
              <w:rPr>
                <w:b/>
                <w:bCs/>
                <w:color w:val="C0392B"/>
                <w:sz w:val="19"/>
                <w:szCs w:val="19"/>
              </w:rPr>
              <w:t>⚠</w:t>
            </w:r>
            <w:r>
              <w:rPr>
                <w:b/>
                <w:bCs/>
                <w:color w:val="C0392B"/>
                <w:sz w:val="19"/>
                <w:szCs w:val="19"/>
              </w:rPr>
              <w:t>️</w:t>
            </w:r>
            <w:r>
              <w:rPr>
                <w:b/>
                <w:bCs/>
                <w:color w:val="C0392B"/>
                <w:sz w:val="19"/>
                <w:szCs w:val="19"/>
              </w:rPr>
              <w:t xml:space="preserve"> INCOHÉRENCE  </w:t>
            </w:r>
            <w:r>
              <w:rPr>
                <w:b/>
                <w:bCs/>
                <w:color w:val="1C1C1C"/>
                <w:sz w:val="19"/>
                <w:szCs w:val="19"/>
              </w:rPr>
              <w:t>Benchmark « marchés télécom émergents » sans source</w:t>
            </w:r>
          </w:p>
        </w:tc>
      </w:tr>
      <w:tr w:rsidR="007306FA">
        <w:tblPrEx>
          <w:tblCellMar>
            <w:top w:w="0" w:type="dxa"/>
            <w:bottom w:w="0" w:type="dxa"/>
          </w:tblCellMar>
        </w:tblPrEx>
        <w:tc>
          <w:tcPr>
            <w:tcW w:w="0" w:type="auto"/>
            <w:tcBorders>
              <w:top w:val="none" w:sz="0" w:space="0" w:color="FFFFFF"/>
              <w:left w:val="single" w:sz="10" w:space="0" w:color="C0392B"/>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Le document affirme que 27.7% est « cohérent avec des benchmarks observés dans des marchés télécom émergents » sans citer aucune source. Cette affirmation ne peut pas être acceptée telle quelle dans un rapport académique.</w:t>
            </w:r>
          </w:p>
          <w:p w:rsidR="007306FA" w:rsidRDefault="00E6661C">
            <w:pPr>
              <w:spacing w:before="30" w:after="30"/>
            </w:pPr>
            <w:r>
              <w:rPr>
                <w:b/>
                <w:bCs/>
                <w:color w:val="C0392B"/>
                <w:sz w:val="19"/>
                <w:szCs w:val="19"/>
              </w:rPr>
              <w:t xml:space="preserve">→  </w:t>
            </w:r>
            <w:r>
              <w:rPr>
                <w:color w:val="2C2C2C"/>
                <w:sz w:val="19"/>
                <w:szCs w:val="19"/>
              </w:rPr>
              <w:t>Citer une étude ou un rapport s</w:t>
            </w:r>
            <w:r>
              <w:rPr>
                <w:color w:val="2C2C2C"/>
                <w:sz w:val="19"/>
                <w:szCs w:val="19"/>
              </w:rPr>
              <w:t>ectoriel (ex. GSMA, ITU, Ericsson Mobility Report, Analysys Mason).</w:t>
            </w:r>
          </w:p>
          <w:p w:rsidR="007306FA" w:rsidRDefault="00E6661C">
            <w:pPr>
              <w:spacing w:before="30" w:after="30"/>
            </w:pPr>
            <w:r>
              <w:rPr>
                <w:b/>
                <w:bCs/>
                <w:color w:val="C0392B"/>
                <w:sz w:val="19"/>
                <w:szCs w:val="19"/>
              </w:rPr>
              <w:t xml:space="preserve">→  </w:t>
            </w:r>
            <w:r>
              <w:rPr>
                <w:color w:val="2C2C2C"/>
                <w:sz w:val="19"/>
                <w:szCs w:val="19"/>
              </w:rPr>
              <w:t>À défaut, reformuler en précisant que c'est une estimation basée sur l'expérience du domaine, sans prétendre à un benchmark chiffré.</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0392B"/>
              <w:left w:val="single" w:sz="10" w:space="0" w:color="C0392B"/>
              <w:bottom w:val="none" w:sz="0" w:space="0" w:color="FFFFFF"/>
              <w:right w:val="single" w:sz="1" w:space="0" w:color="CCCCCC"/>
            </w:tcBorders>
            <w:shd w:val="clear" w:color="auto" w:fill="FADBD8"/>
            <w:tcMar>
              <w:top w:w="80" w:type="dxa"/>
              <w:left w:w="180" w:type="dxa"/>
              <w:bottom w:w="80" w:type="dxa"/>
              <w:right w:w="120" w:type="dxa"/>
            </w:tcMar>
          </w:tcPr>
          <w:p w:rsidR="007306FA" w:rsidRDefault="00E6661C">
            <w:r>
              <w:rPr>
                <w:b/>
                <w:bCs/>
                <w:color w:val="C0392B"/>
                <w:sz w:val="19"/>
                <w:szCs w:val="19"/>
              </w:rPr>
              <w:t>⚠</w:t>
            </w:r>
            <w:r>
              <w:rPr>
                <w:b/>
                <w:bCs/>
                <w:color w:val="C0392B"/>
                <w:sz w:val="19"/>
                <w:szCs w:val="19"/>
              </w:rPr>
              <w:t>️</w:t>
            </w:r>
            <w:r>
              <w:rPr>
                <w:b/>
                <w:bCs/>
                <w:color w:val="C0392B"/>
                <w:sz w:val="19"/>
                <w:szCs w:val="19"/>
              </w:rPr>
              <w:t xml:space="preserve"> INCOHÉRENCE  </w:t>
            </w:r>
            <w:r>
              <w:rPr>
                <w:b/>
                <w:bCs/>
                <w:color w:val="1C1C1C"/>
                <w:sz w:val="19"/>
                <w:szCs w:val="19"/>
              </w:rPr>
              <w:t>Le dataset simulé crée une fragilité méthodologique non discutée</w:t>
            </w:r>
          </w:p>
        </w:tc>
      </w:tr>
      <w:tr w:rsidR="007306FA">
        <w:tblPrEx>
          <w:tblCellMar>
            <w:top w:w="0" w:type="dxa"/>
            <w:bottom w:w="0" w:type="dxa"/>
          </w:tblCellMar>
        </w:tblPrEx>
        <w:tc>
          <w:tcPr>
            <w:tcW w:w="0" w:type="auto"/>
            <w:tcBorders>
              <w:top w:val="none" w:sz="0" w:space="0" w:color="FFFFFF"/>
              <w:left w:val="single" w:sz="10" w:space="0" w:color="C0392B"/>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Si le dataset est entièrement simulé, la règle des 90 jours est appliquée à des données artificielles. L'</w:t>
            </w:r>
            <w:r>
              <w:rPr>
                <w:color w:val="2C2C2C"/>
                <w:sz w:val="19"/>
                <w:szCs w:val="19"/>
              </w:rPr>
              <w:t>étudiant affirme que la variable recence_cdr_jours permet de calculer le churn, mais on ne sait pas comment cette colonne a été simulée.</w:t>
            </w:r>
          </w:p>
          <w:p w:rsidR="007306FA" w:rsidRDefault="00E6661C">
            <w:pPr>
              <w:spacing w:before="30" w:after="30"/>
            </w:pPr>
            <w:r>
              <w:rPr>
                <w:b/>
                <w:bCs/>
                <w:color w:val="C0392B"/>
                <w:sz w:val="19"/>
                <w:szCs w:val="19"/>
              </w:rPr>
              <w:t xml:space="preserve">→  </w:t>
            </w:r>
            <w:r>
              <w:rPr>
                <w:color w:val="2C2C2C"/>
                <w:sz w:val="19"/>
                <w:szCs w:val="19"/>
              </w:rPr>
              <w:t xml:space="preserve">La distribution de recence_cdr_jours suit-elle une loi réaliste ? Est-elle corrélée aux autres variables du dataset </w:t>
            </w:r>
            <w:r>
              <w:rPr>
                <w:color w:val="2C2C2C"/>
                <w:sz w:val="19"/>
                <w:szCs w:val="19"/>
              </w:rPr>
              <w:t>?</w:t>
            </w:r>
          </w:p>
          <w:p w:rsidR="007306FA" w:rsidRDefault="00E6661C">
            <w:pPr>
              <w:spacing w:before="30" w:after="30"/>
            </w:pPr>
            <w:r>
              <w:rPr>
                <w:b/>
                <w:bCs/>
                <w:color w:val="C0392B"/>
                <w:sz w:val="19"/>
                <w:szCs w:val="19"/>
              </w:rPr>
              <w:t xml:space="preserve">→  </w:t>
            </w:r>
            <w:r>
              <w:rPr>
                <w:color w:val="2C2C2C"/>
                <w:sz w:val="19"/>
                <w:szCs w:val="19"/>
              </w:rPr>
              <w:t>Si la simulation est indépendante des autres features, le modèle ML risque d'apprendre sur des données où la cible n'a aucun lien réel avec les prédicteurs.</w:t>
            </w:r>
          </w:p>
          <w:p w:rsidR="007306FA" w:rsidRDefault="00E6661C">
            <w:pPr>
              <w:spacing w:before="30" w:after="30"/>
            </w:pPr>
            <w:r>
              <w:rPr>
                <w:b/>
                <w:bCs/>
                <w:color w:val="C0392B"/>
                <w:sz w:val="19"/>
                <w:szCs w:val="19"/>
              </w:rPr>
              <w:t xml:space="preserve">→  </w:t>
            </w:r>
            <w:r>
              <w:rPr>
                <w:color w:val="2C2C2C"/>
                <w:sz w:val="19"/>
                <w:szCs w:val="19"/>
              </w:rPr>
              <w:t>Cette fragilité doit être mentionnée comme limite dans le rapport.</w:t>
            </w:r>
          </w:p>
        </w:tc>
      </w:tr>
    </w:tbl>
    <w:p w:rsidR="007306FA" w:rsidRDefault="007306FA">
      <w:pPr>
        <w:spacing w:before="60" w:after="60"/>
      </w:pPr>
    </w:p>
    <w:p w:rsidR="007306FA" w:rsidRDefault="00935165">
      <w:pPr>
        <w:pStyle w:val="Titre1"/>
      </w:pPr>
      <w:r>
        <w:t>2</w:t>
      </w:r>
      <w:r w:rsidR="00E6661C">
        <w:t>.  Améliorations requises</w:t>
      </w:r>
    </w:p>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87D0E"/>
              <w:left w:val="single" w:sz="10" w:space="0" w:color="C87D0E"/>
              <w:bottom w:val="none" w:sz="0" w:space="0" w:color="FFFFFF"/>
              <w:right w:val="single" w:sz="1" w:space="0" w:color="CCCCCC"/>
            </w:tcBorders>
            <w:shd w:val="clear" w:color="auto" w:fill="FEF9E7"/>
            <w:tcMar>
              <w:top w:w="80" w:type="dxa"/>
              <w:left w:w="180" w:type="dxa"/>
              <w:bottom w:w="80" w:type="dxa"/>
              <w:right w:w="120" w:type="dxa"/>
            </w:tcMar>
          </w:tcPr>
          <w:p w:rsidR="007306FA" w:rsidRDefault="00E6661C">
            <w:r>
              <w:rPr>
                <w:b/>
                <w:bCs/>
                <w:color w:val="C87D0E"/>
                <w:sz w:val="19"/>
                <w:szCs w:val="19"/>
              </w:rPr>
              <w:t>💡</w:t>
            </w:r>
            <w:r>
              <w:rPr>
                <w:b/>
                <w:bCs/>
                <w:color w:val="C87D0E"/>
                <w:sz w:val="19"/>
                <w:szCs w:val="19"/>
              </w:rPr>
              <w:t xml:space="preserve"> AMÉLIORATION  </w:t>
            </w:r>
            <w:r>
              <w:rPr>
                <w:b/>
                <w:bCs/>
                <w:color w:val="1C1C1C"/>
                <w:sz w:val="19"/>
                <w:szCs w:val="19"/>
              </w:rPr>
              <w:t>Ajouter une analyse de la distribution de la variable cible</w:t>
            </w:r>
          </w:p>
        </w:tc>
      </w:tr>
      <w:tr w:rsidR="007306FA">
        <w:tblPrEx>
          <w:tblCellMar>
            <w:top w:w="0" w:type="dxa"/>
            <w:bottom w:w="0" w:type="dxa"/>
          </w:tblCellMar>
        </w:tblPrEx>
        <w:tc>
          <w:tcPr>
            <w:tcW w:w="0" w:type="auto"/>
            <w:tcBorders>
              <w:top w:val="none" w:sz="0" w:space="0" w:color="FFFFFF"/>
              <w:left w:val="single" w:sz="10" w:space="0" w:color="C87D0E"/>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lastRenderedPageBreak/>
              <w:t>Le document annonce un taux de churn de 27.7% mais ne montre aucune visualisation ni statistique descriptive de cette distribution.</w:t>
            </w:r>
          </w:p>
          <w:p w:rsidR="007306FA" w:rsidRDefault="00E6661C">
            <w:pPr>
              <w:spacing w:before="30" w:after="30"/>
            </w:pPr>
            <w:r>
              <w:rPr>
                <w:b/>
                <w:bCs/>
                <w:color w:val="C87D0E"/>
                <w:sz w:val="19"/>
                <w:szCs w:val="19"/>
              </w:rPr>
              <w:t xml:space="preserve">→  </w:t>
            </w:r>
            <w:r>
              <w:rPr>
                <w:color w:val="2C2C2C"/>
                <w:sz w:val="19"/>
                <w:szCs w:val="19"/>
              </w:rPr>
              <w:t>Inclure un graphique en barres (churné vs non-churné) avec les effectifs exacts (ex. 83 churners sur 300).</w:t>
            </w:r>
          </w:p>
          <w:p w:rsidR="007306FA" w:rsidRDefault="00E6661C">
            <w:pPr>
              <w:spacing w:before="30" w:after="30"/>
            </w:pPr>
            <w:r>
              <w:rPr>
                <w:b/>
                <w:bCs/>
                <w:color w:val="C87D0E"/>
                <w:sz w:val="19"/>
                <w:szCs w:val="19"/>
              </w:rPr>
              <w:t xml:space="preserve">→  </w:t>
            </w:r>
            <w:r>
              <w:rPr>
                <w:color w:val="2C2C2C"/>
                <w:sz w:val="19"/>
                <w:szCs w:val="19"/>
              </w:rPr>
              <w:t>Vérifier et signaler si la distribution est déséquilibrée (classe minoritaire) — ce qui est le cas ici avec ~28% / 72%.</w:t>
            </w:r>
          </w:p>
          <w:p w:rsidR="007306FA" w:rsidRDefault="00E6661C">
            <w:pPr>
              <w:spacing w:before="30" w:after="30"/>
            </w:pPr>
            <w:r>
              <w:rPr>
                <w:b/>
                <w:bCs/>
                <w:color w:val="C87D0E"/>
                <w:sz w:val="19"/>
                <w:szCs w:val="19"/>
              </w:rPr>
              <w:t xml:space="preserve">→  </w:t>
            </w:r>
            <w:r>
              <w:rPr>
                <w:color w:val="2C2C2C"/>
                <w:sz w:val="19"/>
                <w:szCs w:val="19"/>
              </w:rPr>
              <w:t>Un déséquilibre de clas</w:t>
            </w:r>
            <w:r>
              <w:rPr>
                <w:color w:val="2C2C2C"/>
                <w:sz w:val="19"/>
                <w:szCs w:val="19"/>
              </w:rPr>
              <w:t>ses impacte directement le choix des métriques d'évaluation du modèle (privilégier F1-score, AUC-ROC plutôt que l'accuracy seule).</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87D0E"/>
              <w:left w:val="single" w:sz="10" w:space="0" w:color="C87D0E"/>
              <w:bottom w:val="none" w:sz="0" w:space="0" w:color="FFFFFF"/>
              <w:right w:val="single" w:sz="1" w:space="0" w:color="CCCCCC"/>
            </w:tcBorders>
            <w:shd w:val="clear" w:color="auto" w:fill="FEF9E7"/>
            <w:tcMar>
              <w:top w:w="80" w:type="dxa"/>
              <w:left w:w="180" w:type="dxa"/>
              <w:bottom w:w="80" w:type="dxa"/>
              <w:right w:w="120" w:type="dxa"/>
            </w:tcMar>
          </w:tcPr>
          <w:p w:rsidR="007306FA" w:rsidRDefault="00E6661C">
            <w:r>
              <w:rPr>
                <w:b/>
                <w:bCs/>
                <w:color w:val="C87D0E"/>
                <w:sz w:val="19"/>
                <w:szCs w:val="19"/>
              </w:rPr>
              <w:t>💡</w:t>
            </w:r>
            <w:r>
              <w:rPr>
                <w:b/>
                <w:bCs/>
                <w:color w:val="C87D0E"/>
                <w:sz w:val="19"/>
                <w:szCs w:val="19"/>
              </w:rPr>
              <w:t xml:space="preserve"> AMÉLIORATION  </w:t>
            </w:r>
            <w:r>
              <w:rPr>
                <w:b/>
                <w:bCs/>
                <w:color w:val="1C1C1C"/>
                <w:sz w:val="19"/>
                <w:szCs w:val="19"/>
              </w:rPr>
              <w:t>Analyser la sensibilité au seuil de 90 jours</w:t>
            </w:r>
          </w:p>
        </w:tc>
      </w:tr>
      <w:tr w:rsidR="007306FA">
        <w:tblPrEx>
          <w:tblCellMar>
            <w:top w:w="0" w:type="dxa"/>
            <w:bottom w:w="0" w:type="dxa"/>
          </w:tblCellMar>
        </w:tblPrEx>
        <w:tc>
          <w:tcPr>
            <w:tcW w:w="0" w:type="auto"/>
            <w:tcBorders>
              <w:top w:val="none" w:sz="0" w:space="0" w:color="FFFFFF"/>
              <w:left w:val="single" w:sz="10" w:space="0" w:color="C87D0E"/>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Pour légitimer scientifiquement le seuil retenu, il faut montrer comment le taux de churn évolue selon différentes valeurs du seuil.</w:t>
            </w:r>
          </w:p>
          <w:p w:rsidR="007306FA" w:rsidRDefault="00E6661C">
            <w:pPr>
              <w:spacing w:before="30" w:after="30"/>
            </w:pPr>
            <w:r>
              <w:rPr>
                <w:b/>
                <w:bCs/>
                <w:color w:val="C87D0E"/>
                <w:sz w:val="19"/>
                <w:szCs w:val="19"/>
              </w:rPr>
              <w:t xml:space="preserve">→  </w:t>
            </w:r>
            <w:r>
              <w:rPr>
                <w:color w:val="2C2C2C"/>
                <w:sz w:val="19"/>
                <w:szCs w:val="19"/>
              </w:rPr>
              <w:t>Proposer un tableau ou un graphique : seuil 30j → X%, 60j → Y%, 90j → 27.7%, 120j → Z%.</w:t>
            </w:r>
          </w:p>
          <w:p w:rsidR="007306FA" w:rsidRDefault="00E6661C">
            <w:pPr>
              <w:spacing w:before="30" w:after="30"/>
            </w:pPr>
            <w:r>
              <w:rPr>
                <w:b/>
                <w:bCs/>
                <w:color w:val="C87D0E"/>
                <w:sz w:val="19"/>
                <w:szCs w:val="19"/>
              </w:rPr>
              <w:t xml:space="preserve">→  </w:t>
            </w:r>
            <w:r>
              <w:rPr>
                <w:color w:val="2C2C2C"/>
                <w:sz w:val="19"/>
                <w:szCs w:val="19"/>
              </w:rPr>
              <w:t>Justifier le choix de 90j par</w:t>
            </w:r>
            <w:r>
              <w:rPr>
                <w:color w:val="2C2C2C"/>
                <w:sz w:val="19"/>
                <w:szCs w:val="19"/>
              </w:rPr>
              <w:t xml:space="preserve"> une inflexion dans la courbe ou par cohérence avec un standard métier cité.</w:t>
            </w:r>
          </w:p>
          <w:p w:rsidR="007306FA" w:rsidRDefault="00E6661C">
            <w:pPr>
              <w:spacing w:before="30" w:after="30"/>
            </w:pPr>
            <w:r>
              <w:rPr>
                <w:b/>
                <w:bCs/>
                <w:color w:val="C87D0E"/>
                <w:sz w:val="19"/>
                <w:szCs w:val="19"/>
              </w:rPr>
              <w:t xml:space="preserve">→  </w:t>
            </w:r>
            <w:r>
              <w:rPr>
                <w:color w:val="2C2C2C"/>
                <w:sz w:val="19"/>
                <w:szCs w:val="19"/>
              </w:rPr>
              <w:t>Cela transforme un choix apparemment arbitraire en décision argumentée — élément clé pour la soutenance.</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87D0E"/>
              <w:left w:val="single" w:sz="10" w:space="0" w:color="C87D0E"/>
              <w:bottom w:val="none" w:sz="0" w:space="0" w:color="FFFFFF"/>
              <w:right w:val="single" w:sz="1" w:space="0" w:color="CCCCCC"/>
            </w:tcBorders>
            <w:shd w:val="clear" w:color="auto" w:fill="FEF9E7"/>
            <w:tcMar>
              <w:top w:w="80" w:type="dxa"/>
              <w:left w:w="180" w:type="dxa"/>
              <w:bottom w:w="80" w:type="dxa"/>
              <w:right w:w="120" w:type="dxa"/>
            </w:tcMar>
          </w:tcPr>
          <w:p w:rsidR="007306FA" w:rsidRDefault="00E6661C">
            <w:r>
              <w:rPr>
                <w:b/>
                <w:bCs/>
                <w:color w:val="C87D0E"/>
                <w:sz w:val="19"/>
                <w:szCs w:val="19"/>
              </w:rPr>
              <w:t>💡</w:t>
            </w:r>
            <w:r>
              <w:rPr>
                <w:b/>
                <w:bCs/>
                <w:color w:val="C87D0E"/>
                <w:sz w:val="19"/>
                <w:szCs w:val="19"/>
              </w:rPr>
              <w:t xml:space="preserve"> AMÉLIORATION  </w:t>
            </w:r>
            <w:r>
              <w:rPr>
                <w:b/>
                <w:bCs/>
                <w:color w:val="1C1C1C"/>
                <w:sz w:val="19"/>
                <w:szCs w:val="19"/>
              </w:rPr>
              <w:t>Discuter l'</w:t>
            </w:r>
            <w:r>
              <w:rPr>
                <w:b/>
                <w:bCs/>
                <w:color w:val="1C1C1C"/>
                <w:sz w:val="19"/>
                <w:szCs w:val="19"/>
              </w:rPr>
              <w:t>impact du déséquilibre des classes sur la modélisation</w:t>
            </w:r>
          </w:p>
        </w:tc>
      </w:tr>
      <w:tr w:rsidR="007306FA">
        <w:tblPrEx>
          <w:tblCellMar>
            <w:top w:w="0" w:type="dxa"/>
            <w:bottom w:w="0" w:type="dxa"/>
          </w:tblCellMar>
        </w:tblPrEx>
        <w:tc>
          <w:tcPr>
            <w:tcW w:w="0" w:type="auto"/>
            <w:tcBorders>
              <w:top w:val="none" w:sz="0" w:space="0" w:color="FFFFFF"/>
              <w:left w:val="single" w:sz="10" w:space="0" w:color="C87D0E"/>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Avec ~27.7% de churners, le dataset est déséquilibré. Cette réalité doit être anticipée dès la définition du périmètre.</w:t>
            </w:r>
          </w:p>
          <w:p w:rsidR="007306FA" w:rsidRDefault="00E6661C">
            <w:pPr>
              <w:spacing w:before="30" w:after="30"/>
            </w:pPr>
            <w:r>
              <w:rPr>
                <w:b/>
                <w:bCs/>
                <w:color w:val="C87D0E"/>
                <w:sz w:val="19"/>
                <w:szCs w:val="19"/>
              </w:rPr>
              <w:t xml:space="preserve">→  </w:t>
            </w:r>
            <w:r>
              <w:rPr>
                <w:color w:val="2C2C2C"/>
                <w:sz w:val="19"/>
                <w:szCs w:val="19"/>
              </w:rPr>
              <w:t>Mentionner les stratégies envisagées : SMOTE, pondération des classes dans XGBoost (scale_pos_weight), sous-échantillonnage.</w:t>
            </w:r>
          </w:p>
          <w:p w:rsidR="007306FA" w:rsidRDefault="00E6661C">
            <w:pPr>
              <w:spacing w:before="30" w:after="30"/>
            </w:pPr>
            <w:r>
              <w:rPr>
                <w:b/>
                <w:bCs/>
                <w:color w:val="C87D0E"/>
                <w:sz w:val="19"/>
                <w:szCs w:val="19"/>
              </w:rPr>
              <w:t xml:space="preserve">→  </w:t>
            </w:r>
            <w:r>
              <w:rPr>
                <w:color w:val="2C2C2C"/>
                <w:sz w:val="19"/>
                <w:szCs w:val="19"/>
              </w:rPr>
              <w:t>Préciser quelle métrique d'évaluation sera utilisée en priorité (F1, AUC-ROC) et pourquoi l'accuracy seule serait trompeuse.</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C87D0E"/>
              <w:left w:val="single" w:sz="10" w:space="0" w:color="C87D0E"/>
              <w:bottom w:val="none" w:sz="0" w:space="0" w:color="FFFFFF"/>
              <w:right w:val="single" w:sz="1" w:space="0" w:color="CCCCCC"/>
            </w:tcBorders>
            <w:shd w:val="clear" w:color="auto" w:fill="FEF9E7"/>
            <w:tcMar>
              <w:top w:w="80" w:type="dxa"/>
              <w:left w:w="180" w:type="dxa"/>
              <w:bottom w:w="80" w:type="dxa"/>
              <w:right w:w="120" w:type="dxa"/>
            </w:tcMar>
          </w:tcPr>
          <w:p w:rsidR="007306FA" w:rsidRDefault="00E6661C">
            <w:r>
              <w:rPr>
                <w:b/>
                <w:bCs/>
                <w:color w:val="C87D0E"/>
                <w:sz w:val="19"/>
                <w:szCs w:val="19"/>
              </w:rPr>
              <w:t>💡</w:t>
            </w:r>
            <w:r>
              <w:rPr>
                <w:b/>
                <w:bCs/>
                <w:color w:val="C87D0E"/>
                <w:sz w:val="19"/>
                <w:szCs w:val="19"/>
              </w:rPr>
              <w:t xml:space="preserve"> AMÉLIORATION  </w:t>
            </w:r>
            <w:r>
              <w:rPr>
                <w:b/>
                <w:bCs/>
                <w:color w:val="1C1C1C"/>
                <w:sz w:val="19"/>
                <w:szCs w:val="19"/>
              </w:rPr>
              <w:t>Établir le lien explicite entre la définition du churn et les features du modèle</w:t>
            </w:r>
          </w:p>
        </w:tc>
      </w:tr>
      <w:tr w:rsidR="007306FA">
        <w:tblPrEx>
          <w:tblCellMar>
            <w:top w:w="0" w:type="dxa"/>
            <w:bottom w:w="0" w:type="dxa"/>
          </w:tblCellMar>
        </w:tblPrEx>
        <w:tc>
          <w:tcPr>
            <w:tcW w:w="0" w:type="auto"/>
            <w:tcBorders>
              <w:top w:val="none" w:sz="0" w:space="0" w:color="FFFFFF"/>
              <w:left w:val="single" w:sz="10" w:space="0" w:color="C87D0E"/>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La définition du périmètre churn doit annoncer quelles variables du dataset seront utilisées comme prédicteurs, et comment la variable cible (churn = 1) est liée à ces features.</w:t>
            </w:r>
          </w:p>
          <w:p w:rsidR="007306FA" w:rsidRDefault="00E6661C">
            <w:pPr>
              <w:spacing w:before="30" w:after="30"/>
            </w:pPr>
            <w:r>
              <w:rPr>
                <w:b/>
                <w:bCs/>
                <w:color w:val="C87D0E"/>
                <w:sz w:val="19"/>
                <w:szCs w:val="19"/>
              </w:rPr>
              <w:t xml:space="preserve">→  </w:t>
            </w:r>
            <w:r>
              <w:rPr>
                <w:color w:val="2C2C2C"/>
                <w:sz w:val="19"/>
                <w:szCs w:val="19"/>
              </w:rPr>
              <w:t>Inclure une liste préliminaire des variables prédictives envisagées (recenc</w:t>
            </w:r>
            <w:r>
              <w:rPr>
                <w:color w:val="2C2C2C"/>
                <w:sz w:val="19"/>
                <w:szCs w:val="19"/>
              </w:rPr>
              <w:t>e, fréquence, montant facture, type contrat, zone...).</w:t>
            </w:r>
          </w:p>
          <w:p w:rsidR="007306FA" w:rsidRDefault="00E6661C">
            <w:pPr>
              <w:spacing w:before="30" w:after="30"/>
            </w:pPr>
            <w:r>
              <w:rPr>
                <w:b/>
                <w:bCs/>
                <w:color w:val="C87D0E"/>
                <w:sz w:val="19"/>
                <w:szCs w:val="19"/>
              </w:rPr>
              <w:t xml:space="preserve">→  </w:t>
            </w:r>
            <w:r>
              <w:rPr>
                <w:color w:val="2C2C2C"/>
                <w:sz w:val="19"/>
                <w:szCs w:val="19"/>
              </w:rPr>
              <w:t>Vérifier que recence_cdr_jours n'est pas elle-même utilisée comme feature prédictive — ce serait une fuite de données (data leakage) critique.</w:t>
            </w:r>
          </w:p>
          <w:p w:rsidR="007306FA" w:rsidRDefault="00E6661C">
            <w:pPr>
              <w:spacing w:before="30" w:after="30"/>
            </w:pPr>
            <w:r>
              <w:rPr>
                <w:b/>
                <w:bCs/>
                <w:color w:val="C87D0E"/>
                <w:sz w:val="19"/>
                <w:szCs w:val="19"/>
              </w:rPr>
              <w:t xml:space="preserve">→  </w:t>
            </w:r>
            <w:r>
              <w:rPr>
                <w:color w:val="2C2C2C"/>
                <w:sz w:val="19"/>
                <w:szCs w:val="19"/>
              </w:rPr>
              <w:t>Signaler explicitement que recence_cdr_jours sert un</w:t>
            </w:r>
            <w:r>
              <w:rPr>
                <w:color w:val="2C2C2C"/>
                <w:sz w:val="19"/>
                <w:szCs w:val="19"/>
              </w:rPr>
              <w:t>iquement à construire la cible, et doit être exclue du jeu de features.</w:t>
            </w:r>
          </w:p>
        </w:tc>
      </w:tr>
    </w:tbl>
    <w:p w:rsidR="007306FA" w:rsidRDefault="007306FA">
      <w:pPr>
        <w:spacing w:before="60" w:after="60"/>
      </w:pPr>
    </w:p>
    <w:p w:rsidR="007306FA" w:rsidRDefault="00935165">
      <w:pPr>
        <w:pStyle w:val="Titre1"/>
      </w:pPr>
      <w:r>
        <w:t>3</w:t>
      </w:r>
      <w:r w:rsidR="00E6661C">
        <w:t>.  Suggestions pour renforcer la rigueur</w:t>
      </w:r>
    </w:p>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1A5276"/>
              <w:left w:val="single" w:sz="10" w:space="0" w:color="1A5276"/>
              <w:bottom w:val="none" w:sz="0" w:space="0" w:color="FFFFFF"/>
              <w:right w:val="single" w:sz="1" w:space="0" w:color="CCCCCC"/>
            </w:tcBorders>
            <w:shd w:val="clear" w:color="auto" w:fill="D6EAF8"/>
            <w:tcMar>
              <w:top w:w="80" w:type="dxa"/>
              <w:left w:w="180" w:type="dxa"/>
              <w:bottom w:w="80" w:type="dxa"/>
              <w:right w:w="120" w:type="dxa"/>
            </w:tcMar>
          </w:tcPr>
          <w:p w:rsidR="007306FA" w:rsidRDefault="00E6661C">
            <w:r>
              <w:rPr>
                <w:b/>
                <w:bCs/>
                <w:color w:val="1A5276"/>
                <w:sz w:val="19"/>
                <w:szCs w:val="19"/>
              </w:rPr>
              <w:t>🔵</w:t>
            </w:r>
            <w:r>
              <w:rPr>
                <w:b/>
                <w:bCs/>
                <w:color w:val="1A5276"/>
                <w:sz w:val="19"/>
                <w:szCs w:val="19"/>
              </w:rPr>
              <w:t xml:space="preserve"> SUGGESTION  </w:t>
            </w:r>
            <w:r>
              <w:rPr>
                <w:b/>
                <w:bCs/>
                <w:color w:val="1C1C1C"/>
                <w:sz w:val="19"/>
                <w:szCs w:val="19"/>
              </w:rPr>
              <w:t>Ajouter une définition formelle en notation mathématique</w:t>
            </w:r>
          </w:p>
        </w:tc>
      </w:tr>
      <w:tr w:rsidR="007306FA">
        <w:tblPrEx>
          <w:tblCellMar>
            <w:top w:w="0" w:type="dxa"/>
            <w:bottom w:w="0" w:type="dxa"/>
          </w:tblCellMar>
        </w:tblPrEx>
        <w:tc>
          <w:tcPr>
            <w:tcW w:w="0" w:type="auto"/>
            <w:tcBorders>
              <w:top w:val="none" w:sz="0" w:space="0" w:color="FFFFFF"/>
              <w:left w:val="single" w:sz="10" w:space="0" w:color="1A5276"/>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Pour un rapport de PFE, il est recommandé de formaliser la règle métier en notation mathématique, ce qui renforce la rigueur académique.</w:t>
            </w:r>
          </w:p>
          <w:p w:rsidR="007306FA" w:rsidRDefault="00E6661C">
            <w:pPr>
              <w:spacing w:before="30" w:after="30"/>
            </w:pPr>
            <w:r>
              <w:rPr>
                <w:b/>
                <w:bCs/>
                <w:color w:val="1A5276"/>
                <w:sz w:val="19"/>
                <w:szCs w:val="19"/>
              </w:rPr>
              <w:t xml:space="preserve">→  </w:t>
            </w:r>
            <w:r>
              <w:rPr>
                <w:color w:val="2C2C2C"/>
                <w:sz w:val="19"/>
                <w:szCs w:val="19"/>
              </w:rPr>
              <w:t>Exemple : churn_i = 1  si  recence_cdr_jours_i &gt; 90,  et  churn_i = 0  sinon.</w:t>
            </w:r>
          </w:p>
          <w:p w:rsidR="007306FA" w:rsidRDefault="00E6661C">
            <w:pPr>
              <w:spacing w:before="30" w:after="30"/>
            </w:pPr>
            <w:r>
              <w:rPr>
                <w:b/>
                <w:bCs/>
                <w:color w:val="1A5276"/>
                <w:sz w:val="19"/>
                <w:szCs w:val="19"/>
              </w:rPr>
              <w:t xml:space="preserve">→  </w:t>
            </w:r>
            <w:r>
              <w:rPr>
                <w:color w:val="2C2C2C"/>
                <w:sz w:val="19"/>
                <w:szCs w:val="19"/>
              </w:rPr>
              <w:t>Préciser également la date de référ</w:t>
            </w:r>
            <w:r>
              <w:rPr>
                <w:color w:val="2C2C2C"/>
                <w:sz w:val="19"/>
                <w:szCs w:val="19"/>
              </w:rPr>
              <w:t>ence d'extraction utilisée pour le calcul.</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1A5276"/>
              <w:left w:val="single" w:sz="10" w:space="0" w:color="1A5276"/>
              <w:bottom w:val="none" w:sz="0" w:space="0" w:color="FFFFFF"/>
              <w:right w:val="single" w:sz="1" w:space="0" w:color="CCCCCC"/>
            </w:tcBorders>
            <w:shd w:val="clear" w:color="auto" w:fill="D6EAF8"/>
            <w:tcMar>
              <w:top w:w="80" w:type="dxa"/>
              <w:left w:w="180" w:type="dxa"/>
              <w:bottom w:w="80" w:type="dxa"/>
              <w:right w:w="120" w:type="dxa"/>
            </w:tcMar>
          </w:tcPr>
          <w:p w:rsidR="007306FA" w:rsidRDefault="00E6661C">
            <w:r>
              <w:rPr>
                <w:b/>
                <w:bCs/>
                <w:color w:val="1A5276"/>
                <w:sz w:val="19"/>
                <w:szCs w:val="19"/>
              </w:rPr>
              <w:t>🔵</w:t>
            </w:r>
            <w:r>
              <w:rPr>
                <w:b/>
                <w:bCs/>
                <w:color w:val="1A5276"/>
                <w:sz w:val="19"/>
                <w:szCs w:val="19"/>
              </w:rPr>
              <w:t xml:space="preserve"> SUGGESTION  </w:t>
            </w:r>
            <w:r>
              <w:rPr>
                <w:b/>
                <w:bCs/>
                <w:color w:val="1C1C1C"/>
                <w:sz w:val="19"/>
                <w:szCs w:val="19"/>
              </w:rPr>
              <w:t>Confronter la définition à un expert métier ou à la littérature</w:t>
            </w:r>
          </w:p>
        </w:tc>
      </w:tr>
      <w:tr w:rsidR="007306FA">
        <w:tblPrEx>
          <w:tblCellMar>
            <w:top w:w="0" w:type="dxa"/>
            <w:bottom w:w="0" w:type="dxa"/>
          </w:tblCellMar>
        </w:tblPrEx>
        <w:tc>
          <w:tcPr>
            <w:tcW w:w="0" w:type="auto"/>
            <w:tcBorders>
              <w:top w:val="none" w:sz="0" w:space="0" w:color="FFFFFF"/>
              <w:left w:val="single" w:sz="10" w:space="0" w:color="1A5276"/>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Même sur un dataset simulé, ancrer la définition dans la réalité télécom tunisienne renforcerait la crédibilité du travail.</w:t>
            </w:r>
          </w:p>
          <w:p w:rsidR="007306FA" w:rsidRDefault="00E6661C">
            <w:pPr>
              <w:spacing w:before="30" w:after="30"/>
            </w:pPr>
            <w:r>
              <w:rPr>
                <w:b/>
                <w:bCs/>
                <w:color w:val="1A5276"/>
                <w:sz w:val="19"/>
                <w:szCs w:val="19"/>
              </w:rPr>
              <w:lastRenderedPageBreak/>
              <w:t xml:space="preserve">→  </w:t>
            </w:r>
            <w:r>
              <w:rPr>
                <w:color w:val="2C2C2C"/>
                <w:sz w:val="19"/>
                <w:szCs w:val="19"/>
              </w:rPr>
              <w:t>Citer un article ou un rapport sur le churn prépayé en Afrique ou en Tunisie (INTT, rapport annuel Tunisie Telecom, publications académiques).</w:t>
            </w:r>
          </w:p>
          <w:p w:rsidR="007306FA" w:rsidRDefault="00E6661C">
            <w:pPr>
              <w:spacing w:before="30" w:after="30"/>
            </w:pPr>
            <w:r>
              <w:rPr>
                <w:b/>
                <w:bCs/>
                <w:color w:val="1A5276"/>
                <w:sz w:val="19"/>
                <w:szCs w:val="19"/>
              </w:rPr>
              <w:t xml:space="preserve">→  </w:t>
            </w:r>
            <w:r>
              <w:rPr>
                <w:color w:val="2C2C2C"/>
                <w:sz w:val="19"/>
                <w:szCs w:val="19"/>
              </w:rPr>
              <w:t>Si l'accès aux données réelles est impossible, l'expliquer explicitement et justifier pourquoi la simulation r</w:t>
            </w:r>
            <w:r>
              <w:rPr>
                <w:color w:val="2C2C2C"/>
                <w:sz w:val="19"/>
                <w:szCs w:val="19"/>
              </w:rPr>
              <w:t>este valide pour l'objectif du PFE.</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6C3483"/>
              <w:left w:val="single" w:sz="10" w:space="0" w:color="6C3483"/>
              <w:bottom w:val="none" w:sz="0" w:space="0" w:color="FFFFFF"/>
              <w:right w:val="single" w:sz="1" w:space="0" w:color="CCCCCC"/>
            </w:tcBorders>
            <w:shd w:val="clear" w:color="auto" w:fill="F4ECF7"/>
            <w:tcMar>
              <w:top w:w="80" w:type="dxa"/>
              <w:left w:w="180" w:type="dxa"/>
              <w:bottom w:w="80" w:type="dxa"/>
              <w:right w:w="120" w:type="dxa"/>
            </w:tcMar>
          </w:tcPr>
          <w:p w:rsidR="007306FA" w:rsidRDefault="00E6661C">
            <w:r>
              <w:rPr>
                <w:b/>
                <w:bCs/>
                <w:color w:val="6C3483"/>
                <w:sz w:val="19"/>
                <w:szCs w:val="19"/>
              </w:rPr>
              <w:t>🟣</w:t>
            </w:r>
            <w:r>
              <w:rPr>
                <w:b/>
                <w:bCs/>
                <w:color w:val="6C3483"/>
                <w:sz w:val="19"/>
                <w:szCs w:val="19"/>
              </w:rPr>
              <w:t xml:space="preserve"> QUESTION  </w:t>
            </w:r>
            <w:r>
              <w:rPr>
                <w:b/>
                <w:bCs/>
                <w:color w:val="1C1C1C"/>
                <w:sz w:val="19"/>
                <w:szCs w:val="19"/>
              </w:rPr>
              <w:t>La colonne recence_cdr_jours était-elle disponible avant la définition du churn ?</w:t>
            </w:r>
          </w:p>
        </w:tc>
      </w:tr>
      <w:tr w:rsidR="007306FA">
        <w:tblPrEx>
          <w:tblCellMar>
            <w:top w:w="0" w:type="dxa"/>
            <w:bottom w:w="0" w:type="dxa"/>
          </w:tblCellMar>
        </w:tblPrEx>
        <w:tc>
          <w:tcPr>
            <w:tcW w:w="0" w:type="auto"/>
            <w:tcBorders>
              <w:top w:val="none" w:sz="0" w:space="0" w:color="FFFFFF"/>
              <w:left w:val="single" w:sz="10" w:space="0" w:color="6C3483"/>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Il est important de s'assurer que la démarche n'</w:t>
            </w:r>
            <w:r>
              <w:rPr>
                <w:color w:val="2C2C2C"/>
                <w:sz w:val="19"/>
                <w:szCs w:val="19"/>
              </w:rPr>
              <w:t>est pas circulaire : la variable recence_cdr_jours a-t-elle été créée pour pouvoir appliquer cette règle, ou existait-elle indépendamment dans le dataset brut ?</w:t>
            </w:r>
          </w:p>
          <w:p w:rsidR="007306FA" w:rsidRDefault="00E6661C">
            <w:pPr>
              <w:spacing w:before="30" w:after="30"/>
            </w:pPr>
            <w:r>
              <w:rPr>
                <w:b/>
                <w:bCs/>
                <w:color w:val="6C3483"/>
                <w:sz w:val="19"/>
                <w:szCs w:val="19"/>
              </w:rPr>
              <w:t xml:space="preserve">→  </w:t>
            </w:r>
            <w:r>
              <w:rPr>
                <w:color w:val="2C2C2C"/>
                <w:sz w:val="19"/>
                <w:szCs w:val="19"/>
              </w:rPr>
              <w:t>Si elle a été créée spécifiquement pour cette règle, expliquer comment elle a été calculée à</w:t>
            </w:r>
            <w:r>
              <w:rPr>
                <w:color w:val="2C2C2C"/>
                <w:sz w:val="19"/>
                <w:szCs w:val="19"/>
              </w:rPr>
              <w:t xml:space="preserve"> partir des données CDR brutes.</w:t>
            </w:r>
          </w:p>
          <w:p w:rsidR="007306FA" w:rsidRDefault="00E6661C">
            <w:pPr>
              <w:spacing w:before="30" w:after="30"/>
            </w:pPr>
            <w:r>
              <w:rPr>
                <w:b/>
                <w:bCs/>
                <w:color w:val="6C3483"/>
                <w:sz w:val="19"/>
                <w:szCs w:val="19"/>
              </w:rPr>
              <w:t xml:space="preserve">→  </w:t>
            </w:r>
            <w:r>
              <w:rPr>
                <w:color w:val="2C2C2C"/>
                <w:sz w:val="19"/>
                <w:szCs w:val="19"/>
              </w:rPr>
              <w:t>Si elle existait déjà dans le dataset simulé, préciser comment sa distribution a été paramétrée lors de la simulation.</w:t>
            </w:r>
          </w:p>
        </w:tc>
      </w:tr>
    </w:tbl>
    <w:p w:rsidR="007306FA" w:rsidRDefault="007306FA">
      <w:pPr>
        <w:spacing w:before="60" w:after="60"/>
      </w:pP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6FA">
        <w:tblPrEx>
          <w:tblCellMar>
            <w:top w:w="0" w:type="dxa"/>
            <w:bottom w:w="0" w:type="dxa"/>
          </w:tblCellMar>
        </w:tblPrEx>
        <w:tc>
          <w:tcPr>
            <w:tcW w:w="0" w:type="auto"/>
            <w:tcBorders>
              <w:top w:val="single" w:sz="4" w:space="0" w:color="6C3483"/>
              <w:left w:val="single" w:sz="10" w:space="0" w:color="6C3483"/>
              <w:bottom w:val="none" w:sz="0" w:space="0" w:color="FFFFFF"/>
              <w:right w:val="single" w:sz="1" w:space="0" w:color="CCCCCC"/>
            </w:tcBorders>
            <w:shd w:val="clear" w:color="auto" w:fill="F4ECF7"/>
            <w:tcMar>
              <w:top w:w="80" w:type="dxa"/>
              <w:left w:w="180" w:type="dxa"/>
              <w:bottom w:w="80" w:type="dxa"/>
              <w:right w:w="120" w:type="dxa"/>
            </w:tcMar>
          </w:tcPr>
          <w:p w:rsidR="007306FA" w:rsidRDefault="00E6661C">
            <w:r>
              <w:rPr>
                <w:b/>
                <w:bCs/>
                <w:color w:val="6C3483"/>
                <w:sz w:val="19"/>
                <w:szCs w:val="19"/>
              </w:rPr>
              <w:t>🟣</w:t>
            </w:r>
            <w:r>
              <w:rPr>
                <w:b/>
                <w:bCs/>
                <w:color w:val="6C3483"/>
                <w:sz w:val="19"/>
                <w:szCs w:val="19"/>
              </w:rPr>
              <w:t xml:space="preserve"> QUESTION  </w:t>
            </w:r>
            <w:r>
              <w:rPr>
                <w:b/>
                <w:bCs/>
                <w:color w:val="1C1C1C"/>
                <w:sz w:val="19"/>
                <w:szCs w:val="19"/>
              </w:rPr>
              <w:t>Le Scénario C annoncé correspond-il à la règle finale retenue ?</w:t>
            </w:r>
          </w:p>
        </w:tc>
      </w:tr>
      <w:tr w:rsidR="007306FA">
        <w:tblPrEx>
          <w:tblCellMar>
            <w:top w:w="0" w:type="dxa"/>
            <w:bottom w:w="0" w:type="dxa"/>
          </w:tblCellMar>
        </w:tblPrEx>
        <w:tc>
          <w:tcPr>
            <w:tcW w:w="0" w:type="auto"/>
            <w:tcBorders>
              <w:top w:val="none" w:sz="0" w:space="0" w:color="FFFFFF"/>
              <w:left w:val="single" w:sz="10" w:space="0" w:color="6C3483"/>
              <w:bottom w:val="single" w:sz="1" w:space="0" w:color="CCCCCC"/>
              <w:right w:val="single" w:sz="1" w:space="0" w:color="CCCCCC"/>
            </w:tcBorders>
            <w:shd w:val="clear" w:color="auto" w:fill="FAFAFA"/>
            <w:tcMar>
              <w:top w:w="100" w:type="dxa"/>
              <w:left w:w="180" w:type="dxa"/>
              <w:bottom w:w="100" w:type="dxa"/>
              <w:right w:w="120" w:type="dxa"/>
            </w:tcMar>
          </w:tcPr>
          <w:p w:rsidR="007306FA" w:rsidRDefault="00E6661C">
            <w:pPr>
              <w:spacing w:after="80"/>
            </w:pPr>
            <w:r>
              <w:rPr>
                <w:color w:val="2C2C2C"/>
                <w:sz w:val="19"/>
                <w:szCs w:val="19"/>
              </w:rPr>
              <w:t>Une lecture attentive laisse penser que les trois 'scénarios évalués' incluent peut-être la règle finale elle-même comme Scénario C. Si c'est le cas, la formulation doit être corrigée.</w:t>
            </w:r>
          </w:p>
          <w:p w:rsidR="007306FA" w:rsidRDefault="00E6661C">
            <w:pPr>
              <w:spacing w:before="30" w:after="30"/>
            </w:pPr>
            <w:r>
              <w:rPr>
                <w:b/>
                <w:bCs/>
                <w:color w:val="6C3483"/>
                <w:sz w:val="19"/>
                <w:szCs w:val="19"/>
              </w:rPr>
              <w:t xml:space="preserve">→  </w:t>
            </w:r>
            <w:r>
              <w:rPr>
                <w:color w:val="2C2C2C"/>
                <w:sz w:val="19"/>
                <w:szCs w:val="19"/>
              </w:rPr>
              <w:t>Reformuler : « Deux scénarios alternatifs ont été évalués et écartés</w:t>
            </w:r>
            <w:r>
              <w:rPr>
                <w:color w:val="2C2C2C"/>
                <w:sz w:val="19"/>
                <w:szCs w:val="19"/>
              </w:rPr>
              <w:t xml:space="preserve"> avant de retenir la règle finale suivante. »</w:t>
            </w:r>
          </w:p>
          <w:p w:rsidR="007306FA" w:rsidRDefault="00E6661C">
            <w:pPr>
              <w:spacing w:before="30" w:after="30"/>
            </w:pPr>
            <w:r>
              <w:rPr>
                <w:b/>
                <w:bCs/>
                <w:color w:val="6C3483"/>
                <w:sz w:val="19"/>
                <w:szCs w:val="19"/>
              </w:rPr>
              <w:t xml:space="preserve">→  </w:t>
            </w:r>
            <w:r>
              <w:rPr>
                <w:color w:val="2C2C2C"/>
                <w:sz w:val="19"/>
                <w:szCs w:val="19"/>
              </w:rPr>
              <w:t>Ou décrire explicitement un vrai Scénario C distinct (ex. : churn par inactivité vocale seule, sans data ni SMS).</w:t>
            </w:r>
          </w:p>
        </w:tc>
      </w:tr>
    </w:tbl>
    <w:p w:rsidR="007306FA" w:rsidRDefault="007306FA">
      <w:pPr>
        <w:spacing w:before="60" w:after="60"/>
      </w:pPr>
    </w:p>
    <w:p w:rsidR="007306FA" w:rsidRDefault="00E6661C">
      <w:pPr>
        <w:pStyle w:val="Titre1"/>
      </w:pPr>
      <w:r>
        <w:t>6.  Appréciation globale</w:t>
      </w:r>
    </w:p>
    <w:p w:rsidR="007306FA" w:rsidRDefault="007306FA">
      <w:pPr>
        <w:spacing w:before="60" w:after="60"/>
      </w:pPr>
    </w:p>
    <w:p w:rsidR="007306FA" w:rsidRDefault="00E6661C">
      <w:pPr>
        <w:spacing w:before="60" w:after="60"/>
      </w:pPr>
      <w:r>
        <w:rPr>
          <w:color w:val="2C2C2C"/>
        </w:rPr>
        <w:t>Ce document de définition du périmètre churn témoigne d'</w:t>
      </w:r>
      <w:r>
        <w:rPr>
          <w:color w:val="2C2C2C"/>
        </w:rPr>
        <w:t>un bon niveau de réflexion méthodologique et d'une compréhension solide du contexte télécom prépayé tunisien. L'approche comparative, la transparence sur le dataset simulé, et la clarté de la règle finale sont des qualités réelles.</w:t>
      </w:r>
    </w:p>
    <w:p w:rsidR="007306FA" w:rsidRDefault="007306FA">
      <w:pPr>
        <w:spacing w:before="60" w:after="60"/>
      </w:pPr>
    </w:p>
    <w:p w:rsidR="007306FA" w:rsidRDefault="00E6661C">
      <w:pPr>
        <w:spacing w:before="60" w:after="60"/>
      </w:pPr>
      <w:r>
        <w:rPr>
          <w:color w:val="2C2C2C"/>
        </w:rPr>
        <w:t>Cependant, plusieurs po</w:t>
      </w:r>
      <w:r>
        <w:rPr>
          <w:color w:val="2C2C2C"/>
        </w:rPr>
        <w:t>ints doivent être corrigés avant l'intégration dans le rapport final :</w:t>
      </w:r>
    </w:p>
    <w:p w:rsidR="007306FA" w:rsidRDefault="007306FA">
      <w:pPr>
        <w:spacing w:before="60" w:after="60"/>
      </w:pPr>
    </w:p>
    <w:p w:rsidR="007306FA" w:rsidRDefault="00E6661C">
      <w:pPr>
        <w:pStyle w:val="Paragraphedeliste"/>
        <w:numPr>
          <w:ilvl w:val="0"/>
          <w:numId w:val="2"/>
        </w:numPr>
      </w:pPr>
      <w:r>
        <w:t>Corriger l'incohérence sur le nombre de scénarios (3 annoncés, 2 présentés).</w:t>
      </w:r>
    </w:p>
    <w:p w:rsidR="007306FA" w:rsidRDefault="00E6661C">
      <w:pPr>
        <w:pStyle w:val="Paragraphedeliste"/>
        <w:numPr>
          <w:ilvl w:val="0"/>
          <w:numId w:val="2"/>
        </w:numPr>
      </w:pPr>
      <w:r>
        <w:t>Justifier le seuil de 90 jours par une analyse de sensibilité ou une référence.</w:t>
      </w:r>
    </w:p>
    <w:p w:rsidR="007306FA" w:rsidRDefault="00E6661C">
      <w:pPr>
        <w:pStyle w:val="Paragraphedeliste"/>
        <w:numPr>
          <w:ilvl w:val="0"/>
          <w:numId w:val="2"/>
        </w:numPr>
      </w:pPr>
      <w:r>
        <w:t>Citer les sources pour le b</w:t>
      </w:r>
      <w:r>
        <w:t>enchmark télécom (27.7%).</w:t>
      </w:r>
    </w:p>
    <w:p w:rsidR="007306FA" w:rsidRDefault="00E6661C">
      <w:pPr>
        <w:pStyle w:val="Paragraphedeliste"/>
        <w:numPr>
          <w:ilvl w:val="0"/>
          <w:numId w:val="2"/>
        </w:numPr>
      </w:pPr>
      <w:r>
        <w:t>Ajouter une visualisation de la distribution de la variable cible.</w:t>
      </w:r>
    </w:p>
    <w:p w:rsidR="007306FA" w:rsidRDefault="00E6661C">
      <w:pPr>
        <w:pStyle w:val="Paragraphedeliste"/>
        <w:numPr>
          <w:ilvl w:val="0"/>
          <w:numId w:val="2"/>
        </w:numPr>
      </w:pPr>
      <w:r>
        <w:t>Signaler explicitement le risque de data leakage (recence_cdr_jours exclue des features).</w:t>
      </w:r>
    </w:p>
    <w:p w:rsidR="007306FA" w:rsidRDefault="00E6661C">
      <w:pPr>
        <w:pStyle w:val="Paragraphedeliste"/>
        <w:numPr>
          <w:ilvl w:val="0"/>
          <w:numId w:val="2"/>
        </w:numPr>
      </w:pPr>
      <w:r>
        <w:t>Discuter le déséquilibre des classes et ses implications sur le choix des</w:t>
      </w:r>
      <w:r>
        <w:t xml:space="preserve"> métriques.</w:t>
      </w:r>
    </w:p>
    <w:p w:rsidR="007306FA" w:rsidRDefault="007306FA">
      <w:pPr>
        <w:spacing w:before="60" w:after="60"/>
      </w:pPr>
    </w:p>
    <w:p w:rsidR="00E6661C" w:rsidRDefault="00E6661C">
      <w:bookmarkStart w:id="0" w:name="_GoBack"/>
      <w:bookmarkEnd w:id="0"/>
    </w:p>
    <w:sectPr w:rsidR="00E6661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661C" w:rsidRDefault="00E6661C">
      <w:r>
        <w:separator/>
      </w:r>
    </w:p>
  </w:endnote>
  <w:endnote w:type="continuationSeparator" w:id="0">
    <w:p w:rsidR="00E6661C" w:rsidRDefault="00E66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6FA" w:rsidRDefault="00E6661C">
    <w:pPr>
      <w:pBdr>
        <w:top w:val="single" w:sz="4" w:space="1" w:color="1A5276"/>
      </w:pBdr>
    </w:pPr>
    <w:r>
      <w:rPr>
        <w:color w:val="717D7E"/>
        <w:sz w:val="16"/>
        <w:szCs w:val="16"/>
      </w:rPr>
      <w:t xml:space="preserve">Commentaires encadrant · Confidentiel  –  p. </w:t>
    </w:r>
    <w:r>
      <w:rPr>
        <w:color w:val="717D7E"/>
        <w:sz w:val="16"/>
        <w:szCs w:val="16"/>
      </w:rPr>
      <w:fldChar w:fldCharType="begin"/>
    </w:r>
    <w:r>
      <w:rPr>
        <w:color w:val="717D7E"/>
        <w:sz w:val="16"/>
        <w:szCs w:val="16"/>
      </w:rPr>
      <w:instrText>PAGE</w:instrText>
    </w:r>
    <w:r w:rsidR="00935165">
      <w:rPr>
        <w:color w:val="717D7E"/>
        <w:sz w:val="16"/>
        <w:szCs w:val="16"/>
      </w:rPr>
      <w:fldChar w:fldCharType="separate"/>
    </w:r>
    <w:r w:rsidR="00E02883">
      <w:rPr>
        <w:noProof/>
        <w:color w:val="717D7E"/>
        <w:sz w:val="16"/>
        <w:szCs w:val="16"/>
      </w:rPr>
      <w:t>3</w:t>
    </w:r>
    <w:r>
      <w:rPr>
        <w:color w:val="717D7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661C" w:rsidRDefault="00E6661C">
      <w:r>
        <w:separator/>
      </w:r>
    </w:p>
  </w:footnote>
  <w:footnote w:type="continuationSeparator" w:id="0">
    <w:p w:rsidR="00E6661C" w:rsidRDefault="00E666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6FA" w:rsidRDefault="00E6661C">
    <w:pPr>
      <w:pBdr>
        <w:bottom w:val="single" w:sz="6" w:space="1" w:color="1A5276"/>
      </w:pBdr>
    </w:pPr>
    <w:r>
      <w:rPr>
        <w:color w:val="717D7E"/>
        <w:sz w:val="17"/>
        <w:szCs w:val="17"/>
      </w:rPr>
      <w:t xml:space="preserve">Annotations – Périmètre Churn PFE  |  </w:t>
    </w:r>
    <w:r>
      <w:rPr>
        <w:b/>
        <w:bCs/>
        <w:color w:val="1A5276"/>
        <w:sz w:val="17"/>
        <w:szCs w:val="17"/>
      </w:rPr>
      <w:t>Churn Detection · Tunisie Telecom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9074C"/>
    <w:multiLevelType w:val="hybridMultilevel"/>
    <w:tmpl w:val="48DC8E26"/>
    <w:lvl w:ilvl="0" w:tplc="B5DA1982">
      <w:start w:val="1"/>
      <w:numFmt w:val="bullet"/>
      <w:lvlText w:val="•"/>
      <w:lvlJc w:val="left"/>
      <w:pPr>
        <w:ind w:left="720" w:hanging="360"/>
      </w:pPr>
    </w:lvl>
    <w:lvl w:ilvl="1" w:tplc="E9200FA2">
      <w:numFmt w:val="decimal"/>
      <w:lvlText w:val=""/>
      <w:lvlJc w:val="left"/>
    </w:lvl>
    <w:lvl w:ilvl="2" w:tplc="2CECCF3C">
      <w:numFmt w:val="decimal"/>
      <w:lvlText w:val=""/>
      <w:lvlJc w:val="left"/>
    </w:lvl>
    <w:lvl w:ilvl="3" w:tplc="C8422950">
      <w:numFmt w:val="decimal"/>
      <w:lvlText w:val=""/>
      <w:lvlJc w:val="left"/>
    </w:lvl>
    <w:lvl w:ilvl="4" w:tplc="39AE329C">
      <w:numFmt w:val="decimal"/>
      <w:lvlText w:val=""/>
      <w:lvlJc w:val="left"/>
    </w:lvl>
    <w:lvl w:ilvl="5" w:tplc="1A42BEE0">
      <w:numFmt w:val="decimal"/>
      <w:lvlText w:val=""/>
      <w:lvlJc w:val="left"/>
    </w:lvl>
    <w:lvl w:ilvl="6" w:tplc="140A0B4C">
      <w:numFmt w:val="decimal"/>
      <w:lvlText w:val=""/>
      <w:lvlJc w:val="left"/>
    </w:lvl>
    <w:lvl w:ilvl="7" w:tplc="D464B1C4">
      <w:numFmt w:val="decimal"/>
      <w:lvlText w:val=""/>
      <w:lvlJc w:val="left"/>
    </w:lvl>
    <w:lvl w:ilvl="8" w:tplc="52504484">
      <w:numFmt w:val="decimal"/>
      <w:lvlText w:val=""/>
      <w:lvlJc w:val="left"/>
    </w:lvl>
  </w:abstractNum>
  <w:abstractNum w:abstractNumId="1">
    <w:nsid w:val="60DC29BE"/>
    <w:multiLevelType w:val="hybridMultilevel"/>
    <w:tmpl w:val="259EA068"/>
    <w:lvl w:ilvl="0" w:tplc="590EE830">
      <w:start w:val="1"/>
      <w:numFmt w:val="decimal"/>
      <w:lvlText w:val="%1."/>
      <w:lvlJc w:val="left"/>
      <w:pPr>
        <w:ind w:left="720" w:hanging="360"/>
      </w:pPr>
    </w:lvl>
    <w:lvl w:ilvl="1" w:tplc="07BADF40">
      <w:numFmt w:val="decimal"/>
      <w:lvlText w:val=""/>
      <w:lvlJc w:val="left"/>
    </w:lvl>
    <w:lvl w:ilvl="2" w:tplc="2084CB14">
      <w:numFmt w:val="decimal"/>
      <w:lvlText w:val=""/>
      <w:lvlJc w:val="left"/>
    </w:lvl>
    <w:lvl w:ilvl="3" w:tplc="7D80234A">
      <w:numFmt w:val="decimal"/>
      <w:lvlText w:val=""/>
      <w:lvlJc w:val="left"/>
    </w:lvl>
    <w:lvl w:ilvl="4" w:tplc="23C806D0">
      <w:numFmt w:val="decimal"/>
      <w:lvlText w:val=""/>
      <w:lvlJc w:val="left"/>
    </w:lvl>
    <w:lvl w:ilvl="5" w:tplc="D806F7EA">
      <w:numFmt w:val="decimal"/>
      <w:lvlText w:val=""/>
      <w:lvlJc w:val="left"/>
    </w:lvl>
    <w:lvl w:ilvl="6" w:tplc="8E56DCA2">
      <w:numFmt w:val="decimal"/>
      <w:lvlText w:val=""/>
      <w:lvlJc w:val="left"/>
    </w:lvl>
    <w:lvl w:ilvl="7" w:tplc="B22A815C">
      <w:numFmt w:val="decimal"/>
      <w:lvlText w:val=""/>
      <w:lvlJc w:val="left"/>
    </w:lvl>
    <w:lvl w:ilvl="8" w:tplc="1624EA82">
      <w:numFmt w:val="decimal"/>
      <w:lvlText w:val=""/>
      <w:lvlJc w:val="left"/>
    </w:lvl>
  </w:abstractNum>
  <w:abstractNum w:abstractNumId="2">
    <w:nsid w:val="658E448D"/>
    <w:multiLevelType w:val="hybridMultilevel"/>
    <w:tmpl w:val="347C0A26"/>
    <w:lvl w:ilvl="0" w:tplc="D478B594">
      <w:start w:val="1"/>
      <w:numFmt w:val="bullet"/>
      <w:lvlText w:val="●"/>
      <w:lvlJc w:val="left"/>
      <w:pPr>
        <w:ind w:left="720" w:hanging="360"/>
      </w:pPr>
    </w:lvl>
    <w:lvl w:ilvl="1" w:tplc="783C08E6">
      <w:start w:val="1"/>
      <w:numFmt w:val="bullet"/>
      <w:lvlText w:val="○"/>
      <w:lvlJc w:val="left"/>
      <w:pPr>
        <w:ind w:left="1440" w:hanging="360"/>
      </w:pPr>
    </w:lvl>
    <w:lvl w:ilvl="2" w:tplc="A0BE3BD4">
      <w:start w:val="1"/>
      <w:numFmt w:val="bullet"/>
      <w:lvlText w:val="■"/>
      <w:lvlJc w:val="left"/>
      <w:pPr>
        <w:ind w:left="2160" w:hanging="360"/>
      </w:pPr>
    </w:lvl>
    <w:lvl w:ilvl="3" w:tplc="A2203A04">
      <w:start w:val="1"/>
      <w:numFmt w:val="bullet"/>
      <w:lvlText w:val="●"/>
      <w:lvlJc w:val="left"/>
      <w:pPr>
        <w:ind w:left="2880" w:hanging="360"/>
      </w:pPr>
    </w:lvl>
    <w:lvl w:ilvl="4" w:tplc="FAF888C6">
      <w:start w:val="1"/>
      <w:numFmt w:val="bullet"/>
      <w:lvlText w:val="○"/>
      <w:lvlJc w:val="left"/>
      <w:pPr>
        <w:ind w:left="3600" w:hanging="360"/>
      </w:pPr>
    </w:lvl>
    <w:lvl w:ilvl="5" w:tplc="AA1C6B34">
      <w:start w:val="1"/>
      <w:numFmt w:val="bullet"/>
      <w:lvlText w:val="■"/>
      <w:lvlJc w:val="left"/>
      <w:pPr>
        <w:ind w:left="4320" w:hanging="360"/>
      </w:pPr>
    </w:lvl>
    <w:lvl w:ilvl="6" w:tplc="221AC288">
      <w:start w:val="1"/>
      <w:numFmt w:val="bullet"/>
      <w:lvlText w:val="●"/>
      <w:lvlJc w:val="left"/>
      <w:pPr>
        <w:ind w:left="5040" w:hanging="360"/>
      </w:pPr>
    </w:lvl>
    <w:lvl w:ilvl="7" w:tplc="721047BA">
      <w:start w:val="1"/>
      <w:numFmt w:val="bullet"/>
      <w:lvlText w:val="●"/>
      <w:lvlJc w:val="left"/>
      <w:pPr>
        <w:ind w:left="5760" w:hanging="360"/>
      </w:pPr>
    </w:lvl>
    <w:lvl w:ilvl="8" w:tplc="31B2068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6FA"/>
    <w:rsid w:val="007306FA"/>
    <w:rsid w:val="00935165"/>
    <w:rsid w:val="00E02883"/>
    <w:rsid w:val="00E666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88E716-A60C-4F6D-BA67-9BC66DAB6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160"/>
      <w:outlineLvl w:val="0"/>
    </w:pPr>
    <w:rPr>
      <w:b/>
      <w:bCs/>
      <w:color w:val="1A3A5C"/>
      <w:sz w:val="28"/>
      <w:szCs w:val="28"/>
    </w:rPr>
  </w:style>
  <w:style w:type="paragraph" w:styleId="Titre2">
    <w:name w:val="heading 2"/>
    <w:qFormat/>
    <w:pPr>
      <w:spacing w:before="260" w:after="120"/>
      <w:outlineLvl w:val="1"/>
    </w:pPr>
    <w:rPr>
      <w:b/>
      <w:bCs/>
      <w:color w:val="1A5276"/>
      <w:sz w:val="22"/>
      <w:szCs w:val="22"/>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1183</Words>
  <Characters>6508</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2026-04-03T18:05:00Z</dcterms:created>
  <dcterms:modified xsi:type="dcterms:W3CDTF">2026-04-03T18:05:00Z</dcterms:modified>
</cp:coreProperties>
</file>