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jc w:val="center"/>
      </w:pPr>
      <w:r>
        <w:rPr>
          <w:rFonts w:ascii="Arial" w:cs="Arial" w:eastAsia="Arial" w:hAnsi="Arial"/>
          <w:b/>
          <w:bCs/>
          <w:color w:val="2E4B8F"/>
          <w:sz w:val="52"/>
          <w:szCs w:val="52"/>
        </w:rPr>
        <w:t xml:space="preserve">Choix du bon modèle</w:t>
      </w:r>
    </w:p>
    <w:p>
      <w:pPr>
        <w:pBdr>
          <w:bottom w:val="single" w:color="2E4B8F" w:sz="6" w:space="6"/>
        </w:pBdr>
        <w:spacing w:after="60" w:before="0"/>
        <w:jc w:val="center"/>
      </w:pPr>
      <w:r>
        <w:rPr>
          <w:rFonts w:ascii="Arial" w:cs="Arial" w:eastAsia="Arial" w:hAnsi="Arial"/>
          <w:i/>
          <w:iCs/>
          <w:color w:val="666666"/>
          <w:sz w:val="22"/>
          <w:szCs w:val="22"/>
        </w:rPr>
        <w:t xml:space="preserve">Évaluation critique de la démarche ML — Suite du rapport Modélisation</w:t>
      </w:r>
    </w:p>
    <w:p>
      <w:pPr>
        <w:spacing w:after="0" w:before="200"/>
      </w:pPr>
      <w:r>
        <w:t xml:space="preserve"/>
      </w:r>
    </w:p>
    <w:p>
      <w:pPr>
        <w:pStyle w:val="Heading1"/>
        <w:pBdr>
          <w:bottom w:val="single" w:color="2E4B8F" w:sz="8" w:space="4"/>
        </w:pBdr>
        <w:spacing w:after="140" w:before="320"/>
      </w:pPr>
      <w:r>
        <w:rPr>
          <w:rFonts w:ascii="Arial" w:cs="Arial" w:eastAsia="Arial" w:hAnsi="Arial"/>
          <w:b/>
          <w:bCs/>
          <w:color w:val="2E4B8F"/>
          <w:sz w:val="34"/>
          <w:szCs w:val="34"/>
        </w:rPr>
        <w:t xml:space="preserve">Partie 1 : Résultats des modèles</w:t>
      </w:r>
    </w:p>
    <w:p>
      <w:pPr>
        <w:pStyle w:val="Heading2"/>
        <w:spacing w:after="100" w:before="260"/>
      </w:pPr>
      <w:r>
        <w:rPr>
          <w:rFonts w:ascii="Arial" w:cs="Arial" w:eastAsia="Arial" w:hAnsi="Arial"/>
          <w:b/>
          <w:bCs/>
          <w:color w:val="1A1A2E"/>
          <w:sz w:val="27"/>
          <w:szCs w:val="27"/>
        </w:rPr>
        <w:t xml:space="preserve">1.1 Comparaison Class_weight vs SMOTE</w:t>
      </w:r>
    </w:p>
    <w:p>
      <w:pPr>
        <w:spacing w:after="70" w:before="70"/>
      </w:pPr>
      <w:r>
        <w:rPr>
          <w:rFonts w:ascii="Arial" w:cs="Arial" w:eastAsia="Arial" w:hAnsi="Arial"/>
          <w:color w:val="1A1A2E"/>
          <w:sz w:val="22"/>
          <w:szCs w:val="22"/>
        </w:rPr>
        <w:t xml:space="preserve">Les six configurations testées (3 modèles × 2 stratégies) produisent les résultats suivants :</w:t>
      </w:r>
    </w:p>
    <w:p>
      <w:pPr>
        <w:spacing w:after="0" w:before="100"/>
      </w:pPr>
      <w:r>
        <w:t xml:space="preserve"/>
      </w:r>
    </w:p>
    <w:p>
      <w:pPr>
        <w:spacing w:after="60" w:before="100"/>
      </w:pPr>
      <w:r>
        <w:rPr>
          <w:rFonts w:ascii="Arial" w:cs="Arial" w:eastAsia="Arial" w:hAnsi="Arial"/>
          <w:b/>
          <w:bCs/>
          <w:color w:val="1A1A2E"/>
          <w:sz w:val="22"/>
          <w:szCs w:val="22"/>
        </w:rPr>
        <w:t xml:space="preserve">Class_weight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W w:type="dxa" w:w="179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AUC-ROC</w:t>
            </w:r>
          </w:p>
        </w:tc>
        <w:tc>
          <w:tcPr>
            <w:tcW w:type="dxa" w:w="179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179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79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Précision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LR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E8449"/>
                <w:sz w:val="20"/>
                <w:szCs w:val="20"/>
              </w:rPr>
              <w:t xml:space="preserve">0.8222</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E8449"/>
                <w:sz w:val="20"/>
                <w:szCs w:val="20"/>
              </w:rPr>
              <w:t xml:space="preserve">0.50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0.48</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0.5217</w:t>
            </w:r>
          </w:p>
        </w:tc>
      </w:tr>
      <w:tr>
        <w:tc>
          <w:tcPr>
            <w:tcW w:type="dxa" w:w="2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RF</w:t>
            </w:r>
          </w:p>
        </w:tc>
        <w:tc>
          <w:tcPr>
            <w:tcW w:type="dxa" w:w="179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E8449"/>
                <w:sz w:val="20"/>
                <w:szCs w:val="20"/>
              </w:rPr>
              <w:t xml:space="preserve">0.8422</w:t>
            </w:r>
          </w:p>
        </w:tc>
        <w:tc>
          <w:tcPr>
            <w:tcW w:type="dxa" w:w="179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0.2069</w:t>
            </w:r>
          </w:p>
        </w:tc>
        <w:tc>
          <w:tcPr>
            <w:tcW w:type="dxa" w:w="179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0.12</w:t>
            </w:r>
          </w:p>
        </w:tc>
        <w:tc>
          <w:tcPr>
            <w:tcW w:type="dxa" w:w="179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E8449"/>
                <w:sz w:val="20"/>
                <w:szCs w:val="20"/>
              </w:rPr>
              <w:t xml:space="preserve">0.75</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XGB</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0.7797</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0.4878</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0.40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0.625</w:t>
            </w:r>
          </w:p>
        </w:tc>
      </w:tr>
    </w:tbl>
    <w:p>
      <w:pPr>
        <w:spacing w:after="0" w:before="100"/>
      </w:pPr>
      <w:r>
        <w:t xml:space="preserve"/>
      </w:r>
    </w:p>
    <w:p>
      <w:pPr>
        <w:spacing w:after="60" w:before="100"/>
      </w:pPr>
      <w:r>
        <w:rPr>
          <w:rFonts w:ascii="Arial" w:cs="Arial" w:eastAsia="Arial" w:hAnsi="Arial"/>
          <w:b/>
          <w:bCs/>
          <w:color w:val="1A1A2E"/>
          <w:sz w:val="22"/>
          <w:szCs w:val="22"/>
        </w:rPr>
        <w:t xml:space="preserve">SMOTE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W w:type="dxa" w:w="179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AUC-ROC</w:t>
            </w:r>
          </w:p>
        </w:tc>
        <w:tc>
          <w:tcPr>
            <w:tcW w:type="dxa" w:w="179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179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79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Précision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LR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0.7785</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0.4348</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0.40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0.4762</w:t>
            </w:r>
          </w:p>
        </w:tc>
      </w:tr>
      <w:tr>
        <w:tc>
          <w:tcPr>
            <w:tcW w:type="dxa" w:w="2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RF</w:t>
            </w:r>
          </w:p>
        </w:tc>
        <w:tc>
          <w:tcPr>
            <w:tcW w:type="dxa" w:w="179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0.8175</w:t>
            </w:r>
          </w:p>
        </w:tc>
        <w:tc>
          <w:tcPr>
            <w:tcW w:type="dxa" w:w="179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0.2857</w:t>
            </w:r>
          </w:p>
        </w:tc>
        <w:tc>
          <w:tcPr>
            <w:tcW w:type="dxa" w:w="179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0.20</w:t>
            </w:r>
          </w:p>
        </w:tc>
        <w:tc>
          <w:tcPr>
            <w:tcW w:type="dxa" w:w="179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0.50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XGB</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0.7508</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0.2857</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0.20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0.50</w:t>
            </w:r>
          </w:p>
        </w:tc>
      </w:tr>
    </w:tbl>
    <w:p>
      <w:pPr>
        <w:spacing w:after="0" w:before="160"/>
      </w:pPr>
      <w:r>
        <w:t xml:space="preserve"/>
      </w:r>
    </w:p>
    <w:p>
      <w:pPr>
        <w:pStyle w:val="Heading2"/>
        <w:spacing w:after="100" w:before="260"/>
      </w:pPr>
      <w:r>
        <w:rPr>
          <w:rFonts w:ascii="Arial" w:cs="Arial" w:eastAsia="Arial" w:hAnsi="Arial"/>
          <w:b/>
          <w:bCs/>
          <w:color w:val="1A1A2E"/>
          <w:sz w:val="27"/>
          <w:szCs w:val="27"/>
        </w:rPr>
        <w:t xml:space="preserve">1.2 Optimisation XGBoost — Progression</w:t>
      </w:r>
    </w:p>
    <w:p>
      <w:pPr>
        <w:spacing w:after="70" w:before="70"/>
      </w:pPr>
      <w:r>
        <w:rPr>
          <w:rFonts w:ascii="Arial" w:cs="Arial" w:eastAsia="Arial" w:hAnsi="Arial"/>
          <w:color w:val="1A1A2E"/>
          <w:sz w:val="22"/>
          <w:szCs w:val="22"/>
        </w:rPr>
        <w:t xml:space="preserve">Synthèse de l'évolution des métriques à travers les étapes d'optimisation :</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rPr>
          <w:tblHeader/>
        </w:trPr>
        <w:tc>
          <w:tcPr>
            <w:tcW w:type="dxa" w:w="220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1432"/>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AUC-ROC</w:t>
            </w:r>
          </w:p>
        </w:tc>
        <w:tc>
          <w:tcPr>
            <w:tcW w:type="dxa" w:w="1432"/>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w:t>
            </w:r>
          </w:p>
        </w:tc>
        <w:tc>
          <w:tcPr>
            <w:tcW w:type="dxa" w:w="1432"/>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432"/>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Précision</w:t>
            </w:r>
          </w:p>
        </w:tc>
        <w:tc>
          <w:tcPr>
            <w:tcW w:type="dxa" w:w="1432"/>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Seuil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XGB baseline (class_weight)</w:t>
            </w:r>
          </w:p>
        </w:tc>
        <w:tc>
          <w:tcPr>
            <w:tcW w:type="dxa" w:w="14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0.7797</w:t>
            </w:r>
          </w:p>
        </w:tc>
        <w:tc>
          <w:tcPr>
            <w:tcW w:type="dxa" w:w="14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0.4878</w:t>
            </w:r>
          </w:p>
        </w:tc>
        <w:tc>
          <w:tcPr>
            <w:tcW w:type="dxa" w:w="14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0.40</w:t>
            </w:r>
          </w:p>
        </w:tc>
        <w:tc>
          <w:tcPr>
            <w:tcW w:type="dxa" w:w="14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0.625</w:t>
            </w:r>
          </w:p>
        </w:tc>
        <w:tc>
          <w:tcPr>
            <w:tcW w:type="dxa" w:w="14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0.50</w:t>
            </w:r>
          </w:p>
        </w:tc>
      </w:tr>
      <w:tr>
        <w:tc>
          <w:tcPr>
            <w:tcW w:type="dxa" w:w="2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GridSearch (roc_auc)</w:t>
            </w:r>
          </w:p>
        </w:tc>
        <w:tc>
          <w:tcPr>
            <w:tcW w:type="dxa" w:w="1432"/>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0.8406</w:t>
            </w:r>
          </w:p>
        </w:tc>
        <w:tc>
          <w:tcPr>
            <w:tcW w:type="dxa" w:w="1432"/>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C0392B"/>
                <w:sz w:val="20"/>
                <w:szCs w:val="20"/>
              </w:rPr>
              <w:t xml:space="preserve">0.2424 ↓</w:t>
            </w:r>
          </w:p>
        </w:tc>
        <w:tc>
          <w:tcPr>
            <w:tcW w:type="dxa" w:w="1432"/>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C0392B"/>
                <w:sz w:val="20"/>
                <w:szCs w:val="20"/>
              </w:rPr>
              <w:t xml:space="preserve">0.16 ↓</w:t>
            </w:r>
          </w:p>
        </w:tc>
        <w:tc>
          <w:tcPr>
            <w:tcW w:type="dxa" w:w="1432"/>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0.50</w:t>
            </w:r>
          </w:p>
        </w:tc>
        <w:tc>
          <w:tcPr>
            <w:tcW w:type="dxa" w:w="1432"/>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0.23</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GridSearch (f1)</w:t>
            </w:r>
          </w:p>
        </w:tc>
        <w:tc>
          <w:tcPr>
            <w:tcW w:type="dxa" w:w="14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0.7982</w:t>
            </w:r>
          </w:p>
        </w:tc>
        <w:tc>
          <w:tcPr>
            <w:tcW w:type="dxa" w:w="14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0.375</w:t>
            </w:r>
          </w:p>
        </w:tc>
        <w:tc>
          <w:tcPr>
            <w:tcW w:type="dxa" w:w="14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0.24</w:t>
            </w:r>
          </w:p>
        </w:tc>
        <w:tc>
          <w:tcPr>
            <w:tcW w:type="dxa" w:w="14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E8449"/>
                <w:sz w:val="20"/>
                <w:szCs w:val="20"/>
              </w:rPr>
              <w:t xml:space="preserve">0.8571</w:t>
            </w:r>
          </w:p>
        </w:tc>
        <w:tc>
          <w:tcPr>
            <w:tcW w:type="dxa" w:w="14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w:t>
            </w:r>
          </w:p>
        </w:tc>
      </w:tr>
      <w:tr>
        <w:tc>
          <w:tcPr>
            <w:tcW w:type="dxa" w:w="2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Optuna v1 (50 essais)</w:t>
            </w:r>
          </w:p>
        </w:tc>
        <w:tc>
          <w:tcPr>
            <w:tcW w:type="dxa" w:w="1432"/>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0.8437</w:t>
            </w:r>
          </w:p>
        </w:tc>
        <w:tc>
          <w:tcPr>
            <w:tcW w:type="dxa" w:w="1432"/>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0.6939*</w:t>
            </w:r>
          </w:p>
        </w:tc>
        <w:tc>
          <w:tcPr>
            <w:tcW w:type="dxa" w:w="1432"/>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0.68*</w:t>
            </w:r>
          </w:p>
        </w:tc>
        <w:tc>
          <w:tcPr>
            <w:tcW w:type="dxa" w:w="1432"/>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w:t>
            </w:r>
          </w:p>
        </w:tc>
        <w:tc>
          <w:tcPr>
            <w:tcW w:type="dxa" w:w="1432"/>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0.29</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Optuna v2 (régul.)</w:t>
            </w:r>
          </w:p>
        </w:tc>
        <w:tc>
          <w:tcPr>
            <w:tcW w:type="dxa" w:w="14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E8449"/>
                <w:sz w:val="20"/>
                <w:szCs w:val="20"/>
              </w:rPr>
              <w:t xml:space="preserve">0.8622</w:t>
            </w:r>
          </w:p>
        </w:tc>
        <w:tc>
          <w:tcPr>
            <w:tcW w:type="dxa" w:w="14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E8449"/>
                <w:sz w:val="20"/>
                <w:szCs w:val="20"/>
              </w:rPr>
              <w:t xml:space="preserve">0.7059</w:t>
            </w:r>
          </w:p>
        </w:tc>
        <w:tc>
          <w:tcPr>
            <w:tcW w:type="dxa" w:w="14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0.72</w:t>
            </w:r>
          </w:p>
        </w:tc>
        <w:tc>
          <w:tcPr>
            <w:tcW w:type="dxa" w:w="14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0.6923</w:t>
            </w:r>
          </w:p>
        </w:tc>
        <w:tc>
          <w:tcPr>
            <w:tcW w:type="dxa" w:w="14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0.31</w:t>
            </w:r>
          </w:p>
        </w:tc>
      </w:tr>
      <w:tr>
        <w:tc>
          <w:tcPr>
            <w:tcW w:type="dxa" w:w="2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Optuna v3 (150 essais)</w:t>
            </w:r>
          </w:p>
        </w:tc>
        <w:tc>
          <w:tcPr>
            <w:tcW w:type="dxa" w:w="1432"/>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E8449"/>
                <w:sz w:val="20"/>
                <w:szCs w:val="20"/>
              </w:rPr>
              <w:t xml:space="preserve">0.8646</w:t>
            </w:r>
          </w:p>
        </w:tc>
        <w:tc>
          <w:tcPr>
            <w:tcW w:type="dxa" w:w="1432"/>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E8449"/>
                <w:sz w:val="20"/>
                <w:szCs w:val="20"/>
              </w:rPr>
              <w:t xml:space="preserve">0.717</w:t>
            </w:r>
          </w:p>
        </w:tc>
        <w:tc>
          <w:tcPr>
            <w:tcW w:type="dxa" w:w="1432"/>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E8449"/>
                <w:sz w:val="20"/>
                <w:szCs w:val="20"/>
              </w:rPr>
              <w:t xml:space="preserve">0.76</w:t>
            </w:r>
          </w:p>
        </w:tc>
        <w:tc>
          <w:tcPr>
            <w:tcW w:type="dxa" w:w="1432"/>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0.6786</w:t>
            </w:r>
          </w:p>
        </w:tc>
        <w:tc>
          <w:tcPr>
            <w:tcW w:type="dxa" w:w="1432"/>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Optuna v4 (300 essais)</w:t>
            </w:r>
          </w:p>
        </w:tc>
        <w:tc>
          <w:tcPr>
            <w:tcW w:type="dxa" w:w="14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0.8671</w:t>
            </w:r>
          </w:p>
        </w:tc>
        <w:tc>
          <w:tcPr>
            <w:tcW w:type="dxa" w:w="14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D35400"/>
                <w:sz w:val="20"/>
                <w:szCs w:val="20"/>
              </w:rPr>
              <w:t xml:space="preserve">0.6909 ↓</w:t>
            </w:r>
          </w:p>
        </w:tc>
        <w:tc>
          <w:tcPr>
            <w:tcW w:type="dxa" w:w="14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0.76</w:t>
            </w:r>
          </w:p>
        </w:tc>
        <w:tc>
          <w:tcPr>
            <w:tcW w:type="dxa" w:w="14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0.6333</w:t>
            </w:r>
          </w:p>
        </w:tc>
        <w:tc>
          <w:tcPr>
            <w:tcW w:type="dxa" w:w="14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0.25</w:t>
            </w:r>
          </w:p>
        </w:tc>
      </w:tr>
      <w:tr>
        <w:tc>
          <w:tcPr>
            <w:tcW w:type="dxa" w:w="2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2E4B8F"/>
                <w:sz w:val="20"/>
                <w:szCs w:val="20"/>
              </w:rPr>
              <w:t xml:space="preserve">Ensemble (final)</w:t>
            </w:r>
          </w:p>
        </w:tc>
        <w:tc>
          <w:tcPr>
            <w:tcW w:type="dxa" w:w="1432"/>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0.8646</w:t>
            </w:r>
          </w:p>
        </w:tc>
        <w:tc>
          <w:tcPr>
            <w:tcW w:type="dxa" w:w="1432"/>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0.7097</w:t>
            </w:r>
          </w:p>
        </w:tc>
        <w:tc>
          <w:tcPr>
            <w:tcW w:type="dxa" w:w="1432"/>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E8449"/>
                <w:sz w:val="20"/>
                <w:szCs w:val="20"/>
              </w:rPr>
              <w:t xml:space="preserve">0.88 ✓</w:t>
            </w:r>
          </w:p>
        </w:tc>
        <w:tc>
          <w:tcPr>
            <w:tcW w:type="dxa" w:w="1432"/>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D35400"/>
                <w:sz w:val="20"/>
                <w:szCs w:val="20"/>
              </w:rPr>
              <w:t xml:space="preserve">0.5946 ↓</w:t>
            </w:r>
          </w:p>
        </w:tc>
        <w:tc>
          <w:tcPr>
            <w:tcW w:type="dxa" w:w="1432"/>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0.25</w:t>
            </w:r>
          </w:p>
        </w:tc>
      </w:tr>
    </w:tbl>
    <w:p>
      <w:pPr>
        <w:spacing w:after="0" w:before="60"/>
      </w:pPr>
      <w:r>
        <w:rPr>
          <w:rFonts w:ascii="Arial" w:cs="Arial" w:eastAsia="Arial" w:hAnsi="Arial"/>
          <w:i/>
          <w:iCs/>
          <w:color w:val="888888"/>
          <w:sz w:val="19"/>
          <w:szCs w:val="19"/>
        </w:rPr>
        <w:t xml:space="preserve">* F1 et Recall au seuil optimal, non au seuil 0.50.</w:t>
      </w:r>
    </w:p>
    <w:p>
      <w:pPr>
        <w:spacing w:after="0" w:before="200"/>
      </w:pPr>
      <w:r>
        <w:t xml:space="preserve"/>
      </w:r>
    </w:p>
    <w:p>
      <w:pPr>
        <w:pBdr>
          <w:bottom w:val="single" w:color="C0392B" w:sz="8" w:space="4"/>
        </w:pBdr>
        <w:spacing w:after="140" w:before="240"/>
      </w:pPr>
      <w:r>
        <w:rPr>
          <w:rFonts w:ascii="Arial" w:cs="Arial" w:eastAsia="Arial" w:hAnsi="Arial"/>
          <w:b/>
          <w:bCs/>
          <w:color w:val="C0392B"/>
          <w:sz w:val="34"/>
          <w:szCs w:val="34"/>
        </w:rPr>
        <w:t xml:space="preserve">Partie 2 : Évaluation Critique — Incohérences Identifiées</w:t>
      </w:r>
    </w:p>
    <w:p>
      <w:pPr>
        <w:spacing w:after="0" w:before="80"/>
      </w:pPr>
      <w:r>
        <w:t xml:space="preserve"/>
      </w:r>
    </w:p>
    <w:p>
      <w:pPr>
        <w:pStyle w:val="Heading2"/>
        <w:spacing w:after="100" w:before="260"/>
      </w:pPr>
      <w:r>
        <w:rPr>
          <w:rFonts w:ascii="Arial" w:cs="Arial" w:eastAsia="Arial" w:hAnsi="Arial"/>
          <w:b/>
          <w:bCs/>
          <w:color w:val="C0392B"/>
          <w:sz w:val="27"/>
          <w:szCs w:val="27"/>
        </w:rPr>
        <w:t xml:space="preserve">Incohérence 1 — La « baseline » optimisée est le mauvais modèle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CCCCCC" w:sz="1"/>
              <w:left w:val="single" w:color="CCCCCC" w:sz="1"/>
              <w:bottom w:val="single" w:color="CCCCCC" w:sz="1"/>
              <w:right w:val="single" w:color="CCCCCC" w:sz="1"/>
            </w:tcBorders>
            <w:shd w:fill="C0392B" w:val="clear"/>
            <w:tcMar>
              <w:top w:type="dxa" w:w="100"/>
              <w:left w:type="dxa" w:w="80"/>
              <w:bottom w:type="dxa" w:w="100"/>
              <w:right w:type="dxa" w:w="80"/>
            </w:tcMar>
            <w:vAlign w:val="top"/>
          </w:tcPr>
          <w:p>
            <w:pPr>
              <w:jc w:val="center"/>
            </w:pPr>
            <w:r>
              <w:rPr>
                <w:rFonts w:ascii="Arial" w:cs="Arial" w:eastAsia="Arial" w:hAnsi="Arial"/>
                <w:b/>
                <w:bCs/>
                <w:color w:val="FFFFFF"/>
                <w:sz w:val="22"/>
                <w:szCs w:val="22"/>
              </w:rPr>
              <w:t xml:space="preserve">⚠</w:t>
            </w:r>
          </w:p>
          <w:p>
            <w:pPr>
              <w:spacing w:before="40"/>
              <w:jc w:val="center"/>
            </w:pPr>
            <w:r>
              <w:rPr>
                <w:rFonts w:ascii="Arial" w:cs="Arial" w:eastAsia="Arial" w:hAnsi="Arial"/>
                <w:b/>
                <w:bCs/>
                <w:color w:val="FFFFFF"/>
                <w:sz w:val="16"/>
                <w:szCs w:val="16"/>
              </w:rPr>
              <w:t xml:space="preserve">CRITIQUE
MAJEURE</w:t>
            </w:r>
          </w:p>
        </w:tc>
        <w:tc>
          <w:tcPr>
            <w:tcW w:type="dxa" w:w="9080"/>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pPr>
              <w:spacing w:after="80" w:before="60"/>
            </w:pPr>
            <w:r>
              <w:rPr>
                <w:rFonts w:ascii="Arial" w:cs="Arial" w:eastAsia="Arial" w:hAnsi="Arial"/>
                <w:b/>
                <w:bCs/>
                <w:color w:val="C0392B"/>
                <w:sz w:val="22"/>
                <w:szCs w:val="22"/>
              </w:rPr>
              <w:t xml:space="preserve">LR (class_weight) surpasse XGBoost dès le départ — sans aucune optimisation</w:t>
            </w:r>
          </w:p>
          <w:p>
            <w:pPr>
              <w:pStyle w:val="ListParagraph"/>
              <w:numPr>
                <w:ilvl w:val="0"/>
                <w:numId w:val="2"/>
              </w:numPr>
              <w:spacing w:after="55" w:before="55"/>
            </w:pPr>
            <w:r>
              <w:rPr>
                <w:rFonts w:ascii="Arial" w:cs="Arial" w:eastAsia="Arial" w:hAnsi="Arial"/>
                <w:b w:val="false"/>
                <w:bCs w:val="false"/>
                <w:i w:val="false"/>
                <w:iCs w:val="false"/>
                <w:color w:val="1A1A2E"/>
                <w:sz w:val="22"/>
                <w:szCs w:val="22"/>
              </w:rPr>
              <w:t xml:space="preserve">XGBoost baseline AUC-ROC = 0.7797, F1 = 0.4878, Recall = 0.40</w:t>
            </w:r>
          </w:p>
          <w:p>
            <w:pPr>
              <w:pStyle w:val="ListParagraph"/>
              <w:numPr>
                <w:ilvl w:val="0"/>
                <w:numId w:val="2"/>
              </w:numPr>
              <w:spacing w:after="55" w:before="55"/>
            </w:pPr>
            <w:r>
              <w:rPr>
                <w:rFonts w:ascii="Arial" w:cs="Arial" w:eastAsia="Arial" w:hAnsi="Arial"/>
                <w:b w:val="false"/>
                <w:bCs w:val="false"/>
                <w:i w:val="false"/>
                <w:iCs w:val="false"/>
                <w:color w:val="1A1A2E"/>
                <w:sz w:val="22"/>
                <w:szCs w:val="22"/>
              </w:rPr>
              <w:t xml:space="preserve">LR class_weight AUC-ROC = </w:t>
            </w:r>
            <w:r>
              <w:rPr>
                <w:rFonts w:ascii="Arial" w:cs="Arial" w:eastAsia="Arial" w:hAnsi="Arial"/>
                <w:b/>
                <w:bCs/>
                <w:i w:val="false"/>
                <w:iCs w:val="false"/>
                <w:color w:val="1E8449"/>
                <w:sz w:val="22"/>
                <w:szCs w:val="22"/>
              </w:rPr>
              <w:t xml:space="preserve">0.8222</w:t>
            </w:r>
            <w:r>
              <w:rPr>
                <w:rFonts w:ascii="Arial" w:cs="Arial" w:eastAsia="Arial" w:hAnsi="Arial"/>
                <w:b w:val="false"/>
                <w:bCs w:val="false"/>
                <w:i w:val="false"/>
                <w:iCs w:val="false"/>
                <w:color w:val="1A1A2E"/>
                <w:sz w:val="22"/>
                <w:szCs w:val="22"/>
              </w:rPr>
              <w:t xml:space="preserve">, F1 = </w:t>
            </w:r>
            <w:r>
              <w:rPr>
                <w:rFonts w:ascii="Arial" w:cs="Arial" w:eastAsia="Arial" w:hAnsi="Arial"/>
                <w:b/>
                <w:bCs/>
                <w:i w:val="false"/>
                <w:iCs w:val="false"/>
                <w:color w:val="1E8449"/>
                <w:sz w:val="22"/>
                <w:szCs w:val="22"/>
              </w:rPr>
              <w:t xml:space="preserve">0.50</w:t>
            </w:r>
            <w:r>
              <w:rPr>
                <w:rFonts w:ascii="Arial" w:cs="Arial" w:eastAsia="Arial" w:hAnsi="Arial"/>
                <w:b w:val="false"/>
                <w:bCs w:val="false"/>
                <w:i w:val="false"/>
                <w:iCs w:val="false"/>
                <w:color w:val="1A1A2E"/>
                <w:sz w:val="22"/>
                <w:szCs w:val="22"/>
              </w:rPr>
              <w:t xml:space="preserve">, Recall = </w:t>
            </w:r>
            <w:r>
              <w:rPr>
                <w:rFonts w:ascii="Arial" w:cs="Arial" w:eastAsia="Arial" w:hAnsi="Arial"/>
                <w:b/>
                <w:bCs/>
                <w:i w:val="false"/>
                <w:iCs w:val="false"/>
                <w:color w:val="1E8449"/>
                <w:sz w:val="22"/>
                <w:szCs w:val="22"/>
              </w:rPr>
              <w:t xml:space="preserve">0.48</w:t>
            </w:r>
            <w:r>
              <w:rPr>
                <w:rFonts w:ascii="Arial" w:cs="Arial" w:eastAsia="Arial" w:hAnsi="Arial"/>
                <w:b w:val="false"/>
                <w:bCs w:val="false"/>
                <w:i w:val="false"/>
                <w:iCs w:val="false"/>
                <w:color w:val="1A1A2E"/>
                <w:sz w:val="22"/>
                <w:szCs w:val="22"/>
              </w:rPr>
              <w:t xml:space="preserve"> — meilleur sur TOUS les critères prioritaires (priorité 1, 2, 3).</w:t>
            </w:r>
          </w:p>
          <w:p>
            <w:pPr>
              <w:pStyle w:val="ListParagraph"/>
              <w:numPr>
                <w:ilvl w:val="0"/>
                <w:numId w:val="2"/>
              </w:numPr>
              <w:spacing w:after="55" w:before="55"/>
            </w:pPr>
            <w:r>
              <w:rPr>
                <w:rFonts w:ascii="Arial" w:cs="Arial" w:eastAsia="Arial" w:hAnsi="Arial"/>
                <w:b w:val="false"/>
                <w:bCs w:val="false"/>
                <w:i w:val="false"/>
                <w:iCs w:val="false"/>
                <w:color w:val="1A1A2E"/>
                <w:sz w:val="22"/>
                <w:szCs w:val="22"/>
              </w:rPr>
              <w:t xml:space="preserve">RF class_weight AUC-ROC = 0.8422 (meilleur AUC global) — également ignoré pour l'optimisation.</w:t>
            </w:r>
          </w:p>
          <w:p>
            <w:pPr>
              <w:spacing w:after="40" w:before="100"/>
            </w:pPr>
            <w:r>
              <w:rPr>
                <w:rFonts w:ascii="Arial" w:cs="Arial" w:eastAsia="Arial" w:hAnsi="Arial"/>
                <w:b/>
                <w:bCs/>
                <w:color w:val="1A1A2E"/>
                <w:sz w:val="22"/>
                <w:szCs w:val="22"/>
              </w:rPr>
              <w:t xml:space="preserve">Conséquence : </w:t>
            </w:r>
            <w:r>
              <w:rPr>
                <w:rFonts w:ascii="Arial" w:cs="Arial" w:eastAsia="Arial" w:hAnsi="Arial"/>
                <w:color w:val="1A1A2E"/>
                <w:sz w:val="22"/>
                <w:szCs w:val="22"/>
              </w:rPr>
              <w:t xml:space="preserve">On a investi plusieurs étapes d'optimisation (GridSearch → Optuna v1 → v2 → v3 → v4 → Ensemble) sur XGBoost, alors que LR offrait dès le départ un meilleur F1 et Recall sans aucun coût computationnel.</w:t>
            </w:r>
          </w:p>
          <w:p>
            <w:pPr>
              <w:spacing w:after="40" w:before="80"/>
            </w:pPr>
            <w:r>
              <w:rPr>
                <w:rFonts w:ascii="Arial" w:cs="Arial" w:eastAsia="Arial" w:hAnsi="Arial"/>
                <w:b/>
                <w:bCs/>
                <w:color w:val="1E8449"/>
                <w:sz w:val="22"/>
                <w:szCs w:val="22"/>
              </w:rPr>
              <w:t xml:space="preserve">Recommandation : </w:t>
            </w:r>
            <w:r>
              <w:rPr>
                <w:rFonts w:ascii="Arial" w:cs="Arial" w:eastAsia="Arial" w:hAnsi="Arial"/>
                <w:color w:val="1E8449"/>
                <w:sz w:val="22"/>
                <w:szCs w:val="22"/>
              </w:rPr>
              <w:t xml:space="preserve">Appliquer d'abord GridSearch/Optuna à LR et RF. Si XGBoost optimisé les dépasse significativement, son coût computationnel et sa perte d'interprétabilité sont alors justifiés.</w:t>
            </w:r>
          </w:p>
        </w:tc>
      </w:tr>
    </w:tbl>
    <w:p>
      <w:pPr>
        <w:spacing w:after="0" w:before="160"/>
      </w:pPr>
      <w:r>
        <w:t xml:space="preserve"/>
      </w:r>
    </w:p>
    <w:p>
      <w:pPr>
        <w:pStyle w:val="Heading2"/>
        <w:spacing w:after="100" w:before="260"/>
      </w:pPr>
      <w:r>
        <w:rPr>
          <w:rFonts w:ascii="Arial" w:cs="Arial" w:eastAsia="Arial" w:hAnsi="Arial"/>
          <w:b/>
          <w:bCs/>
          <w:color w:val="C0392B"/>
          <w:sz w:val="27"/>
          <w:szCs w:val="27"/>
        </w:rPr>
        <w:t xml:space="preserve">Incohérence 2 — GridSearch (scoring='roc_auc') → scale_pos_weight=1 : erreur de conception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CCCCCC" w:sz="1"/>
              <w:left w:val="single" w:color="CCCCCC" w:sz="1"/>
              <w:bottom w:val="single" w:color="CCCCCC" w:sz="1"/>
              <w:right w:val="single" w:color="CCCCCC" w:sz="1"/>
            </w:tcBorders>
            <w:shd w:fill="D35400" w:val="clear"/>
            <w:tcMar>
              <w:top w:type="dxa" w:w="100"/>
              <w:left w:type="dxa" w:w="80"/>
              <w:bottom w:type="dxa" w:w="100"/>
              <w:right w:type="dxa" w:w="80"/>
            </w:tcMar>
            <w:vAlign w:val="top"/>
          </w:tcPr>
          <w:p>
            <w:pPr>
              <w:jc w:val="center"/>
            </w:pPr>
            <w:r>
              <w:rPr>
                <w:rFonts w:ascii="Arial" w:cs="Arial" w:eastAsia="Arial" w:hAnsi="Arial"/>
                <w:b/>
                <w:bCs/>
                <w:color w:val="FFFFFF"/>
                <w:sz w:val="22"/>
                <w:szCs w:val="22"/>
              </w:rPr>
              <w:t xml:space="preserve">⚠</w:t>
            </w:r>
          </w:p>
          <w:p>
            <w:pPr>
              <w:spacing w:before="40"/>
              <w:jc w:val="center"/>
            </w:pPr>
            <w:r>
              <w:rPr>
                <w:rFonts w:ascii="Arial" w:cs="Arial" w:eastAsia="Arial" w:hAnsi="Arial"/>
                <w:b/>
                <w:bCs/>
                <w:color w:val="FFFFFF"/>
                <w:sz w:val="16"/>
                <w:szCs w:val="16"/>
              </w:rPr>
              <w:t xml:space="preserve">ERREUR
CONCEPT.</w:t>
            </w:r>
          </w:p>
        </w:tc>
        <w:tc>
          <w:tcPr>
            <w:tcW w:type="dxa" w:w="9080"/>
            <w:tcBorders>
              <w:top w:val="single" w:color="CCCCCC" w:sz="1"/>
              <w:left w:val="single" w:color="CCCCCC" w:sz="1"/>
              <w:bottom w:val="single" w:color="CCCCCC" w:sz="1"/>
              <w:right w:val="single" w:color="CCCCCC" w:sz="1"/>
            </w:tcBorders>
            <w:shd w:fill="FEF5E7" w:val="clear"/>
            <w:tcMar>
              <w:top w:type="dxa" w:w="100"/>
              <w:left w:type="dxa" w:w="160"/>
              <w:bottom w:type="dxa" w:w="100"/>
              <w:right w:type="dxa" w:w="160"/>
            </w:tcMar>
          </w:tcPr>
          <w:p>
            <w:pPr>
              <w:spacing w:after="80" w:before="60"/>
            </w:pPr>
            <w:r>
              <w:rPr>
                <w:rFonts w:ascii="Arial" w:cs="Arial" w:eastAsia="Arial" w:hAnsi="Arial"/>
                <w:b/>
                <w:bCs/>
                <w:color w:val="D35400"/>
                <w:sz w:val="22"/>
                <w:szCs w:val="22"/>
              </w:rPr>
              <w:t xml:space="preserve">Optimiser sur AUC-ROC avec un espace incluant scale_pos_weight=1 garantit l'oubli du déséquilibre</w:t>
            </w:r>
          </w:p>
          <w:p>
            <w:pPr>
              <w:pStyle w:val="ListParagraph"/>
              <w:numPr>
                <w:ilvl w:val="0"/>
                <w:numId w:val="2"/>
              </w:numPr>
              <w:spacing w:after="55" w:before="55"/>
            </w:pPr>
            <w:r>
              <w:rPr>
                <w:rFonts w:ascii="Arial" w:cs="Arial" w:eastAsia="Arial" w:hAnsi="Arial"/>
                <w:b w:val="false"/>
                <w:bCs w:val="false"/>
                <w:i w:val="false"/>
                <w:iCs w:val="false"/>
                <w:color w:val="1A1A2E"/>
                <w:sz w:val="22"/>
                <w:szCs w:val="22"/>
              </w:rPr>
              <w:t xml:space="preserve">L'AUC-ROC est une métrique indépendante du seuil qui mesure la séparabilité globale. Elle ne pénalise pas le biais vers la classe majoritaire — un modèle qui ignore complètement les churners peut obtenir une bonne AUC.</w:t>
            </w:r>
          </w:p>
          <w:p>
            <w:pPr>
              <w:pStyle w:val="ListParagraph"/>
              <w:numPr>
                <w:ilvl w:val="0"/>
                <w:numId w:val="2"/>
              </w:numPr>
              <w:spacing w:after="55" w:before="55"/>
            </w:pPr>
            <w:r>
              <w:rPr>
                <w:rFonts w:ascii="Arial" w:cs="Arial" w:eastAsia="Arial" w:hAnsi="Arial"/>
                <w:b w:val="false"/>
                <w:bCs w:val="false"/>
                <w:i w:val="false"/>
                <w:iCs w:val="false"/>
                <w:color w:val="1A1A2E"/>
                <w:sz w:val="22"/>
                <w:szCs w:val="22"/>
              </w:rPr>
              <w:t xml:space="preserve">Résultat logique : GridSearch a trouvé scale_pos_weight=1 (pas de pondération) car cela maximise l'AUC au détriment du Recall. Le F1 s'effondre de 0.4878 → 0.2424 (−0.2454) et le Recall de 0.40 → 0.16.</w:t>
            </w:r>
          </w:p>
          <w:p>
            <w:pPr>
              <w:pStyle w:val="ListParagraph"/>
              <w:numPr>
                <w:ilvl w:val="0"/>
                <w:numId w:val="2"/>
              </w:numPr>
              <w:spacing w:after="55" w:before="55"/>
            </w:pPr>
            <w:r>
              <w:rPr>
                <w:rFonts w:ascii="Arial" w:cs="Arial" w:eastAsia="Arial" w:hAnsi="Arial"/>
                <w:b w:val="false"/>
                <w:bCs w:val="false"/>
                <w:i w:val="false"/>
                <w:iCs w:val="false"/>
                <w:color w:val="1A1A2E"/>
                <w:sz w:val="22"/>
                <w:szCs w:val="22"/>
              </w:rPr>
              <w:t xml:space="preserve">Le rapport reconnaît lui-même ce problème et réajuste sur scoring='f1'. Mais ce réajustement produit aussi scale_pos_weight=1, ce qui suggère un problème plus profond : soit l'espace de recherche ne couvre pas suffisamment les valeurs hautes de scale_pos_weight, soit 100 estimateurs sont insuffisants pour capturer la minorité.</w:t>
            </w:r>
          </w:p>
          <w:p>
            <w:pPr>
              <w:spacing w:after="40" w:before="80"/>
            </w:pPr>
            <w:r>
              <w:rPr>
                <w:rFonts w:ascii="Arial" w:cs="Arial" w:eastAsia="Arial" w:hAnsi="Arial"/>
                <w:b/>
                <w:bCs/>
                <w:color w:val="1E8449"/>
                <w:sz w:val="22"/>
                <w:szCs w:val="22"/>
              </w:rPr>
              <w:t xml:space="preserve">Recommandation : </w:t>
            </w:r>
            <w:r>
              <w:rPr>
                <w:rFonts w:ascii="Arial" w:cs="Arial" w:eastAsia="Arial" w:hAnsi="Arial"/>
                <w:color w:val="1E8449"/>
                <w:sz w:val="22"/>
                <w:szCs w:val="22"/>
              </w:rPr>
              <w:t xml:space="preserve">Pour un problème de churn, utiliser </w:t>
            </w:r>
            <w:r>
              <w:rPr>
                <w:rFonts w:ascii="Arial" w:cs="Arial" w:eastAsia="Arial" w:hAnsi="Arial"/>
                <w:i/>
                <w:iCs/>
                <w:color w:val="1E8449"/>
                <w:sz w:val="22"/>
                <w:szCs w:val="22"/>
              </w:rPr>
              <w:t xml:space="preserve">scoring='recall'</w:t>
            </w:r>
            <w:r>
              <w:rPr>
                <w:rFonts w:ascii="Arial" w:cs="Arial" w:eastAsia="Arial" w:hAnsi="Arial"/>
                <w:color w:val="1E8449"/>
                <w:sz w:val="22"/>
                <w:szCs w:val="22"/>
              </w:rPr>
              <w:t xml:space="preserve"> ou un scorer composite (ex. </w:t>
            </w:r>
            <w:r>
              <w:rPr>
                <w:rFonts w:ascii="Arial" w:cs="Arial" w:eastAsia="Arial" w:hAnsi="Arial"/>
                <w:i/>
                <w:iCs/>
                <w:color w:val="1E8449"/>
                <w:sz w:val="22"/>
                <w:szCs w:val="22"/>
              </w:rPr>
              <w:t xml:space="preserve">make_scorer(fbeta_score, beta=2)</w:t>
            </w:r>
            <w:r>
              <w:rPr>
                <w:rFonts w:ascii="Arial" w:cs="Arial" w:eastAsia="Arial" w:hAnsi="Arial"/>
                <w:color w:val="1E8449"/>
                <w:sz w:val="22"/>
                <w:szCs w:val="22"/>
              </w:rPr>
              <w:t xml:space="preserve">) qui pénalise davantage les faux négatifs. Forcer scale_pos_weight ∈ [2, 5] dans l'espace de recherche.</w:t>
            </w:r>
          </w:p>
        </w:tc>
      </w:tr>
    </w:tbl>
    <w:p>
      <w:pPr>
        <w:spacing w:after="0" w:before="160"/>
      </w:pPr>
      <w:r>
        <w:t xml:space="preserve"/>
      </w:r>
    </w:p>
    <w:p>
      <w:pPr>
        <w:pStyle w:val="Heading2"/>
        <w:spacing w:after="100" w:before="260"/>
      </w:pPr>
      <w:r>
        <w:rPr>
          <w:rFonts w:ascii="Arial" w:cs="Arial" w:eastAsia="Arial" w:hAnsi="Arial"/>
          <w:b/>
          <w:bCs/>
          <w:color w:val="D35400"/>
          <w:sz w:val="27"/>
          <w:szCs w:val="27"/>
        </w:rPr>
        <w:t xml:space="preserve">Incohérence 3 — Signal de surapprentissage (Optuna v4) non correctement exploité</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CCCCCC" w:sz="1"/>
              <w:left w:val="single" w:color="CCCCCC" w:sz="1"/>
              <w:bottom w:val="single" w:color="CCCCCC" w:sz="1"/>
              <w:right w:val="single" w:color="CCCCCC" w:sz="1"/>
            </w:tcBorders>
            <w:shd w:fill="D35400" w:val="clear"/>
            <w:tcMar>
              <w:top w:type="dxa" w:w="100"/>
              <w:left w:type="dxa" w:w="80"/>
              <w:bottom w:type="dxa" w:w="100"/>
              <w:right w:type="dxa" w:w="80"/>
            </w:tcMar>
            <w:vAlign w:val="top"/>
          </w:tcPr>
          <w:p>
            <w:pPr>
              <w:jc w:val="center"/>
            </w:pPr>
            <w:r>
              <w:rPr>
                <w:rFonts w:ascii="Arial" w:cs="Arial" w:eastAsia="Arial" w:hAnsi="Arial"/>
                <w:b/>
                <w:bCs/>
                <w:color w:val="FFFFFF"/>
                <w:sz w:val="22"/>
                <w:szCs w:val="22"/>
              </w:rPr>
              <w:t xml:space="preserve">⚠</w:t>
            </w:r>
          </w:p>
          <w:p>
            <w:pPr>
              <w:spacing w:before="40"/>
              <w:jc w:val="center"/>
            </w:pPr>
            <w:r>
              <w:rPr>
                <w:rFonts w:ascii="Arial" w:cs="Arial" w:eastAsia="Arial" w:hAnsi="Arial"/>
                <w:b/>
                <w:bCs/>
                <w:color w:val="FFFFFF"/>
                <w:sz w:val="16"/>
                <w:szCs w:val="16"/>
              </w:rPr>
              <w:t xml:space="preserve">SIGNAL
IGNORÉ</w:t>
            </w:r>
          </w:p>
        </w:tc>
        <w:tc>
          <w:tcPr>
            <w:tcW w:type="dxa" w:w="9080"/>
            <w:tcBorders>
              <w:top w:val="single" w:color="CCCCCC" w:sz="1"/>
              <w:left w:val="single" w:color="CCCCCC" w:sz="1"/>
              <w:bottom w:val="single" w:color="CCCCCC" w:sz="1"/>
              <w:right w:val="single" w:color="CCCCCC" w:sz="1"/>
            </w:tcBorders>
            <w:shd w:fill="FEF5E7" w:val="clear"/>
            <w:tcMar>
              <w:top w:type="dxa" w:w="100"/>
              <w:left w:type="dxa" w:w="160"/>
              <w:bottom w:type="dxa" w:w="100"/>
              <w:right w:type="dxa" w:w="160"/>
            </w:tcMar>
          </w:tcPr>
          <w:p>
            <w:pPr>
              <w:spacing w:after="80" w:before="60"/>
            </w:pPr>
            <w:r>
              <w:rPr>
                <w:rFonts w:ascii="Arial" w:cs="Arial" w:eastAsia="Arial" w:hAnsi="Arial"/>
                <w:b/>
                <w:bCs/>
                <w:color w:val="D35400"/>
                <w:sz w:val="22"/>
                <w:szCs w:val="22"/>
              </w:rPr>
              <w:t xml:space="preserve">Optuna v4 (300 essais) : F1 baisse malgré AUC en hausse — signe classique d'overfitting sur le seuil</w:t>
            </w:r>
          </w:p>
          <w:p>
            <w:pPr>
              <w:pStyle w:val="ListParagraph"/>
              <w:numPr>
                <w:ilvl w:val="0"/>
                <w:numId w:val="2"/>
              </w:numPr>
              <w:spacing w:after="55" w:before="55"/>
            </w:pPr>
            <w:r>
              <w:rPr>
                <w:rFonts w:ascii="Arial" w:cs="Arial" w:eastAsia="Arial" w:hAnsi="Arial"/>
                <w:b w:val="false"/>
                <w:bCs w:val="false"/>
                <w:i w:val="false"/>
                <w:iCs w:val="false"/>
                <w:color w:val="1A1A2E"/>
                <w:sz w:val="22"/>
                <w:szCs w:val="22"/>
              </w:rPr>
              <w:t xml:space="preserve">Optuna v3 → v4 : AUC 0.8646 → 0.8671 (+0.0025) mais F1 0.717 → 0.6909 (−0.026) et seuil optimal abaissé à 0.25.</w:t>
            </w:r>
          </w:p>
          <w:p>
            <w:pPr>
              <w:pStyle w:val="ListParagraph"/>
              <w:numPr>
                <w:ilvl w:val="0"/>
                <w:numId w:val="2"/>
              </w:numPr>
              <w:spacing w:after="55" w:before="55"/>
            </w:pPr>
            <w:r>
              <w:rPr>
                <w:rFonts w:ascii="Arial" w:cs="Arial" w:eastAsia="Arial" w:hAnsi="Arial"/>
                <w:b w:val="false"/>
                <w:bCs w:val="false"/>
                <w:i w:val="false"/>
                <w:iCs w:val="false"/>
                <w:color w:val="1A1A2E"/>
                <w:sz w:val="22"/>
                <w:szCs w:val="22"/>
              </w:rPr>
              <w:t xml:space="preserve">Ce pattern indique que le modèle devient meilleur à « ranger » les probabilités (AUC), mais moins fiable dans sa zone de décision (F1). Augmenter les essais Optuna au-delà de 150 sur un dataset de 300 observations présente un risque élevé d'overfitting aux données de validation croisée.</w:t>
            </w:r>
          </w:p>
          <w:p>
            <w:pPr>
              <w:pStyle w:val="ListParagraph"/>
              <w:numPr>
                <w:ilvl w:val="0"/>
                <w:numId w:val="2"/>
              </w:numPr>
              <w:spacing w:after="55" w:before="55"/>
            </w:pPr>
            <w:r>
              <w:rPr>
                <w:rFonts w:ascii="Arial" w:cs="Arial" w:eastAsia="Arial" w:hAnsi="Arial"/>
                <w:b w:val="false"/>
                <w:bCs w:val="false"/>
                <w:i w:val="false"/>
                <w:iCs w:val="false"/>
                <w:color w:val="1A1A2E"/>
                <w:sz w:val="22"/>
                <w:szCs w:val="22"/>
              </w:rPr>
              <w:t xml:space="preserve">L'absence de validation sur un hold-out indépendant (distinct du test set) ne permet pas de confirmer si Optuna v3 est réellement meilleur que v4 ou si la différence est du bruit.</w:t>
            </w:r>
          </w:p>
          <w:p>
            <w:pPr>
              <w:spacing w:after="40" w:before="80"/>
            </w:pPr>
            <w:r>
              <w:rPr>
                <w:rFonts w:ascii="Arial" w:cs="Arial" w:eastAsia="Arial" w:hAnsi="Arial"/>
                <w:b/>
                <w:bCs/>
                <w:color w:val="1E8449"/>
                <w:sz w:val="22"/>
                <w:szCs w:val="22"/>
              </w:rPr>
              <w:t xml:space="preserve">Recommandation : </w:t>
            </w:r>
            <w:r>
              <w:rPr>
                <w:rFonts w:ascii="Arial" w:cs="Arial" w:eastAsia="Arial" w:hAnsi="Arial"/>
                <w:color w:val="1E8449"/>
                <w:sz w:val="22"/>
                <w:szCs w:val="22"/>
              </w:rPr>
              <w:t xml:space="preserve">Appliquer une validation à 3 niveaux (train / validation Optuna / test final) et limiter les essais Optuna à ~100 sur des datasets &lt; 500 observations.</w:t>
            </w:r>
          </w:p>
        </w:tc>
      </w:tr>
    </w:tbl>
    <w:p>
      <w:pPr>
        <w:spacing w:after="0" w:before="160"/>
      </w:pPr>
      <w:r>
        <w:t xml:space="preserve"/>
      </w:r>
    </w:p>
    <w:p>
      <w:pPr>
        <w:pStyle w:val="Heading2"/>
        <w:spacing w:after="100" w:before="260"/>
      </w:pPr>
      <w:r>
        <w:rPr>
          <w:rFonts w:ascii="Arial" w:cs="Arial" w:eastAsia="Arial" w:hAnsi="Arial"/>
          <w:b/>
          <w:bCs/>
          <w:color w:val="C0392B"/>
          <w:sz w:val="27"/>
          <w:szCs w:val="27"/>
        </w:rPr>
        <w:t xml:space="preserve">Incohérence 4 — Justification du choix final Ensemble insuffisante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CCCCCC" w:sz="1"/>
              <w:left w:val="single" w:color="CCCCCC" w:sz="1"/>
              <w:bottom w:val="single" w:color="CCCCCC" w:sz="1"/>
              <w:right w:val="single" w:color="CCCCCC" w:sz="1"/>
            </w:tcBorders>
            <w:shd w:fill="C0392B" w:val="clear"/>
            <w:tcMar>
              <w:top w:type="dxa" w:w="100"/>
              <w:left w:type="dxa" w:w="80"/>
              <w:bottom w:type="dxa" w:w="100"/>
              <w:right w:type="dxa" w:w="80"/>
            </w:tcMar>
            <w:vAlign w:val="top"/>
          </w:tcPr>
          <w:p>
            <w:pPr>
              <w:jc w:val="center"/>
            </w:pPr>
            <w:r>
              <w:rPr>
                <w:rFonts w:ascii="Arial" w:cs="Arial" w:eastAsia="Arial" w:hAnsi="Arial"/>
                <w:b/>
                <w:bCs/>
                <w:color w:val="FFFFFF"/>
                <w:sz w:val="22"/>
                <w:szCs w:val="22"/>
              </w:rPr>
              <w:t xml:space="preserve">⚠</w:t>
            </w:r>
          </w:p>
          <w:p>
            <w:pPr>
              <w:spacing w:before="40"/>
              <w:jc w:val="center"/>
            </w:pPr>
            <w:r>
              <w:rPr>
                <w:rFonts w:ascii="Arial" w:cs="Arial" w:eastAsia="Arial" w:hAnsi="Arial"/>
                <w:b/>
                <w:bCs/>
                <w:color w:val="FFFFFF"/>
                <w:sz w:val="16"/>
                <w:szCs w:val="16"/>
              </w:rPr>
              <w:t xml:space="preserve">CRITIQUE
MÉTIER</w:t>
            </w:r>
          </w:p>
        </w:tc>
        <w:tc>
          <w:tcPr>
            <w:tcW w:type="dxa" w:w="9080"/>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pPr>
              <w:spacing w:after="80" w:before="60"/>
            </w:pPr>
            <w:r>
              <w:rPr>
                <w:rFonts w:ascii="Arial" w:cs="Arial" w:eastAsia="Arial" w:hAnsi="Arial"/>
                <w:b/>
                <w:bCs/>
                <w:color w:val="C0392B"/>
                <w:sz w:val="22"/>
                <w:szCs w:val="22"/>
              </w:rPr>
              <w:t xml:space="preserve">L'Ensemble est retenu pour son Recall=0.88, mais le coût des faux positifs n'est pas quantifié</w:t>
            </w:r>
          </w:p>
          <w:p>
            <w:pPr>
              <w:spacing w:after="60" w:before="100"/>
            </w:pPr>
            <w:r>
              <w:rPr>
                <w:rFonts w:ascii="Arial" w:cs="Arial" w:eastAsia="Arial" w:hAnsi="Arial"/>
                <w:b/>
                <w:bCs/>
                <w:color w:val="1A1A2E"/>
                <w:sz w:val="22"/>
                <w:szCs w:val="22"/>
              </w:rPr>
              <w:t xml:space="preserve">Comparaison Optuna v3 vs Ensemble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w:t>
                  </w:r>
                </w:p>
              </w:tc>
              <w:tc>
                <w:tcPr>
                  <w:tcW w:type="dxa" w:w="179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Optuna v3</w:t>
                  </w:r>
                </w:p>
              </w:tc>
              <w:tc>
                <w:tcPr>
                  <w:tcW w:type="dxa" w:w="179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Ensemble</w:t>
                  </w:r>
                </w:p>
              </w:tc>
              <w:tc>
                <w:tcPr>
                  <w:tcW w:type="dxa" w:w="179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Delta</w:t>
                  </w:r>
                </w:p>
              </w:tc>
              <w:tc>
                <w:tcPr>
                  <w:tcW w:type="dxa" w:w="179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 métier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AUC-ROC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0.8646</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0.8646</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0.0000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Neutre</w:t>
                  </w:r>
                </w:p>
              </w:tc>
            </w:tr>
            <w:tr>
              <w:tc>
                <w:tcPr>
                  <w:tcW w:type="dxa" w:w="2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F1</w:t>
                  </w:r>
                </w:p>
              </w:tc>
              <w:tc>
                <w:tcPr>
                  <w:tcW w:type="dxa" w:w="179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E8449"/>
                      <w:sz w:val="20"/>
                      <w:szCs w:val="20"/>
                    </w:rPr>
                    <w:t xml:space="preserve">0.717</w:t>
                  </w:r>
                </w:p>
              </w:tc>
              <w:tc>
                <w:tcPr>
                  <w:tcW w:type="dxa" w:w="179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D35400"/>
                      <w:sz w:val="20"/>
                      <w:szCs w:val="20"/>
                    </w:rPr>
                    <w:t xml:space="preserve">0.7097 ↓</w:t>
                  </w:r>
                </w:p>
              </w:tc>
              <w:tc>
                <w:tcPr>
                  <w:tcW w:type="dxa" w:w="179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−0.007</w:t>
                  </w:r>
                </w:p>
              </w:tc>
              <w:tc>
                <w:tcPr>
                  <w:tcW w:type="dxa" w:w="179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Légèrement pire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Recall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0.76</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E8449"/>
                      <w:sz w:val="20"/>
                      <w:szCs w:val="20"/>
                    </w:rPr>
                    <w:t xml:space="preserve">0.88 ✓</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+0.12</w:t>
                  </w:r>
                </w:p>
              </w:tc>
              <w:tc>
                <w:tcPr>
                  <w:tcW w:type="dxa" w:w="17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E8449"/>
                      <w:sz w:val="20"/>
                      <w:szCs w:val="20"/>
                    </w:rPr>
                    <w:t xml:space="preserve">12 churners de plus détectés</w:t>
                  </w:r>
                </w:p>
              </w:tc>
            </w:tr>
            <w:tr>
              <w:tc>
                <w:tcPr>
                  <w:tcW w:type="dxa" w:w="2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Précision</w:t>
                  </w:r>
                </w:p>
              </w:tc>
              <w:tc>
                <w:tcPr>
                  <w:tcW w:type="dxa" w:w="179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E8449"/>
                      <w:sz w:val="20"/>
                      <w:szCs w:val="20"/>
                    </w:rPr>
                    <w:t xml:space="preserve">0.6786</w:t>
                  </w:r>
                </w:p>
              </w:tc>
              <w:tc>
                <w:tcPr>
                  <w:tcW w:type="dxa" w:w="179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C0392B"/>
                      <w:sz w:val="20"/>
                      <w:szCs w:val="20"/>
                    </w:rPr>
                    <w:t xml:space="preserve">0.5946 ↓</w:t>
                  </w:r>
                </w:p>
              </w:tc>
              <w:tc>
                <w:tcPr>
                  <w:tcW w:type="dxa" w:w="179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−0.084</w:t>
                  </w:r>
                </w:p>
              </w:tc>
              <w:tc>
                <w:tcPr>
                  <w:tcW w:type="dxa" w:w="179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val="false"/>
                      <w:bCs w:val="false"/>
                      <w:color w:val="C0392B"/>
                      <w:sz w:val="20"/>
                      <w:szCs w:val="20"/>
                    </w:rPr>
                    <w:t xml:space="preserve">~8% de faux positifs en plus</w:t>
                  </w:r>
                </w:p>
              </w:tc>
            </w:tr>
          </w:tbl>
          <w:p>
            <w:pPr>
              <w:spacing w:after="60" w:before="100"/>
            </w:pPr>
            <w:r>
              <w:rPr>
                <w:rFonts w:ascii="Arial" w:cs="Arial" w:eastAsia="Arial" w:hAnsi="Arial"/>
                <w:b/>
                <w:bCs/>
                <w:color w:val="1A1A2E"/>
                <w:sz w:val="22"/>
                <w:szCs w:val="22"/>
              </w:rPr>
              <w:t xml:space="preserve">Sur 90 clients test (30 % × 300) :</w:t>
            </w:r>
          </w:p>
          <w:p>
            <w:pPr>
              <w:pStyle w:val="ListParagraph"/>
              <w:numPr>
                <w:ilvl w:val="0"/>
                <w:numId w:val="2"/>
              </w:numPr>
              <w:spacing w:after="55" w:before="55"/>
            </w:pPr>
            <w:r>
              <w:rPr>
                <w:rFonts w:ascii="Arial" w:cs="Arial" w:eastAsia="Arial" w:hAnsi="Arial"/>
                <w:b w:val="false"/>
                <w:bCs w:val="false"/>
                <w:i w:val="false"/>
                <w:iCs w:val="false"/>
                <w:color w:val="1A1A2E"/>
                <w:sz w:val="22"/>
                <w:szCs w:val="22"/>
              </w:rPr>
              <w:t xml:space="preserve">Optuna v3 : </w:t>
            </w:r>
            <w:r>
              <w:rPr>
                <w:rFonts w:ascii="Arial" w:cs="Arial" w:eastAsia="Arial" w:hAnsi="Arial"/>
                <w:b/>
                <w:bCs/>
                <w:i w:val="false"/>
                <w:iCs w:val="false"/>
                <w:color w:val="D35400"/>
                <w:sz w:val="22"/>
                <w:szCs w:val="22"/>
              </w:rPr>
              <w:t xml:space="preserve">~19 fausses alertes</w:t>
            </w:r>
            <w:r>
              <w:rPr>
                <w:rFonts w:ascii="Arial" w:cs="Arial" w:eastAsia="Arial" w:hAnsi="Arial"/>
                <w:b w:val="false"/>
                <w:bCs w:val="false"/>
                <w:i w:val="false"/>
                <w:iCs w:val="false"/>
                <w:color w:val="1A1A2E"/>
                <w:sz w:val="22"/>
                <w:szCs w:val="22"/>
              </w:rPr>
              <w:t xml:space="preserve"> sur 25 churners détectés.</w:t>
            </w:r>
          </w:p>
          <w:p>
            <w:pPr>
              <w:pStyle w:val="ListParagraph"/>
              <w:numPr>
                <w:ilvl w:val="0"/>
                <w:numId w:val="2"/>
              </w:numPr>
              <w:spacing w:after="55" w:before="55"/>
            </w:pPr>
            <w:r>
              <w:rPr>
                <w:rFonts w:ascii="Arial" w:cs="Arial" w:eastAsia="Arial" w:hAnsi="Arial"/>
                <w:b w:val="false"/>
                <w:bCs w:val="false"/>
                <w:i w:val="false"/>
                <w:iCs w:val="false"/>
                <w:color w:val="1A1A2E"/>
                <w:sz w:val="22"/>
                <w:szCs w:val="22"/>
              </w:rPr>
              <w:t xml:space="preserve">Ensemble : </w:t>
            </w:r>
            <w:r>
              <w:rPr>
                <w:rFonts w:ascii="Arial" w:cs="Arial" w:eastAsia="Arial" w:hAnsi="Arial"/>
                <w:b/>
                <w:bCs/>
                <w:i w:val="false"/>
                <w:iCs w:val="false"/>
                <w:color w:val="C0392B"/>
                <w:sz w:val="22"/>
                <w:szCs w:val="22"/>
              </w:rPr>
              <w:t xml:space="preserve">~26 fausses alertes</w:t>
            </w:r>
            <w:r>
              <w:rPr>
                <w:rFonts w:ascii="Arial" w:cs="Arial" w:eastAsia="Arial" w:hAnsi="Arial"/>
                <w:b w:val="false"/>
                <w:bCs w:val="false"/>
                <w:i w:val="false"/>
                <w:iCs w:val="false"/>
                <w:color w:val="1A1A2E"/>
                <w:sz w:val="22"/>
                <w:szCs w:val="22"/>
              </w:rPr>
              <w:t xml:space="preserve"> pour 29 churners détectés. Chaque fausse alerte représente une action de rétention inutile (coût commercial non nul).</w:t>
            </w:r>
          </w:p>
          <w:p>
            <w:pPr>
              <w:spacing w:after="40" w:before="80"/>
            </w:pPr>
            <w:r>
              <w:rPr>
                <w:rFonts w:ascii="Arial" w:cs="Arial" w:eastAsia="Arial" w:hAnsi="Arial"/>
                <w:b/>
                <w:bCs/>
                <w:color w:val="1E8449"/>
                <w:sz w:val="22"/>
                <w:szCs w:val="22"/>
              </w:rPr>
              <w:t xml:space="preserve">Recommandation : </w:t>
            </w:r>
            <w:r>
              <w:rPr>
                <w:rFonts w:ascii="Arial" w:cs="Arial" w:eastAsia="Arial" w:hAnsi="Arial"/>
                <w:color w:val="1E8449"/>
                <w:sz w:val="22"/>
                <w:szCs w:val="22"/>
              </w:rPr>
              <w:t xml:space="preserve">Définir explicitement la matrice de coût métier : coût d'une action de rétention manquée vs coût d'une action inutile. Si le coût d'un faux négatif est très élevé (client perdu définitivement), l'Ensemble se justifie. Sinon, Optuna v3 est préférable.</w:t>
            </w:r>
          </w:p>
        </w:tc>
      </w:tr>
    </w:tbl>
    <w:p>
      <w:pPr>
        <w:spacing w:after="0" w:before="160"/>
      </w:pPr>
      <w:r>
        <w:t xml:space="preserve"/>
      </w:r>
    </w:p>
    <w:p>
      <w:pPr>
        <w:pStyle w:val="Heading2"/>
        <w:spacing w:after="100" w:before="260"/>
      </w:pPr>
      <w:r>
        <w:rPr>
          <w:rFonts w:ascii="Arial" w:cs="Arial" w:eastAsia="Arial" w:hAnsi="Arial"/>
          <w:b/>
          <w:bCs/>
          <w:color w:val="6C3483"/>
          <w:sz w:val="27"/>
          <w:szCs w:val="27"/>
        </w:rPr>
        <w:t xml:space="preserve">Incohérence 5 — SHAP sur composant XGBoost ≠ décisions de l'Ensemble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CCCCCC" w:sz="1"/>
              <w:left w:val="single" w:color="CCCCCC" w:sz="1"/>
              <w:bottom w:val="single" w:color="CCCCCC" w:sz="1"/>
              <w:right w:val="single" w:color="CCCCCC" w:sz="1"/>
            </w:tcBorders>
            <w:shd w:fill="6C3483" w:val="clear"/>
            <w:tcMar>
              <w:top w:type="dxa" w:w="100"/>
              <w:left w:type="dxa" w:w="80"/>
              <w:bottom w:type="dxa" w:w="100"/>
              <w:right w:type="dxa" w:w="80"/>
            </w:tcMar>
            <w:vAlign w:val="top"/>
          </w:tcPr>
          <w:p>
            <w:pPr>
              <w:jc w:val="center"/>
            </w:pPr>
            <w:r>
              <w:rPr>
                <w:rFonts w:ascii="Arial" w:cs="Arial" w:eastAsia="Arial" w:hAnsi="Arial"/>
                <w:b/>
                <w:bCs/>
                <w:color w:val="FFFFFF"/>
                <w:sz w:val="22"/>
                <w:szCs w:val="22"/>
              </w:rPr>
              <w:t xml:space="preserve">⚠</w:t>
            </w:r>
          </w:p>
          <w:p>
            <w:pPr>
              <w:spacing w:before="40"/>
              <w:jc w:val="center"/>
            </w:pPr>
            <w:r>
              <w:rPr>
                <w:rFonts w:ascii="Arial" w:cs="Arial" w:eastAsia="Arial" w:hAnsi="Arial"/>
                <w:b/>
                <w:bCs/>
                <w:color w:val="FFFFFF"/>
                <w:sz w:val="16"/>
                <w:szCs w:val="16"/>
              </w:rPr>
              <w:t xml:space="preserve">BIAIS
EXPLIC.</w:t>
            </w:r>
          </w:p>
        </w:tc>
        <w:tc>
          <w:tcPr>
            <w:tcW w:type="dxa" w:w="9080"/>
            <w:tcBorders>
              <w:top w:val="single" w:color="CCCCCC" w:sz="1"/>
              <w:left w:val="single" w:color="CCCCCC" w:sz="1"/>
              <w:bottom w:val="single" w:color="CCCCCC" w:sz="1"/>
              <w:right w:val="single" w:color="CCCCCC" w:sz="1"/>
            </w:tcBorders>
            <w:shd w:fill="F5EEF8" w:val="clear"/>
            <w:tcMar>
              <w:top w:type="dxa" w:w="100"/>
              <w:left w:type="dxa" w:w="160"/>
              <w:bottom w:type="dxa" w:w="100"/>
              <w:right w:type="dxa" w:w="160"/>
            </w:tcMar>
          </w:tcPr>
          <w:p>
            <w:pPr>
              <w:spacing w:after="80" w:before="60"/>
            </w:pPr>
            <w:r>
              <w:rPr>
                <w:rFonts w:ascii="Arial" w:cs="Arial" w:eastAsia="Arial" w:hAnsi="Arial"/>
                <w:b/>
                <w:bCs/>
                <w:color w:val="6C3483"/>
                <w:sz w:val="22"/>
                <w:szCs w:val="22"/>
              </w:rPr>
              <w:t xml:space="preserve">"AUC identique" ne signifie pas "décisions identiques au niveau individuel"</w:t>
            </w:r>
          </w:p>
          <w:p>
            <w:pPr>
              <w:pStyle w:val="ListParagraph"/>
              <w:numPr>
                <w:ilvl w:val="0"/>
                <w:numId w:val="2"/>
              </w:numPr>
              <w:spacing w:after="55" w:before="55"/>
            </w:pPr>
            <w:r>
              <w:rPr>
                <w:rFonts w:ascii="Arial" w:cs="Arial" w:eastAsia="Arial" w:hAnsi="Arial"/>
                <w:b w:val="false"/>
                <w:bCs w:val="false"/>
                <w:i w:val="false"/>
                <w:iCs w:val="false"/>
                <w:color w:val="1A1A2E"/>
                <w:sz w:val="22"/>
                <w:szCs w:val="22"/>
              </w:rPr>
              <w:t xml:space="preserve">La justification retenue est : XGB AUC = 0.8646 = Ensemble AUC → les explications SHAP de XGB sont représentatives. C'est vrai en moyenne, mais faux au niveau patient.</w:t>
            </w:r>
          </w:p>
          <w:p>
            <w:pPr>
              <w:pStyle w:val="ListParagraph"/>
              <w:numPr>
                <w:ilvl w:val="0"/>
                <w:numId w:val="2"/>
              </w:numPr>
              <w:spacing w:after="55" w:before="55"/>
            </w:pPr>
            <w:r>
              <w:rPr>
                <w:rFonts w:ascii="Arial" w:cs="Arial" w:eastAsia="Arial" w:hAnsi="Arial"/>
                <w:b w:val="false"/>
                <w:bCs w:val="false"/>
                <w:i w:val="false"/>
                <w:iCs w:val="false"/>
                <w:color w:val="1A1A2E"/>
                <w:sz w:val="22"/>
                <w:szCs w:val="22"/>
              </w:rPr>
              <w:t xml:space="preserve">Pour un client donné, LR et RF peuvent voter différemment de XGB. Avec les poids (LR×1 + RF×1 + XGB×2)/4, si LR et RF votent churn mais XGB vote non-churn, l'Ensemble peut prédire churn alors que SHAP (XGB) affiche une contribution négative → explication contradictoire.</w:t>
            </w:r>
          </w:p>
          <w:p>
            <w:pPr>
              <w:pStyle w:val="ListParagraph"/>
              <w:numPr>
                <w:ilvl w:val="0"/>
                <w:numId w:val="2"/>
              </w:numPr>
              <w:spacing w:after="55" w:before="55"/>
            </w:pPr>
            <w:r>
              <w:rPr>
                <w:rFonts w:ascii="Arial" w:cs="Arial" w:eastAsia="Arial" w:hAnsi="Arial"/>
                <w:b w:val="false"/>
                <w:bCs w:val="false"/>
                <w:i w:val="false"/>
                <w:iCs w:val="false"/>
                <w:color w:val="1A1A2E"/>
                <w:sz w:val="22"/>
                <w:szCs w:val="22"/>
              </w:rPr>
              <w:t xml:space="preserve">Ce problème est réel dans environ (1 − concordance LR/RF/XGB) % des cas. Sur un dataset médical ou télécom, cela peut concerner 10 à 20 % des prédictions.</w:t>
            </w:r>
          </w:p>
          <w:p>
            <w:pPr>
              <w:spacing w:after="60" w:before="80"/>
            </w:pPr>
            <w:r>
              <w:rPr>
                <w:rFonts w:ascii="Arial" w:cs="Arial" w:eastAsia="Arial" w:hAnsi="Arial"/>
                <w:b/>
                <w:bCs/>
                <w:color w:val="1A1A2E"/>
                <w:sz w:val="22"/>
                <w:szCs w:val="22"/>
              </w:rPr>
              <w:t xml:space="preserve">Solutions envisageables :</w:t>
            </w:r>
          </w:p>
          <w:p>
            <w:pPr>
              <w:pStyle w:val="ListParagraph"/>
              <w:numPr>
                <w:ilvl w:val="1"/>
                <w:numId w:val="2"/>
              </w:numPr>
              <w:spacing w:after="55" w:before="55"/>
            </w:pPr>
            <w:r>
              <w:rPr>
                <w:rFonts w:ascii="Arial" w:cs="Arial" w:eastAsia="Arial" w:hAnsi="Arial"/>
                <w:b w:val="false"/>
                <w:bCs w:val="false"/>
                <w:i w:val="false"/>
                <w:iCs w:val="false"/>
                <w:color w:val="1A1A2E"/>
                <w:sz w:val="22"/>
                <w:szCs w:val="22"/>
              </w:rPr>
              <w:t xml:space="preserve">Option A (pragmatique, retenue ici) : </w:t>
            </w:r>
            <w:r>
              <w:rPr>
                <w:rFonts w:ascii="Arial" w:cs="Arial" w:eastAsia="Arial" w:hAnsi="Arial"/>
                <w:b/>
                <w:bCs/>
                <w:i w:val="false"/>
                <w:iCs w:val="false"/>
                <w:color w:val="1A1A2E"/>
                <w:sz w:val="22"/>
                <w:szCs w:val="22"/>
              </w:rPr>
              <w:t xml:space="preserve">documenter explicitement la limitation.</w:t>
            </w:r>
          </w:p>
          <w:p>
            <w:pPr>
              <w:pStyle w:val="ListParagraph"/>
              <w:numPr>
                <w:ilvl w:val="1"/>
                <w:numId w:val="2"/>
              </w:numPr>
              <w:spacing w:after="55" w:before="55"/>
            </w:pPr>
            <w:r>
              <w:rPr>
                <w:rFonts w:ascii="Arial" w:cs="Arial" w:eastAsia="Arial" w:hAnsi="Arial"/>
                <w:b w:val="false"/>
                <w:bCs w:val="false"/>
                <w:i w:val="false"/>
                <w:iCs w:val="false"/>
                <w:color w:val="1A1A2E"/>
                <w:sz w:val="22"/>
                <w:szCs w:val="22"/>
              </w:rPr>
              <w:t xml:space="preserve">Option B (rigoureuse) : utiliser </w:t>
            </w:r>
            <w:r>
              <w:rPr>
                <w:rFonts w:ascii="Arial" w:cs="Arial" w:eastAsia="Arial" w:hAnsi="Arial"/>
                <w:b w:val="false"/>
                <w:bCs w:val="false"/>
                <w:i w:val="false"/>
                <w:iCs w:val="false"/>
                <w:color w:val="1A1A2E"/>
                <w:sz w:val="22"/>
                <w:szCs w:val="22"/>
              </w:rPr>
              <w:t xml:space="preserve">KernelSHAP</w:t>
            </w:r>
            <w:r>
              <w:rPr>
                <w:rFonts w:ascii="Arial" w:cs="Arial" w:eastAsia="Arial" w:hAnsi="Arial"/>
                <w:b w:val="false"/>
                <w:bCs w:val="false"/>
                <w:i w:val="false"/>
                <w:iCs w:val="false"/>
                <w:color w:val="1A1A2E"/>
                <w:sz w:val="22"/>
                <w:szCs w:val="22"/>
              </w:rPr>
              <w:t xml:space="preserve"> sur l'Ensemble complet (lent mais exact).</w:t>
            </w:r>
          </w:p>
          <w:p>
            <w:pPr>
              <w:pStyle w:val="ListParagraph"/>
              <w:numPr>
                <w:ilvl w:val="1"/>
                <w:numId w:val="2"/>
              </w:numPr>
              <w:spacing w:after="55" w:before="55"/>
            </w:pPr>
            <w:r>
              <w:rPr>
                <w:rFonts w:ascii="Arial" w:cs="Arial" w:eastAsia="Arial" w:hAnsi="Arial"/>
                <w:b w:val="false"/>
                <w:bCs w:val="false"/>
                <w:i w:val="false"/>
                <w:iCs w:val="false"/>
                <w:color w:val="1A1A2E"/>
                <w:sz w:val="22"/>
                <w:szCs w:val="22"/>
              </w:rPr>
              <w:t xml:space="preserve">Option C (compromis) : utiliser SHAP uniquement pour les clients où XGB et l'Ensemble sont concordants (probabilité &gt; seuil + marge de confiance).</w:t>
            </w:r>
          </w:p>
          <w:p>
            <w:pPr>
              <w:spacing w:after="40" w:before="80"/>
            </w:pPr>
            <w:r>
              <w:rPr>
                <w:rFonts w:ascii="Arial" w:cs="Arial" w:eastAsia="Arial" w:hAnsi="Arial"/>
                <w:b/>
                <w:bCs/>
                <w:color w:val="1E8449"/>
                <w:sz w:val="22"/>
                <w:szCs w:val="22"/>
              </w:rPr>
              <w:t xml:space="preserve">Recommandation : </w:t>
            </w:r>
            <w:r>
              <w:rPr>
                <w:rFonts w:ascii="Arial" w:cs="Arial" w:eastAsia="Arial" w:hAnsi="Arial"/>
                <w:color w:val="1E8449"/>
                <w:sz w:val="22"/>
                <w:szCs w:val="22"/>
              </w:rPr>
              <w:t xml:space="preserve">Ajouter dans l'API Flask un indicateur de concordance entre XGB et l'Ensemble pour signaler les explications SHAP à faible fiabilité.</w:t>
            </w:r>
          </w:p>
        </w:tc>
      </w:tr>
    </w:tbl>
    <w:p>
      <w:pPr>
        <w:spacing w:after="0" w:before="160"/>
      </w:pPr>
      <w:r>
        <w:t xml:space="preserve"/>
      </w:r>
    </w:p>
    <w:p>
      <w:pPr>
        <w:pStyle w:val="Heading2"/>
        <w:spacing w:after="100" w:before="260"/>
      </w:pPr>
      <w:r>
        <w:rPr>
          <w:rFonts w:ascii="Arial" w:cs="Arial" w:eastAsia="Arial" w:hAnsi="Arial"/>
          <w:b/>
          <w:bCs/>
          <w:color w:val="D35400"/>
          <w:sz w:val="27"/>
          <w:szCs w:val="27"/>
        </w:rPr>
        <w:t xml:space="preserve">Incohérence 6 — Seuil 0.21 sérialisé sans documentation de choix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CCCCCC" w:sz="1"/>
              <w:left w:val="single" w:color="CCCCCC" w:sz="1"/>
              <w:bottom w:val="single" w:color="CCCCCC" w:sz="1"/>
              <w:right w:val="single" w:color="CCCCCC" w:sz="1"/>
            </w:tcBorders>
            <w:shd w:fill="D35400" w:val="clear"/>
            <w:tcMar>
              <w:top w:type="dxa" w:w="100"/>
              <w:left w:type="dxa" w:w="80"/>
              <w:bottom w:type="dxa" w:w="100"/>
              <w:right w:type="dxa" w:w="80"/>
            </w:tcMar>
            <w:vAlign w:val="top"/>
          </w:tcPr>
          <w:p>
            <w:pPr>
              <w:jc w:val="center"/>
            </w:pPr>
            <w:r>
              <w:rPr>
                <w:rFonts w:ascii="Arial" w:cs="Arial" w:eastAsia="Arial" w:hAnsi="Arial"/>
                <w:b/>
                <w:bCs/>
                <w:color w:val="FFFFFF"/>
                <w:sz w:val="22"/>
                <w:szCs w:val="22"/>
              </w:rPr>
              <w:t xml:space="preserve">⚠</w:t>
            </w:r>
          </w:p>
          <w:p>
            <w:pPr>
              <w:spacing w:before="40"/>
              <w:jc w:val="center"/>
            </w:pPr>
            <w:r>
              <w:rPr>
                <w:rFonts w:ascii="Arial" w:cs="Arial" w:eastAsia="Arial" w:hAnsi="Arial"/>
                <w:b/>
                <w:bCs/>
                <w:color w:val="FFFFFF"/>
                <w:sz w:val="16"/>
                <w:szCs w:val="16"/>
              </w:rPr>
              <w:t xml:space="preserve">MANQUE
DOCUM.</w:t>
            </w:r>
          </w:p>
        </w:tc>
        <w:tc>
          <w:tcPr>
            <w:tcW w:type="dxa" w:w="9080"/>
            <w:tcBorders>
              <w:top w:val="single" w:color="CCCCCC" w:sz="1"/>
              <w:left w:val="single" w:color="CCCCCC" w:sz="1"/>
              <w:bottom w:val="single" w:color="CCCCCC" w:sz="1"/>
              <w:right w:val="single" w:color="CCCCCC" w:sz="1"/>
            </w:tcBorders>
            <w:shd w:fill="FEF5E7" w:val="clear"/>
            <w:tcMar>
              <w:top w:type="dxa" w:w="100"/>
              <w:left w:type="dxa" w:w="160"/>
              <w:bottom w:type="dxa" w:w="100"/>
              <w:right w:type="dxa" w:w="160"/>
            </w:tcMar>
          </w:tcPr>
          <w:p>
            <w:pPr>
              <w:spacing w:after="80" w:before="60"/>
            </w:pPr>
            <w:r>
              <w:rPr>
                <w:rFonts w:ascii="Arial" w:cs="Arial" w:eastAsia="Arial" w:hAnsi="Arial"/>
                <w:b/>
                <w:bCs/>
                <w:color w:val="D35400"/>
                <w:sz w:val="22"/>
                <w:szCs w:val="22"/>
              </w:rPr>
              <w:t xml:space="preserve">Le seuil final 0.21 apparaît dans la sérialisation sans justification dans le corps du rapport</w:t>
            </w:r>
          </w:p>
          <w:p>
            <w:pPr>
              <w:pStyle w:val="ListParagraph"/>
              <w:numPr>
                <w:ilvl w:val="0"/>
                <w:numId w:val="2"/>
              </w:numPr>
              <w:spacing w:after="55" w:before="55"/>
            </w:pPr>
            <w:r>
              <w:rPr>
                <w:rFonts w:ascii="Arial" w:cs="Arial" w:eastAsia="Arial" w:hAnsi="Arial"/>
                <w:b w:val="false"/>
                <w:bCs w:val="false"/>
                <w:i w:val="false"/>
                <w:iCs w:val="false"/>
                <w:color w:val="1A1A2E"/>
                <w:sz w:val="22"/>
                <w:szCs w:val="22"/>
              </w:rPr>
              <w:t xml:space="preserve">Le rapport mentionne le seuil 0.25 pour Optuna v3 et v4, et le seuil 0.25 pour l'Ensemble dans la comparaison — mais le fichier sérialisé contient le seuil 0.21. L'origine de ce seuil n'est pas documentée.</w:t>
            </w:r>
          </w:p>
          <w:p>
            <w:pPr>
              <w:pStyle w:val="ListParagraph"/>
              <w:numPr>
                <w:ilvl w:val="0"/>
                <w:numId w:val="2"/>
              </w:numPr>
              <w:spacing w:after="55" w:before="55"/>
            </w:pPr>
            <w:r>
              <w:rPr>
                <w:rFonts w:ascii="Arial" w:cs="Arial" w:eastAsia="Arial" w:hAnsi="Arial"/>
                <w:b w:val="false"/>
                <w:bCs w:val="false"/>
                <w:i w:val="false"/>
                <w:iCs w:val="false"/>
                <w:color w:val="1A1A2E"/>
                <w:sz w:val="22"/>
                <w:szCs w:val="22"/>
              </w:rPr>
              <w:t xml:space="preserve">Un seuil de décision est un paramètre métier aussi important que les hyperparamètres du modèle. Descendre à 0.21 augmente encore le Recall au détriment de la Précision, mais l'impact n'est pas quantifié dans le rapport.</w:t>
            </w:r>
          </w:p>
          <w:p>
            <w:pPr>
              <w:pStyle w:val="ListParagraph"/>
              <w:numPr>
                <w:ilvl w:val="0"/>
                <w:numId w:val="2"/>
              </w:numPr>
              <w:spacing w:after="55" w:before="55"/>
            </w:pPr>
            <w:r>
              <w:rPr>
                <w:rFonts w:ascii="Arial" w:cs="Arial" w:eastAsia="Arial" w:hAnsi="Arial"/>
                <w:b w:val="false"/>
                <w:bCs w:val="false"/>
                <w:i w:val="false"/>
                <w:iCs w:val="false"/>
                <w:color w:val="1A1A2E"/>
                <w:sz w:val="22"/>
                <w:szCs w:val="22"/>
              </w:rPr>
              <w:t xml:space="preserve">En production, si le seuil est modifié sans traçabilité, les résultats deviennent non reproductibles et non auditables.</w:t>
            </w:r>
          </w:p>
          <w:p>
            <w:pPr>
              <w:spacing w:after="40" w:before="80"/>
            </w:pPr>
            <w:r>
              <w:rPr>
                <w:rFonts w:ascii="Arial" w:cs="Arial" w:eastAsia="Arial" w:hAnsi="Arial"/>
                <w:b/>
                <w:bCs/>
                <w:color w:val="1E8449"/>
                <w:sz w:val="22"/>
                <w:szCs w:val="22"/>
              </w:rPr>
              <w:t xml:space="preserve">Recommandation : </w:t>
            </w:r>
            <w:r>
              <w:rPr>
                <w:rFonts w:ascii="Arial" w:cs="Arial" w:eastAsia="Arial" w:hAnsi="Arial"/>
                <w:color w:val="1E8449"/>
                <w:sz w:val="22"/>
                <w:szCs w:val="22"/>
              </w:rPr>
              <w:t xml:space="preserve">Documenter le seuil retenu avec : (1) la courbe Précision/Recall, (2) le critère de sélection (max F1 ? max Recall sous contrainte Précision ≥ 0.6 ?), (3) les métriques résultantes au seuil 0.21.</w:t>
            </w:r>
          </w:p>
        </w:tc>
      </w:tr>
    </w:tbl>
    <w:p>
      <w:pPr>
        <w:spacing w:after="0" w:before="200"/>
      </w:pPr>
      <w:r>
        <w:t xml:space="preserve"/>
      </w:r>
    </w:p>
    <w:p>
      <w:pPr>
        <w:pBdr>
          <w:bottom w:val="single" w:color="1E8449" w:sz="6" w:space="4"/>
        </w:pBdr>
        <w:spacing w:after="120" w:before="240"/>
      </w:pPr>
      <w:r>
        <w:rPr>
          <w:rFonts w:ascii="Arial" w:cs="Arial" w:eastAsia="Arial" w:hAnsi="Arial"/>
          <w:b/>
          <w:bCs/>
          <w:color w:val="1E8449"/>
          <w:sz w:val="28"/>
          <w:szCs w:val="28"/>
        </w:rPr>
        <w:t xml:space="preserve">Synthèse des recommandations prioritaires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760"/>
        <w:gridCol w:w="2400"/>
      </w:tblGrid>
      <w:tr>
        <w:trPr>
          <w:tblHeader/>
        </w:trPr>
        <w:tc>
          <w:tcPr>
            <w:tcW w:type="dxa" w:w="4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w:t>
            </w:r>
          </w:p>
        </w:tc>
        <w:tc>
          <w:tcPr>
            <w:tcW w:type="dxa" w:w="2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Problème identifié</w:t>
            </w:r>
          </w:p>
        </w:tc>
        <w:tc>
          <w:tcPr>
            <w:tcW w:type="dxa" w:w="376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Action recommandée</w:t>
            </w:r>
          </w:p>
        </w:tc>
        <w:tc>
          <w:tcPr>
            <w:tcW w:type="dxa" w:w="2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Priorité</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2E4B8F"/>
                <w:sz w:val="21"/>
                <w:szCs w:val="21"/>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C0392B"/>
                <w:sz w:val="20"/>
                <w:szCs w:val="20"/>
              </w:rPr>
              <w:t xml:space="preserve">Mauvais modèle optimisé en priorité</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8449"/>
                <w:sz w:val="20"/>
                <w:szCs w:val="20"/>
              </w:rPr>
              <w:t xml:space="preserve">Optimiser LR et RF avant XGBoost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C0392B"/>
                <w:sz w:val="20"/>
                <w:szCs w:val="20"/>
              </w:rPr>
              <w:t xml:space="preserve">Haute</w:t>
            </w:r>
          </w:p>
        </w:tc>
      </w:tr>
      <w:tr>
        <w:tc>
          <w:tcPr>
            <w:tcW w:type="dxa" w:w="400"/>
            <w:tcBorders>
              <w:top w:val="single" w:color="CCCCCC" w:sz="1"/>
              <w:left w:val="single" w:color="CCCCCC" w:sz="1"/>
              <w:bottom w:val="single" w:color="CCCCCC" w:sz="1"/>
              <w:right w:val="single" w:color="CCCCCC" w:sz="1"/>
            </w:tcBorders>
            <w:shd w:fill="F4F6F8" w:val="clear"/>
            <w:tcMar>
              <w:top w:type="dxa" w:w="70"/>
              <w:left w:type="dxa" w:w="100"/>
              <w:bottom w:type="dxa" w:w="70"/>
              <w:right w:type="dxa" w:w="100"/>
            </w:tcMar>
          </w:tcPr>
          <w:p>
            <w:pPr>
              <w:jc w:val="center"/>
            </w:pPr>
            <w:r>
              <w:rPr>
                <w:rFonts w:ascii="Arial" w:cs="Arial" w:eastAsia="Arial" w:hAnsi="Arial"/>
                <w:b/>
                <w:bCs/>
                <w:color w:val="2E4B8F"/>
                <w:sz w:val="21"/>
                <w:szCs w:val="21"/>
              </w:rPr>
              <w:t xml:space="preserve">2</w:t>
            </w:r>
          </w:p>
        </w:tc>
        <w:tc>
          <w:tcPr>
            <w:tcW w:type="dxa" w:w="28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C0392B"/>
                <w:sz w:val="20"/>
                <w:szCs w:val="20"/>
              </w:rPr>
              <w:t xml:space="preserve">GridSearch scoring inadapté au déséquilibre</w:t>
            </w:r>
          </w:p>
        </w:tc>
        <w:tc>
          <w:tcPr>
            <w:tcW w:type="dxa" w:w="37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1E8449"/>
                <w:sz w:val="20"/>
                <w:szCs w:val="20"/>
              </w:rPr>
              <w:t xml:space="preserve">Utiliser fbeta_score (β=2) ou recall comme scoring</w:t>
            </w:r>
          </w:p>
        </w:tc>
        <w:tc>
          <w:tcPr>
            <w:tcW w:type="dxa" w:w="24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bCs/>
                <w:color w:val="C0392B"/>
                <w:sz w:val="20"/>
                <w:szCs w:val="20"/>
              </w:rPr>
              <w:t xml:space="preserve">Haute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2E4B8F"/>
                <w:sz w:val="21"/>
                <w:szCs w:val="21"/>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C0392B"/>
                <w:sz w:val="20"/>
                <w:szCs w:val="20"/>
              </w:rPr>
              <w:t xml:space="preserve">Surapprentissage Optuna v4 non exploité</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8449"/>
                <w:sz w:val="20"/>
                <w:szCs w:val="20"/>
              </w:rPr>
              <w:t xml:space="preserve">Limiter Optuna à ~100 essais / dataset &lt; 500 obs.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D35400"/>
                <w:sz w:val="20"/>
                <w:szCs w:val="20"/>
              </w:rPr>
              <w:t xml:space="preserve">Moyenne</w:t>
            </w:r>
          </w:p>
        </w:tc>
      </w:tr>
      <w:tr>
        <w:tc>
          <w:tcPr>
            <w:tcW w:type="dxa" w:w="400"/>
            <w:tcBorders>
              <w:top w:val="single" w:color="CCCCCC" w:sz="1"/>
              <w:left w:val="single" w:color="CCCCCC" w:sz="1"/>
              <w:bottom w:val="single" w:color="CCCCCC" w:sz="1"/>
              <w:right w:val="single" w:color="CCCCCC" w:sz="1"/>
            </w:tcBorders>
            <w:shd w:fill="F4F6F8" w:val="clear"/>
            <w:tcMar>
              <w:top w:type="dxa" w:w="70"/>
              <w:left w:type="dxa" w:w="100"/>
              <w:bottom w:type="dxa" w:w="70"/>
              <w:right w:type="dxa" w:w="100"/>
            </w:tcMar>
          </w:tcPr>
          <w:p>
            <w:pPr>
              <w:jc w:val="center"/>
            </w:pPr>
            <w:r>
              <w:rPr>
                <w:rFonts w:ascii="Arial" w:cs="Arial" w:eastAsia="Arial" w:hAnsi="Arial"/>
                <w:b/>
                <w:bCs/>
                <w:color w:val="2E4B8F"/>
                <w:sz w:val="21"/>
                <w:szCs w:val="21"/>
              </w:rPr>
              <w:t xml:space="preserve">4</w:t>
            </w:r>
          </w:p>
        </w:tc>
        <w:tc>
          <w:tcPr>
            <w:tcW w:type="dxa" w:w="28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C0392B"/>
                <w:sz w:val="20"/>
                <w:szCs w:val="20"/>
              </w:rPr>
              <w:t xml:space="preserve">Choix Ensemble sans matrice de coût</w:t>
            </w:r>
          </w:p>
        </w:tc>
        <w:tc>
          <w:tcPr>
            <w:tcW w:type="dxa" w:w="37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1E8449"/>
                <w:sz w:val="20"/>
                <w:szCs w:val="20"/>
              </w:rPr>
              <w:t xml:space="preserve">Définir coût FN vs FP et valider le choix Ensemble vs Optuna v3</w:t>
            </w:r>
          </w:p>
        </w:tc>
        <w:tc>
          <w:tcPr>
            <w:tcW w:type="dxa" w:w="24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bCs/>
                <w:color w:val="C0392B"/>
                <w:sz w:val="20"/>
                <w:szCs w:val="20"/>
              </w:rPr>
              <w:t xml:space="preserve">Haute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2E4B8F"/>
                <w:sz w:val="21"/>
                <w:szCs w:val="21"/>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C0392B"/>
                <w:sz w:val="20"/>
                <w:szCs w:val="20"/>
              </w:rPr>
              <w:t xml:space="preserve">SHAP XGB ≠ décisions Ensemble au niveau individuel</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8449"/>
                <w:sz w:val="20"/>
                <w:szCs w:val="20"/>
              </w:rPr>
              <w:t xml:space="preserve">Ajouter indicateur de concordance dans l'API</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D35400"/>
                <w:sz w:val="20"/>
                <w:szCs w:val="20"/>
              </w:rPr>
              <w:t xml:space="preserve">Moyenne</w:t>
            </w:r>
          </w:p>
        </w:tc>
      </w:tr>
      <w:tr>
        <w:tc>
          <w:tcPr>
            <w:tcW w:type="dxa" w:w="400"/>
            <w:tcBorders>
              <w:top w:val="single" w:color="CCCCCC" w:sz="1"/>
              <w:left w:val="single" w:color="CCCCCC" w:sz="1"/>
              <w:bottom w:val="single" w:color="CCCCCC" w:sz="1"/>
              <w:right w:val="single" w:color="CCCCCC" w:sz="1"/>
            </w:tcBorders>
            <w:shd w:fill="F4F6F8" w:val="clear"/>
            <w:tcMar>
              <w:top w:type="dxa" w:w="70"/>
              <w:left w:type="dxa" w:w="100"/>
              <w:bottom w:type="dxa" w:w="70"/>
              <w:right w:type="dxa" w:w="100"/>
            </w:tcMar>
          </w:tcPr>
          <w:p>
            <w:pPr>
              <w:jc w:val="center"/>
            </w:pPr>
            <w:r>
              <w:rPr>
                <w:rFonts w:ascii="Arial" w:cs="Arial" w:eastAsia="Arial" w:hAnsi="Arial"/>
                <w:b/>
                <w:bCs/>
                <w:color w:val="2E4B8F"/>
                <w:sz w:val="21"/>
                <w:szCs w:val="21"/>
              </w:rPr>
              <w:t xml:space="preserve">6</w:t>
            </w:r>
          </w:p>
        </w:tc>
        <w:tc>
          <w:tcPr>
            <w:tcW w:type="dxa" w:w="28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C0392B"/>
                <w:sz w:val="20"/>
                <w:szCs w:val="20"/>
              </w:rPr>
              <w:t xml:space="preserve">Seuil 0.21 non documenté</w:t>
            </w:r>
          </w:p>
        </w:tc>
        <w:tc>
          <w:tcPr>
            <w:tcW w:type="dxa" w:w="37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1E8449"/>
                <w:sz w:val="20"/>
                <w:szCs w:val="20"/>
              </w:rPr>
              <w:t xml:space="preserve">Documenter avec courbe Précision/Recall et critère de sélection</w:t>
            </w:r>
          </w:p>
        </w:tc>
        <w:tc>
          <w:tcPr>
            <w:tcW w:type="dxa" w:w="24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pPr>
              <w:jc w:val="center"/>
            </w:pPr>
            <w:r>
              <w:rPr>
                <w:rFonts w:ascii="Arial" w:cs="Arial" w:eastAsia="Arial" w:hAnsi="Arial"/>
                <w:b/>
                <w:bCs/>
                <w:color w:val="D35400"/>
                <w:sz w:val="20"/>
                <w:szCs w:val="20"/>
              </w:rPr>
              <w:t xml:space="preserve">Moyenne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CCCCCC" w:sz="1"/>
              <w:left w:val="single" w:color="CCCCCC" w:sz="1"/>
              <w:bottom w:val="single" w:color="CCCCCC" w:sz="1"/>
              <w:right w:val="single" w:color="CCCCCC" w:sz="1"/>
            </w:tcBorders>
            <w:shd w:fill="1E8449" w:val="clear"/>
            <w:tcMar>
              <w:top w:type="dxa" w:w="100"/>
              <w:left w:type="dxa" w:w="80"/>
              <w:bottom w:type="dxa" w:w="100"/>
              <w:right w:type="dxa" w:w="80"/>
            </w:tcMar>
            <w:vAlign w:val="top"/>
          </w:tcPr>
          <w:p>
            <w:pPr>
              <w:jc w:val="center"/>
            </w:pPr>
            <w:r>
              <w:rPr>
                <w:rFonts w:ascii="Arial" w:cs="Arial" w:eastAsia="Arial" w:hAnsi="Arial"/>
                <w:b/>
                <w:bCs/>
                <w:color w:val="FFFFFF"/>
                <w:sz w:val="22"/>
                <w:szCs w:val="22"/>
              </w:rPr>
              <w:t xml:space="preserve">✓</w:t>
            </w:r>
          </w:p>
          <w:p>
            <w:pPr>
              <w:spacing w:before="40"/>
              <w:jc w:val="center"/>
            </w:pPr>
            <w:r>
              <w:rPr>
                <w:rFonts w:ascii="Arial" w:cs="Arial" w:eastAsia="Arial" w:hAnsi="Arial"/>
                <w:b/>
                <w:bCs/>
                <w:color w:val="FFFFFF"/>
                <w:sz w:val="16"/>
                <w:szCs w:val="16"/>
              </w:rPr>
              <w:t xml:space="preserve">POINTS
FORTS</w:t>
            </w:r>
          </w:p>
        </w:tc>
        <w:tc>
          <w:tcPr>
            <w:tcW w:type="dxa" w:w="908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60"/>
            </w:tcMar>
          </w:tcPr>
          <w:p>
            <w:pPr>
              <w:spacing w:after="80" w:before="60"/>
            </w:pPr>
            <w:r>
              <w:rPr>
                <w:rFonts w:ascii="Arial" w:cs="Arial" w:eastAsia="Arial" w:hAnsi="Arial"/>
                <w:b/>
                <w:bCs/>
                <w:color w:val="1E8449"/>
                <w:sz w:val="22"/>
                <w:szCs w:val="22"/>
              </w:rPr>
              <w:t xml:space="preserve">Ce qui est bien fait dans la démarche</w:t>
            </w:r>
          </w:p>
          <w:p>
            <w:pPr>
              <w:pStyle w:val="ListParagraph"/>
              <w:numPr>
                <w:ilvl w:val="0"/>
                <w:numId w:val="2"/>
              </w:numPr>
              <w:spacing w:after="55" w:before="55"/>
            </w:pPr>
            <w:r>
              <w:rPr>
                <w:rFonts w:ascii="Arial" w:cs="Arial" w:eastAsia="Arial" w:hAnsi="Arial"/>
                <w:b/>
                <w:bCs/>
                <w:i w:val="false"/>
                <w:iCs w:val="false"/>
                <w:color w:val="1A1A2E"/>
                <w:sz w:val="22"/>
                <w:szCs w:val="22"/>
              </w:rPr>
              <w:t xml:space="preserve">Vérification anti-leakage </w:t>
            </w:r>
            <w:r>
              <w:rPr>
                <w:rFonts w:ascii="Arial" w:cs="Arial" w:eastAsia="Arial" w:hAnsi="Arial"/>
                <w:b w:val="false"/>
                <w:bCs w:val="false"/>
                <w:i w:val="false"/>
                <w:iCs w:val="false"/>
                <w:color w:val="1A1A2E"/>
                <w:sz w:val="22"/>
                <w:szCs w:val="22"/>
              </w:rPr>
              <w:t xml:space="preserve">(recence_cdr_jours, churn, statut_actif absents) : bonne pratique, souvent omise dans les projets étudiants.</w:t>
            </w:r>
          </w:p>
          <w:p>
            <w:pPr>
              <w:pStyle w:val="ListParagraph"/>
              <w:numPr>
                <w:ilvl w:val="0"/>
                <w:numId w:val="2"/>
              </w:numPr>
              <w:spacing w:after="55" w:before="55"/>
            </w:pPr>
            <w:r>
              <w:rPr>
                <w:rFonts w:ascii="Arial" w:cs="Arial" w:eastAsia="Arial" w:hAnsi="Arial"/>
                <w:b/>
                <w:bCs/>
                <w:i w:val="false"/>
                <w:iCs w:val="false"/>
                <w:color w:val="1A1A2E"/>
                <w:sz w:val="22"/>
                <w:szCs w:val="22"/>
              </w:rPr>
              <w:t xml:space="preserve">Sérialisation du seuil séparément du modèle </w:t>
            </w:r>
            <w:r>
              <w:rPr>
                <w:rFonts w:ascii="Arial" w:cs="Arial" w:eastAsia="Arial" w:hAnsi="Arial"/>
                <w:b w:val="false"/>
                <w:bCs w:val="false"/>
                <w:i w:val="false"/>
                <w:iCs w:val="false"/>
                <w:color w:val="1A1A2E"/>
                <w:sz w:val="22"/>
                <w:szCs w:val="22"/>
              </w:rPr>
              <w:t xml:space="preserve">(joblib) : permet la mise à jour du seuil sans re-déployer le modèle.</w:t>
            </w:r>
          </w:p>
          <w:p>
            <w:pPr>
              <w:pStyle w:val="ListParagraph"/>
              <w:numPr>
                <w:ilvl w:val="0"/>
                <w:numId w:val="2"/>
              </w:numPr>
              <w:spacing w:after="55" w:before="55"/>
            </w:pPr>
            <w:r>
              <w:rPr>
                <w:rFonts w:ascii="Arial" w:cs="Arial" w:eastAsia="Arial" w:hAnsi="Arial"/>
                <w:b/>
                <w:bCs/>
                <w:i w:val="false"/>
                <w:iCs w:val="false"/>
                <w:color w:val="1A1A2E"/>
                <w:sz w:val="22"/>
                <w:szCs w:val="22"/>
              </w:rPr>
              <w:t xml:space="preserve">Utilisation d'Optuna avec espace continu </w:t>
            </w:r>
            <w:r>
              <w:rPr>
                <w:rFonts w:ascii="Arial" w:cs="Arial" w:eastAsia="Arial" w:hAnsi="Arial"/>
                <w:b w:val="false"/>
                <w:bCs w:val="false"/>
                <w:i w:val="false"/>
                <w:iCs w:val="false"/>
                <w:color w:val="1A1A2E"/>
                <w:sz w:val="22"/>
                <w:szCs w:val="22"/>
              </w:rPr>
              <w:t xml:space="preserve">: plus efficace que GridSearch discret — Optuna v1 avec 50 essais atteint de meilleurs résultats que GridSearch avec 405 fits.</w:t>
            </w:r>
          </w:p>
          <w:p>
            <w:pPr>
              <w:pStyle w:val="ListParagraph"/>
              <w:numPr>
                <w:ilvl w:val="0"/>
                <w:numId w:val="2"/>
              </w:numPr>
              <w:spacing w:after="55" w:before="55"/>
            </w:pPr>
            <w:r>
              <w:rPr>
                <w:rFonts w:ascii="Arial" w:cs="Arial" w:eastAsia="Arial" w:hAnsi="Arial"/>
                <w:b/>
                <w:bCs/>
                <w:i w:val="false"/>
                <w:iCs w:val="false"/>
                <w:color w:val="1A1A2E"/>
                <w:sz w:val="22"/>
                <w:szCs w:val="22"/>
              </w:rPr>
              <w:t xml:space="preserve">Reconnaissance explicite du surapprentissage Optuna v4 </w:t>
            </w:r>
            <w:r>
              <w:rPr>
                <w:rFonts w:ascii="Arial" w:cs="Arial" w:eastAsia="Arial" w:hAnsi="Arial"/>
                <w:b w:val="false"/>
                <w:bCs w:val="false"/>
                <w:i w:val="false"/>
                <w:iCs w:val="false"/>
                <w:color w:val="1A1A2E"/>
                <w:sz w:val="22"/>
                <w:szCs w:val="22"/>
              </w:rPr>
              <w:t xml:space="preserve">: le rapport identifie correctement le signal, même si les conclusions pourraient être plus exploitées.</w:t>
            </w:r>
          </w:p>
          <w:p>
            <w:pPr>
              <w:pStyle w:val="ListParagraph"/>
              <w:numPr>
                <w:ilvl w:val="0"/>
                <w:numId w:val="2"/>
              </w:numPr>
              <w:spacing w:after="55" w:before="55"/>
            </w:pPr>
            <w:r>
              <w:rPr>
                <w:rFonts w:ascii="Arial" w:cs="Arial" w:eastAsia="Arial" w:hAnsi="Arial"/>
                <w:b/>
                <w:bCs/>
                <w:i w:val="false"/>
                <w:iCs w:val="false"/>
                <w:color w:val="1A1A2E"/>
                <w:sz w:val="22"/>
                <w:szCs w:val="22"/>
              </w:rPr>
              <w:t xml:space="preserve">SHAP beeswarm avec interprétation métier </w:t>
            </w:r>
            <w:r>
              <w:rPr>
                <w:rFonts w:ascii="Arial" w:cs="Arial" w:eastAsia="Arial" w:hAnsi="Arial"/>
                <w:b w:val="false"/>
                <w:bCs w:val="false"/>
                <w:i w:val="false"/>
                <w:iCs w:val="false"/>
                <w:color w:val="1A1A2E"/>
                <w:sz w:val="22"/>
                <w:szCs w:val="22"/>
              </w:rPr>
              <w:t xml:space="preserve">: tenure_mois comme feature #1 est un résultat métier cohérent et actionnable pour l'agence de Kairouan.</w:t>
            </w:r>
          </w:p>
        </w:tc>
      </w:tr>
    </w:tbl>
    <w:p>
      <w:pPr>
        <w:spacing w:after="0" w:before="120"/>
      </w:pPr>
      <w:r>
        <w:t xml:space="preserve"/>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2E4B8F"/>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A1A2E"/>
      <w:sz w:val="27"/>
      <w:szCs w:val="27"/>
    </w:rPr>
  </w:style>
  <w:style w:type="paragraph" w:styleId="Heading3">
    <w:name w:val="Heading 3"/>
    <w:basedOn w:val="Normal"/>
    <w:next w:val="Normal"/>
    <w:qFormat/>
    <w:pPr>
      <w:spacing w:after="80" w:before="18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2026-05-03T18:15:45.751Z</dcterms:created>
  <dcterms:modified xsi:type="dcterms:W3CDTF">2026-05-03T18:15:45.765Z</dcterms:modified>
</cp:coreProperties>
</file>

<file path=docProps/custom.xml><?xml version="1.0" encoding="utf-8"?>
<Properties xmlns="http://schemas.openxmlformats.org/officeDocument/2006/custom-properties" xmlns:vt="http://schemas.openxmlformats.org/officeDocument/2006/docPropsVTypes"/>
</file>