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4B8F"/>
          <w:sz w:val="52"/>
          <w:szCs w:val="52"/>
        </w:rPr>
        <w:t xml:space="preserve">Modélisation</w:t>
      </w:r>
    </w:p>
    <w:p>
      <w:pPr>
        <w:pBdr>
          <w:bottom w:val="single" w:color="2E4B8F" w:sz="6" w:space="6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Rapport d'analyse avec évaluation critique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34"/>
          <w:szCs w:val="34"/>
        </w:rPr>
        <w:t xml:space="preserve">Étape A : Préparation avant modélisation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Encodage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Split stratifié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Imputation (fit sur train, transform sur test)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Pourquoi cet ordre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L'encodage avant le split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 acceptable car il s'agit d'une transformation déterministe : il ne « apprend » rien du dataset, il traduit simplement des modalités connues a priori. Encoder après le split ne changerait rien au résultat, mais le faire avant simplifie la gestion des colonnes.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L'imputation après le split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 obligatoire car elle apprend quelque chose (moyenne, médiane, mode). Si l'on impute sur l'ensemble complet avant de splitter, les statistiques calculées sur le test contaminent l'entraînement — c'est du </w:t>
      </w: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data leakage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1) L'encodage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L'encodage est une étape importante car il permet de transformer des variables catégorielles en valeurs numériques utilisables par les modèles.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One-Hot Encoding (OHE)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utilisé pour les variables sans ordre naturel (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genre_client, plan_tarifaire, moyen_paiement, type_abonnement, zone_reseau_principale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→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Ces variables n'ont pas d'ordre défendable. Assigner des entiers induirait artificiellement une relation ordinale. OHE crée une colonne binaire par modalité, sans imposer d'ordre.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Encodage ordinal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utilisé pour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qualite_signal_dominante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→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L'ordre est réel et mesurable (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Faible &lt; Bon &lt; Excellent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). OHE détruirait cette information, l'encodage ordinal la préserve.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2) Le split stratifié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split consiste à découper le dataset en deux parties : une pour l'entraînement et une autre pour tester les performances.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Avec 300 observations et 27,7 % de churn (83 positifs, 217 négatifs), un split aléatoire risquerait de déséquilibrer le ratio churn/non-churn. Le split stratifié garantit que les deux sous-ensembles reproduisent exactement ce ratio.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→ 70 % du dataset est dédié à l'entraînement et 30 % au test.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3) L'imputation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L'imputation consiste à remplacer les valeurs manquantes par des valeurs calculées ou définies. Nous avons 8 colonnes avec des NaN de natures différentes. La stratégie dépend du mécanisme de génération des NaN (MAR, MCAR, MNAR).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 d'imputation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facture_moyenne_mensuelle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Continue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Médiane par groupe (type_abonnement)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Factures dépendent du type d'abonnement ; médiane robuste aux outliers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satisfaction_client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Discrète (1-5)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Médiane globale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Variable subjective sans groupe naturel 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data_manquante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Binaire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Mode (0 ou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Seul le mode a un sens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reclamation_manquante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Binaire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Mode (0 ou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tendance_data_pct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Continue,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Médiane globale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Ratio asymétrique ; médiane robuste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ratio_data_voix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Continue,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Médiane globale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Présence de zéros structurels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ratio_sms_appels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Continue,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Médiane globale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score_frustration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Continue, composite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0 (valeur neutre)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NaN = absence de réclamation et satisfaction non renseignée → 0 est la valeur métier correcte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👉 </w:t>
      </w:r>
      <w:r>
        <w:rPr>
          <w:rFonts w:ascii="Arial" w:cs="Arial" w:eastAsia="Arial" w:hAnsi="Arial"/>
          <w:b/>
          <w:bCs/>
          <w:i/>
          <w:iCs/>
          <w:color w:val="1A1A2E"/>
          <w:sz w:val="22"/>
          <w:szCs w:val="22"/>
        </w:rPr>
        <w:t xml:space="preserve">Le score_frustration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 le seul cas où l'imputation par 0 est justifiée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métier et non statistique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4B8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B8F"/>
          <w:sz w:val="34"/>
          <w:szCs w:val="34"/>
        </w:rPr>
        <w:t xml:space="preserve">Étape B : Modélisation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Face au problème de churn, plusieurs algorithmes de classification supervisée sont envisageables. Les modèles retenus sont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XGBoost (baseline)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point de départ, gère nativement les déséquilibres via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scale_pos_weight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tolère les échelles différentes, produit des SHAP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Random Forest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sert de référence pour vérifier l'apport du boosting.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Régression Logistique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modèle linéaire, simple et interprétable.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1) Gestion du déséquilibre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Dataset : 72,3 % non-churn / 27,7 % churn. Ce déséquilibre peut biaiser le modèle vers la classe majoritaire. Deux stratégies sont testées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Class_weight natif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pénaliser davantage les erreurs sur la classe minoritaire. Implémentation 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class_weight='balanced'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(LR, RF) ou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scale_pos_weight = 217/83 ≈ 2,61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(XGBoost).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SMOTE (Synthetic Minority Over-sampling Technique)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génère des observations synthétiques de churners pour rééquilibrer le train set à 50/50. Attention : SMOTE s'applique uniquement sur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X_train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jamais sur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X_test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2) Évaluation des performances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modèles seront évalués selon trois métriques prioritaires 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AUC-ROC (priorité 1)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capacité à distinguer churner / non-churner indépendamment du seuil.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F1-score (priorité 2)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moyenne harmonique de la précision et du rappel sur la classe churn.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Recall / Rappel (priorité 3)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proportion de churners correctement détectés.</w:t>
      </w:r>
    </w:p>
    <w:p>
      <w:pPr>
        <w:spacing w:after="0" w:before="280"/>
      </w:pPr>
      <w:r>
        <w:t xml:space="preserve"/>
      </w:r>
    </w:p>
    <w:p>
      <w:pPr>
        <w:pBdr>
          <w:bottom w:val="single" w:color="C0392B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Évaluation Critique : Incohérences Identifiées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Incohérence sur la notion de « Baseline »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</w:t>
            </w:r>
          </w:p>
        </w:tc>
        <w:tc>
          <w:tcPr>
            <w:tcW w:type="dxa" w:w="9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XGBoost désigné comme point de départ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Définition incorrecte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 science des données, la </w:t>
            </w: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baseline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est conventionnellement le modèle le plus simple (souvent la Régression Logistique) servant à établir une performance minimale de référence.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Inversion de logique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Utiliser XGBoost dès le départ risque de masquer la complexité réelle du problème. Si la Régression Logistique atteint des scores proches de XGBoost, le recours à un algorithme de boosting n'est pas justifié compte tenu du coût de calcul et de la perte d'interprétabilité.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Recommandation : </w:t>
            </w: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Désigner la Régression Logistique comme baseline, puis escalader vers Random Forest et XGBoost.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Ambiguïté sur la gestion du déséquilibre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</w:t>
            </w:r>
          </w:p>
        </w:tc>
        <w:tc>
          <w:tcPr>
            <w:tcW w:type="dxa" w:w="9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Traitement asymétrique entre les modèles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Avantage technique non contrôlé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XGBoost bénéficie nativement de </w:t>
            </w: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scale_pos_weight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 Si la Régression Logistique et Random Forest n'ont pas de traitement équivalent, XGBoost gagne par avantage structurel et non par supériorité intrinsèque — la comparaison est invalide.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Note positive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 rapport mentionne </w:t>
            </w: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class_weight='balanced'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pour LR et RF. Cela est correct, mais il faudrait le rendre explicite dans le pipeline de comparaison pour chaque variante (avec/sans SMOTE).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Recommandation : </w:t>
            </w: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Tester les trois modèles avec et sans rééquilibrage, dans des conditions strictement identiques.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Incohérence entre les modèles et le prétraitement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</w:t>
            </w:r>
          </w:p>
        </w:tc>
        <w:tc>
          <w:tcPr>
            <w:tcW w:type="dxa" w:w="9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Absence de normalisation pour la Régression Logistique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Sensibilité aux échelles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 rapport indique qu'XGBoost « tolère les échelles différentes » (vrai, car basé sur des arbres). En revanche, la Régression Logistique est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mathématiquement sensible aux échelles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: sans normalisation (StandardScaler ou MinMaxScaler), ses coefficients seront biaisés et ses performances sous-estimées.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Comparaison invalide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Sans pipeline de prétraitement différencié (normalisation pour LR, pas pour XGBoost/RF), toute comparaison de performances entre les modèles est statistiquement non fiable.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Recommandation : </w:t>
            </w: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Intégrer un </w:t>
            </w:r>
            <w:r>
              <w:rPr>
                <w:rFonts w:ascii="Arial" w:cs="Arial" w:eastAsia="Arial" w:hAnsi="Arial"/>
                <w:i/>
                <w:iCs/>
                <w:color w:val="1E8449"/>
                <w:sz w:val="22"/>
                <w:szCs w:val="22"/>
              </w:rPr>
              <w:t xml:space="preserve">Pipeline sklearn</w:t>
            </w: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 avec StandardScaler appliqué exclusivement à la Régression Logistique.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Utilisation des SHAP values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</w:t>
            </w:r>
          </w:p>
        </w:tc>
        <w:tc>
          <w:tcPr>
            <w:tcW w:type="dxa" w:w="9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Attribution exclusive à XGBoost — potentiellement trompeuse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Exclusivité incorrecte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Les SHAP values ne sont pas propres à XGBoost. Elles sont calculables pour Random Forest (</w:t>
            </w: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TreeSHAP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) et pour la Régression Logistique (</w:t>
            </w: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KernelSHAP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). Mentionner les SHAP uniquement pour XGBoost peut induire en erreur.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Impact sur l'argument d'interprétabilité 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 l'objectif est l'interprétabilité (argument avancé pour la RL), SHAP offre une interprétabilité locale puissante pour tous les modèles. Cela rend l'argument de « simplicité de la RL » moins déterminant.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Recommandation : </w:t>
            </w: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Préciser que les SHAP values seront calculées pour tous les modèles et utiliser cela comme critère d'interprétabilité comparatif.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7AE60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Synthèse des recommandations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 à corriger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recommandée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Baseline = XGBoost (incorrect)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Utiliser la Régression Logistique comme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Comparaison de modèles déséquilibrée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Appliquer class_weight identique à tous les modèles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Absence de normalisation pour la 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Pipeline sklearn avec StandardScaler pour la 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SHAP values réservées à XGBoost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1"/>
                <w:szCs w:val="21"/>
              </w:rPr>
              <w:t xml:space="preserve">Calculer SHAP pour tous les modèles (TreeSHAP, KernelSHAP)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B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2026-05-03T17:03:17.769Z</dcterms:created>
  <dcterms:modified xsi:type="dcterms:W3CDTF">2026-05-03T17:03:17.769Z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