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72" w:rsidRDefault="00D72DDC" w:rsidP="00866214">
      <w:pPr>
        <w:jc w:val="center"/>
        <w:rPr>
          <w:b/>
          <w:sz w:val="36"/>
          <w:szCs w:val="36"/>
        </w:rPr>
      </w:pPr>
      <w:r w:rsidRPr="00690D72">
        <w:rPr>
          <w:b/>
          <w:sz w:val="36"/>
          <w:szCs w:val="36"/>
        </w:rPr>
        <w:t>ANALYSE COMPARATIVE DE LA MORTALITE EN FRANCE</w:t>
      </w:r>
    </w:p>
    <w:p w:rsidR="00690D72" w:rsidRPr="00866214" w:rsidRDefault="00D72DDC" w:rsidP="00866214">
      <w:pPr>
        <w:jc w:val="center"/>
        <w:rPr>
          <w:b/>
          <w:sz w:val="36"/>
          <w:szCs w:val="36"/>
        </w:rPr>
      </w:pPr>
      <w:r w:rsidRPr="00690D72">
        <w:rPr>
          <w:b/>
          <w:sz w:val="36"/>
          <w:szCs w:val="36"/>
        </w:rPr>
        <w:t>DE 2010 A 2020</w:t>
      </w:r>
      <w:r w:rsidR="00D621A7">
        <w:rPr>
          <w:b/>
          <w:sz w:val="36"/>
          <w:szCs w:val="36"/>
        </w:rPr>
        <w:t xml:space="preserve"> (mise à jour)</w:t>
      </w:r>
    </w:p>
    <w:p w:rsidR="00690D72" w:rsidRPr="00A07F01" w:rsidRDefault="00866214" w:rsidP="00690D72">
      <w:pPr>
        <w:jc w:val="both"/>
        <w:rPr>
          <w:b/>
          <w:sz w:val="32"/>
          <w:szCs w:val="32"/>
          <w:u w:val="single"/>
        </w:rPr>
      </w:pPr>
      <w:r w:rsidRPr="00A07F01">
        <w:rPr>
          <w:b/>
          <w:sz w:val="32"/>
          <w:szCs w:val="32"/>
          <w:u w:val="single"/>
        </w:rPr>
        <w:t>Observations et synthèse</w:t>
      </w:r>
    </w:p>
    <w:p w:rsidR="00690D72" w:rsidRPr="00A07F01" w:rsidRDefault="00690D72" w:rsidP="00690D72">
      <w:pPr>
        <w:pStyle w:val="Paragraphedeliste"/>
        <w:numPr>
          <w:ilvl w:val="0"/>
          <w:numId w:val="5"/>
        </w:numPr>
        <w:jc w:val="both"/>
        <w:rPr>
          <w:b/>
        </w:rPr>
      </w:pPr>
      <w:r w:rsidRPr="00A07F01">
        <w:rPr>
          <w:b/>
        </w:rPr>
        <w:t>Une augmentation des décès et des taux de mortalités</w:t>
      </w:r>
      <w:r w:rsidR="00DD0A35" w:rsidRPr="00A07F01">
        <w:rPr>
          <w:b/>
        </w:rPr>
        <w:t>,</w:t>
      </w:r>
      <w:r w:rsidRPr="00A07F01">
        <w:rPr>
          <w:b/>
        </w:rPr>
        <w:t xml:space="preserve"> due pour l’essentiel au vieillissement de la population</w:t>
      </w:r>
    </w:p>
    <w:p w:rsidR="00DD0A35" w:rsidRPr="00A07F01" w:rsidRDefault="00DD0A35" w:rsidP="00DD0A35">
      <w:pPr>
        <w:pStyle w:val="Paragraphedeliste"/>
        <w:jc w:val="both"/>
        <w:rPr>
          <w:b/>
        </w:rPr>
      </w:pPr>
    </w:p>
    <w:p w:rsidR="00802C33" w:rsidRPr="00A07F01" w:rsidRDefault="00690D72" w:rsidP="00690D72">
      <w:pPr>
        <w:pStyle w:val="Paragraphedeliste"/>
        <w:numPr>
          <w:ilvl w:val="1"/>
          <w:numId w:val="6"/>
        </w:numPr>
        <w:jc w:val="both"/>
        <w:rPr>
          <w:b/>
          <w:i/>
        </w:rPr>
      </w:pPr>
      <w:r w:rsidRPr="00A07F01">
        <w:rPr>
          <w:b/>
          <w:i/>
        </w:rPr>
        <w:t xml:space="preserve">L’INSEE met en évidence une croissance des décès et du taux global de mortalité </w:t>
      </w:r>
    </w:p>
    <w:p w:rsidR="00DD0A35" w:rsidRPr="00A07F01" w:rsidRDefault="00DD0A35" w:rsidP="00DD0A35">
      <w:pPr>
        <w:pStyle w:val="Paragraphedeliste"/>
        <w:ind w:left="1440"/>
        <w:jc w:val="both"/>
      </w:pPr>
      <w:r w:rsidRPr="00A07F01">
        <w:t>Ce constat est en effet observé sur les données brutes d</w:t>
      </w:r>
      <w:r w:rsidR="00CF0153" w:rsidRPr="00A07F01">
        <w:t xml:space="preserve">e taux de mortalités </w:t>
      </w:r>
    </w:p>
    <w:p w:rsidR="00CF0153" w:rsidRPr="00A07F01" w:rsidRDefault="00CF0153" w:rsidP="00DD0A35">
      <w:pPr>
        <w:pStyle w:val="Paragraphedeliste"/>
        <w:ind w:left="1440"/>
        <w:jc w:val="both"/>
      </w:pPr>
    </w:p>
    <w:p w:rsidR="00CF0153" w:rsidRPr="00DD0A35" w:rsidRDefault="001F2898" w:rsidP="00DD0A35">
      <w:pPr>
        <w:pStyle w:val="Paragraphedeliste"/>
        <w:ind w:left="1440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718F178" wp14:editId="49601842">
            <wp:extent cx="4573121" cy="2779806"/>
            <wp:effectExtent l="0" t="0" r="18415" b="190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2C33" w:rsidRPr="00DD0A35" w:rsidRDefault="00802C33" w:rsidP="00802C33">
      <w:pPr>
        <w:pStyle w:val="Paragraphedeliste"/>
        <w:ind w:left="1440"/>
        <w:jc w:val="both"/>
        <w:rPr>
          <w:b/>
          <w:i/>
          <w:sz w:val="24"/>
          <w:szCs w:val="24"/>
        </w:rPr>
      </w:pPr>
    </w:p>
    <w:p w:rsidR="00A07F01" w:rsidRPr="00A07F01" w:rsidRDefault="00690D72" w:rsidP="00A07F01">
      <w:pPr>
        <w:pStyle w:val="Paragraphedeliste"/>
        <w:numPr>
          <w:ilvl w:val="1"/>
          <w:numId w:val="6"/>
        </w:numPr>
        <w:jc w:val="both"/>
      </w:pPr>
      <w:r w:rsidRPr="00A07F01">
        <w:rPr>
          <w:b/>
          <w:i/>
        </w:rPr>
        <w:t>Cependant ce constat est essentiellement</w:t>
      </w:r>
      <w:r w:rsidR="00DD0A35" w:rsidRPr="00A07F01">
        <w:rPr>
          <w:b/>
          <w:i/>
        </w:rPr>
        <w:t xml:space="preserve"> dû</w:t>
      </w:r>
      <w:r w:rsidRPr="00A07F01">
        <w:rPr>
          <w:b/>
          <w:i/>
        </w:rPr>
        <w:t xml:space="preserve"> au vieillissement de la population.</w:t>
      </w:r>
      <w:r w:rsidRPr="00A07F01">
        <w:t xml:space="preserve"> </w:t>
      </w:r>
    </w:p>
    <w:p w:rsidR="00802C33" w:rsidRPr="00A07F01" w:rsidRDefault="00690D72" w:rsidP="00A07F01">
      <w:pPr>
        <w:pStyle w:val="Paragraphedeliste"/>
        <w:ind w:left="1570"/>
        <w:jc w:val="both"/>
      </w:pPr>
      <w:r w:rsidRPr="00A07F01">
        <w:t xml:space="preserve">L’augmentation de la mortalité globale poursuit en effet la tendance déjà observée depuis 2017, et qui tend à s’accélérer en 2018, 2019 et 2020 en raison du vieillissement de la population et de l’arrivée à un âge avancé des baby-boomers. </w:t>
      </w:r>
      <w:r w:rsidR="00866214" w:rsidRPr="00A07F01">
        <w:t>(Cf tableau 6 et détail des calculs infra)</w:t>
      </w:r>
      <w:r w:rsidR="00A07F01" w:rsidRPr="00A07F01">
        <w:t xml:space="preserve">. </w:t>
      </w:r>
      <w:r w:rsidR="00ED178C" w:rsidRPr="00A07F01">
        <w:t>Rappelons en effet que</w:t>
      </w:r>
      <w:r w:rsidR="00297DDA" w:rsidRPr="00A07F01">
        <w:t xml:space="preserve"> le taux de mortalité est le qu</w:t>
      </w:r>
      <w:r w:rsidR="00ED178C" w:rsidRPr="00A07F01">
        <w:t xml:space="preserve">otient des décès par la population de chaque tranche et qu’il peut rester stable,  alors que le nombre de décès augmente dans les mêmes proportions.  </w:t>
      </w:r>
    </w:p>
    <w:p w:rsidR="00802C33" w:rsidRPr="00A07F01" w:rsidRDefault="00802C33" w:rsidP="00802C33">
      <w:pPr>
        <w:pStyle w:val="Paragraphedeliste"/>
      </w:pPr>
    </w:p>
    <w:p w:rsidR="00A07F01" w:rsidRPr="00A07F01" w:rsidRDefault="00802C33" w:rsidP="00A07F01">
      <w:pPr>
        <w:pStyle w:val="Paragraphedeliste"/>
        <w:numPr>
          <w:ilvl w:val="1"/>
          <w:numId w:val="6"/>
        </w:numPr>
        <w:jc w:val="both"/>
        <w:rPr>
          <w:b/>
          <w:i/>
        </w:rPr>
      </w:pPr>
      <w:r w:rsidRPr="00A07F01">
        <w:rPr>
          <w:b/>
          <w:i/>
        </w:rPr>
        <w:t>Seuls les plus de 75 ans sont – encore que légèrement-  affectés par la hausse de mortalité en 2020</w:t>
      </w:r>
      <w:r w:rsidR="00D05878" w:rsidRPr="00A07F01">
        <w:rPr>
          <w:b/>
          <w:i/>
        </w:rPr>
        <w:t xml:space="preserve"> </w:t>
      </w:r>
      <w:r w:rsidR="00C4157D" w:rsidRPr="00A07F01">
        <w:rPr>
          <w:b/>
          <w:i/>
        </w:rPr>
        <w:t>(</w:t>
      </w:r>
      <w:proofErr w:type="spellStart"/>
      <w:r w:rsidR="00C4157D" w:rsidRPr="00A07F01">
        <w:rPr>
          <w:b/>
          <w:i/>
        </w:rPr>
        <w:t>cf</w:t>
      </w:r>
      <w:proofErr w:type="spellEnd"/>
      <w:r w:rsidR="00C4157D" w:rsidRPr="00A07F01">
        <w:rPr>
          <w:b/>
          <w:i/>
        </w:rPr>
        <w:t xml:space="preserve"> </w:t>
      </w:r>
      <w:r w:rsidR="00866214" w:rsidRPr="00A07F01">
        <w:rPr>
          <w:b/>
          <w:i/>
        </w:rPr>
        <w:t xml:space="preserve">tableau 4 et </w:t>
      </w:r>
      <w:r w:rsidR="00C4157D" w:rsidRPr="00A07F01">
        <w:rPr>
          <w:b/>
          <w:i/>
        </w:rPr>
        <w:t>détail des calculs</w:t>
      </w:r>
      <w:r w:rsidR="00866214" w:rsidRPr="00A07F01">
        <w:rPr>
          <w:b/>
          <w:i/>
        </w:rPr>
        <w:t xml:space="preserve"> infra</w:t>
      </w:r>
      <w:r w:rsidR="00C4157D" w:rsidRPr="00A07F01">
        <w:rPr>
          <w:b/>
          <w:i/>
        </w:rPr>
        <w:t>)</w:t>
      </w:r>
    </w:p>
    <w:p w:rsidR="00690D72" w:rsidRPr="00A07F01" w:rsidRDefault="00690D72" w:rsidP="00A07F01">
      <w:pPr>
        <w:pStyle w:val="Paragraphedeliste"/>
        <w:ind w:left="1570"/>
        <w:jc w:val="both"/>
      </w:pPr>
      <w:r w:rsidRPr="00A07F01">
        <w:t xml:space="preserve">La mortalité reste très faible et poursuit sa tendance décroissante dans toutes les tranches d’âge inférieur à 65 ans </w:t>
      </w:r>
      <w:r w:rsidR="00DD0A35" w:rsidRPr="00A07F01">
        <w:t xml:space="preserve"> </w:t>
      </w:r>
      <w:r w:rsidRPr="00A07F01">
        <w:t xml:space="preserve">Au-delà de 65 ans pour les femmes, elle reste comparable à celle de toutes les années précédentes, sauf 2019 dont la mortalité était particulièrement faible ; pour les hommes de plus de 75 ans, elle augmente très légèrement depuis 2019 tout en restant très proche de celle des années 2010 à 2016. </w:t>
      </w:r>
    </w:p>
    <w:p w:rsidR="00A07F01" w:rsidRPr="00A07F01" w:rsidRDefault="00A07F01" w:rsidP="00A07F01">
      <w:pPr>
        <w:pStyle w:val="Paragraphedeliste"/>
        <w:ind w:left="1570"/>
        <w:jc w:val="both"/>
        <w:rPr>
          <w:b/>
          <w:i/>
          <w:sz w:val="24"/>
          <w:szCs w:val="24"/>
        </w:rPr>
      </w:pPr>
    </w:p>
    <w:p w:rsidR="00802C33" w:rsidRPr="00A07F01" w:rsidRDefault="00802C33" w:rsidP="00802C33">
      <w:pPr>
        <w:pStyle w:val="Paragraphedeliste"/>
        <w:numPr>
          <w:ilvl w:val="0"/>
          <w:numId w:val="6"/>
        </w:numPr>
        <w:jc w:val="both"/>
        <w:rPr>
          <w:b/>
        </w:rPr>
      </w:pPr>
      <w:r w:rsidRPr="00A07F01">
        <w:rPr>
          <w:b/>
        </w:rPr>
        <w:t>Une mortalité globale similaire à celle du début de la décennie</w:t>
      </w:r>
    </w:p>
    <w:p w:rsidR="00690D72" w:rsidRPr="00A07F01" w:rsidRDefault="00802C33" w:rsidP="006B5973">
      <w:pPr>
        <w:ind w:left="380"/>
        <w:jc w:val="both"/>
      </w:pPr>
      <w:r w:rsidRPr="00A07F01">
        <w:rPr>
          <w:b/>
          <w:i/>
        </w:rPr>
        <w:t xml:space="preserve">2-1 </w:t>
      </w:r>
      <w:r w:rsidR="00690D72" w:rsidRPr="00A07F01">
        <w:rPr>
          <w:b/>
          <w:i/>
        </w:rPr>
        <w:t>En appliquant</w:t>
      </w:r>
      <w:r w:rsidR="00D05878" w:rsidRPr="00A07F01">
        <w:rPr>
          <w:b/>
          <w:i/>
        </w:rPr>
        <w:t xml:space="preserve"> (</w:t>
      </w:r>
      <w:proofErr w:type="spellStart"/>
      <w:r w:rsidR="00D05878" w:rsidRPr="00A07F01">
        <w:rPr>
          <w:b/>
          <w:i/>
        </w:rPr>
        <w:t>cf</w:t>
      </w:r>
      <w:proofErr w:type="spellEnd"/>
      <w:r w:rsidR="00D05878" w:rsidRPr="00A07F01">
        <w:rPr>
          <w:b/>
          <w:i/>
        </w:rPr>
        <w:t xml:space="preserve"> tableau </w:t>
      </w:r>
      <w:r w:rsidR="00DD0A35" w:rsidRPr="00A07F01">
        <w:rPr>
          <w:b/>
          <w:i/>
        </w:rPr>
        <w:t>5)</w:t>
      </w:r>
      <w:r w:rsidR="00690D72" w:rsidRPr="00A07F01">
        <w:rPr>
          <w:b/>
          <w:i/>
        </w:rPr>
        <w:t xml:space="preserve"> les taux de mortalité par âge des années 2010 à 2015, l’année 2020 se caractérise</w:t>
      </w:r>
      <w:r w:rsidRPr="00A07F01">
        <w:rPr>
          <w:b/>
          <w:i/>
        </w:rPr>
        <w:t xml:space="preserve"> en fait</w:t>
      </w:r>
      <w:r w:rsidR="00690D72" w:rsidRPr="00A07F01">
        <w:rPr>
          <w:b/>
          <w:i/>
        </w:rPr>
        <w:t xml:space="preserve"> par une sous-mortalité,</w:t>
      </w:r>
      <w:r w:rsidR="00690D72" w:rsidRPr="00A07F01">
        <w:t xml:space="preserve"> variable selon les années, entre </w:t>
      </w:r>
      <w:r w:rsidRPr="00A07F01">
        <w:t xml:space="preserve">  </w:t>
      </w:r>
      <w:r w:rsidR="00034482" w:rsidRPr="00A07F01">
        <w:t>36 79</w:t>
      </w:r>
      <w:r w:rsidR="008F5409" w:rsidRPr="00A07F01">
        <w:t xml:space="preserve">0 </w:t>
      </w:r>
      <w:r w:rsidR="00690D72" w:rsidRPr="00A07F01">
        <w:t xml:space="preserve"> </w:t>
      </w:r>
      <w:r w:rsidR="00690D72" w:rsidRPr="00A07F01">
        <w:lastRenderedPageBreak/>
        <w:t>personnes</w:t>
      </w:r>
      <w:r w:rsidR="00034482" w:rsidRPr="00A07F01">
        <w:t xml:space="preserve"> pour les taux de 2010 et 4502 </w:t>
      </w:r>
      <w:r w:rsidR="00690D72" w:rsidRPr="00A07F01">
        <w:t>personnes pour 2015, avec une année atypique de faible mortalité en 2014</w:t>
      </w:r>
      <w:r w:rsidR="00297DDA" w:rsidRPr="00A07F01">
        <w:t>.</w:t>
      </w:r>
      <w:r w:rsidR="006B5973" w:rsidRPr="00A07F01">
        <w:t xml:space="preserve"> </w:t>
      </w:r>
      <w:r w:rsidR="00690D72" w:rsidRPr="00A07F01">
        <w:t xml:space="preserve">A partir de 2016, la tendance s’inverse et 2020 marquerait une surmortalité de </w:t>
      </w:r>
      <w:r w:rsidR="00034482" w:rsidRPr="00A07F01">
        <w:t xml:space="preserve">18 438 </w:t>
      </w:r>
      <w:r w:rsidR="00690D72" w:rsidRPr="00A07F01">
        <w:t xml:space="preserve"> per</w:t>
      </w:r>
      <w:r w:rsidR="008F5409" w:rsidRPr="00A07F01">
        <w:t xml:space="preserve">sonnes avec les taux de 2017, </w:t>
      </w:r>
      <w:r w:rsidR="00034482" w:rsidRPr="00A07F01">
        <w:t xml:space="preserve">30 062 </w:t>
      </w:r>
      <w:r w:rsidR="00690D72" w:rsidRPr="00A07F01">
        <w:t xml:space="preserve">avec les taux de 2018 et </w:t>
      </w:r>
      <w:r w:rsidRPr="00A07F01">
        <w:t xml:space="preserve"> </w:t>
      </w:r>
      <w:r w:rsidR="00034482" w:rsidRPr="00A07F01">
        <w:t>40 667</w:t>
      </w:r>
      <w:r w:rsidR="00690D72" w:rsidRPr="00A07F01">
        <w:t xml:space="preserve"> avec les taux de 2019 (qui sont particulièrement faibles), résultant du vieillissement de la population. En comparaison avec la moyenne des dix années p</w:t>
      </w:r>
      <w:r w:rsidR="008F5409" w:rsidRPr="00A07F01">
        <w:t xml:space="preserve">récédentes, 2020 marque une très légère surmortalité de </w:t>
      </w:r>
      <w:r w:rsidR="00034482" w:rsidRPr="00A07F01">
        <w:t xml:space="preserve"> 3 958 </w:t>
      </w:r>
      <w:r w:rsidR="00690D72" w:rsidRPr="00A07F01">
        <w:t xml:space="preserve">personnes. </w:t>
      </w:r>
    </w:p>
    <w:p w:rsidR="00134CA7" w:rsidRPr="00A07F01" w:rsidRDefault="00134CA7" w:rsidP="00134CA7">
      <w:pPr>
        <w:pStyle w:val="Paragraphedeliste"/>
        <w:numPr>
          <w:ilvl w:val="0"/>
          <w:numId w:val="6"/>
        </w:numPr>
        <w:jc w:val="both"/>
        <w:rPr>
          <w:b/>
        </w:rPr>
      </w:pPr>
      <w:r w:rsidRPr="00A07F01">
        <w:rPr>
          <w:b/>
        </w:rPr>
        <w:t>Une « surmortalité</w:t>
      </w:r>
      <w:r w:rsidR="009B7388" w:rsidRPr="00A07F01">
        <w:rPr>
          <w:b/>
        </w:rPr>
        <w:t> »</w:t>
      </w:r>
      <w:r w:rsidRPr="00A07F01">
        <w:rPr>
          <w:b/>
        </w:rPr>
        <w:t xml:space="preserve"> très loin des chiffres officiels </w:t>
      </w:r>
    </w:p>
    <w:p w:rsidR="00D05878" w:rsidRPr="00A07F01" w:rsidRDefault="00D05878" w:rsidP="006B5973">
      <w:pPr>
        <w:ind w:left="380"/>
        <w:jc w:val="both"/>
        <w:rPr>
          <w:b/>
          <w:i/>
        </w:rPr>
      </w:pPr>
      <w:r w:rsidRPr="00A07F01">
        <w:rPr>
          <w:b/>
          <w:i/>
        </w:rPr>
        <w:t>En référence (</w:t>
      </w:r>
      <w:proofErr w:type="spellStart"/>
      <w:r w:rsidRPr="00A07F01">
        <w:rPr>
          <w:b/>
          <w:i/>
        </w:rPr>
        <w:t>cf</w:t>
      </w:r>
      <w:proofErr w:type="spellEnd"/>
      <w:r w:rsidRPr="00A07F01">
        <w:rPr>
          <w:b/>
          <w:i/>
        </w:rPr>
        <w:t xml:space="preserve"> tableau 7 sur onglet </w:t>
      </w:r>
      <w:proofErr w:type="gramStart"/>
      <w:r w:rsidRPr="00A07F01">
        <w:rPr>
          <w:b/>
          <w:i/>
        </w:rPr>
        <w:t>5 )</w:t>
      </w:r>
      <w:proofErr w:type="gramEnd"/>
      <w:r w:rsidRPr="00A07F01">
        <w:rPr>
          <w:b/>
          <w:i/>
        </w:rPr>
        <w:t xml:space="preserve"> à la moyenne des taux par âge 2017 à 2019, la surmortalité</w:t>
      </w:r>
      <w:r w:rsidR="00EE2F5D" w:rsidRPr="00A07F01">
        <w:rPr>
          <w:b/>
          <w:i/>
        </w:rPr>
        <w:t xml:space="preserve"> de 2020 serait de l’ordre de 30 000</w:t>
      </w:r>
      <w:r w:rsidR="00297DDA" w:rsidRPr="00A07F01">
        <w:rPr>
          <w:b/>
          <w:i/>
        </w:rPr>
        <w:t xml:space="preserve"> personnes dont 81</w:t>
      </w:r>
      <w:r w:rsidR="00EE2F5D" w:rsidRPr="00A07F01">
        <w:rPr>
          <w:b/>
          <w:i/>
        </w:rPr>
        <w:t>% âgés de plus de 75 ans.</w:t>
      </w:r>
      <w:r w:rsidR="00A07F01" w:rsidRPr="00A07F01">
        <w:rPr>
          <w:b/>
          <w:i/>
        </w:rPr>
        <w:t xml:space="preserve"> Ces chiffres restent assez éloignés de l’accroissement brut en 2020 du nombre de décès (54 000) et encore davantage des « décès » </w:t>
      </w:r>
      <w:proofErr w:type="spellStart"/>
      <w:r w:rsidR="00A07F01" w:rsidRPr="00A07F01">
        <w:rPr>
          <w:b/>
          <w:i/>
        </w:rPr>
        <w:t>covid</w:t>
      </w:r>
      <w:proofErr w:type="spellEnd"/>
      <w:r w:rsidR="00A07F01" w:rsidRPr="00A07F01">
        <w:rPr>
          <w:b/>
          <w:i/>
        </w:rPr>
        <w:t xml:space="preserve"> déclarés (plus de 60 000)</w:t>
      </w:r>
    </w:p>
    <w:p w:rsidR="00690D72" w:rsidRDefault="00DD0A35" w:rsidP="00690D72">
      <w:pPr>
        <w:jc w:val="both"/>
        <w:rPr>
          <w:b/>
          <w:sz w:val="32"/>
          <w:szCs w:val="32"/>
        </w:rPr>
      </w:pPr>
      <w:r w:rsidRPr="00DD0A35">
        <w:rPr>
          <w:b/>
          <w:sz w:val="32"/>
          <w:szCs w:val="32"/>
        </w:rPr>
        <w:t>Synthèse des analyses</w:t>
      </w:r>
      <w:r w:rsidR="009F4CE1">
        <w:rPr>
          <w:b/>
          <w:sz w:val="32"/>
          <w:szCs w:val="32"/>
        </w:rPr>
        <w:t xml:space="preserve">  </w:t>
      </w:r>
    </w:p>
    <w:p w:rsidR="00A07F01" w:rsidRDefault="009F4CE1" w:rsidP="006B5973">
      <w:pPr>
        <w:rPr>
          <w:rFonts w:cstheme="minorHAnsi"/>
        </w:rPr>
      </w:pPr>
      <w:r w:rsidRPr="00A07F01">
        <w:rPr>
          <w:rFonts w:cstheme="minorHAnsi"/>
        </w:rPr>
        <w:t xml:space="preserve">Les chiffres précédents sont à rapprocher de celui, annoncé par les autorités sanitaires, du nombre de décès dus à la covid-19, soit plus de 60 000. </w:t>
      </w:r>
      <w:r w:rsidR="006B5973" w:rsidRPr="00A07F01">
        <w:rPr>
          <w:rFonts w:cstheme="minorHAnsi"/>
        </w:rPr>
        <w:t xml:space="preserve"> </w:t>
      </w:r>
      <w:r w:rsidRPr="00A07F01">
        <w:rPr>
          <w:rFonts w:cstheme="minorHAnsi"/>
        </w:rPr>
        <w:t xml:space="preserve">D’où peut venir cet excès variant entre 62 600 et 54 000 ? </w:t>
      </w:r>
      <w:r w:rsidR="006B5973" w:rsidRPr="00A07F01">
        <w:rPr>
          <w:rFonts w:cstheme="minorHAnsi"/>
        </w:rPr>
        <w:t>En première approximation cette surmortalité « brute » de 2020 s’explique déjà pour plus de moitié par</w:t>
      </w:r>
      <w:r w:rsidR="00A07F01" w:rsidRPr="00A07F01">
        <w:rPr>
          <w:rFonts w:cstheme="minorHAnsi"/>
        </w:rPr>
        <w:t xml:space="preserve"> le vieillissement </w:t>
      </w:r>
      <w:r w:rsidR="006B5973" w:rsidRPr="00A07F01">
        <w:rPr>
          <w:rFonts w:cstheme="minorHAnsi"/>
        </w:rPr>
        <w:t xml:space="preserve">de la population. </w:t>
      </w:r>
    </w:p>
    <w:p w:rsidR="006B5973" w:rsidRPr="00A07F01" w:rsidRDefault="006B5973" w:rsidP="006B5973">
      <w:pPr>
        <w:rPr>
          <w:rFonts w:cstheme="minorHAnsi"/>
        </w:rPr>
      </w:pPr>
      <w:r w:rsidRPr="00A07F01">
        <w:rPr>
          <w:rFonts w:cstheme="minorHAnsi"/>
        </w:rPr>
        <w:t xml:space="preserve">On peut donc se questionner sur le décompte du nombre de décès déclarés  « covid-19 ». En effet, si la détermination du décès est précise (on est vivant ou mort) sa cause est beaucoup plus sujette à imprécision. Deux biais peuvent apparaître : </w:t>
      </w:r>
    </w:p>
    <w:p w:rsidR="006B5973" w:rsidRPr="00A07F01" w:rsidRDefault="006B5973" w:rsidP="006B5973">
      <w:pPr>
        <w:pStyle w:val="DialogueRoman"/>
        <w:spacing w:line="24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A07F01">
        <w:rPr>
          <w:rFonts w:asciiTheme="minorHAnsi" w:hAnsiTheme="minorHAnsi" w:cstheme="minorHAnsi"/>
          <w:sz w:val="22"/>
          <w:szCs w:val="22"/>
        </w:rPr>
        <w:t xml:space="preserve">D’une part, une confusion entre « mort </w:t>
      </w:r>
      <w:r w:rsidRPr="00A07F01">
        <w:rPr>
          <w:rFonts w:asciiTheme="minorHAnsi" w:hAnsiTheme="minorHAnsi" w:cstheme="minorHAnsi"/>
          <w:i/>
          <w:sz w:val="22"/>
          <w:szCs w:val="22"/>
        </w:rPr>
        <w:t>à cause</w:t>
      </w:r>
      <w:r w:rsidRPr="00A07F01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A07F01">
        <w:rPr>
          <w:rFonts w:asciiTheme="minorHAnsi" w:hAnsiTheme="minorHAnsi" w:cstheme="minorHAnsi"/>
          <w:sz w:val="22"/>
          <w:szCs w:val="22"/>
        </w:rPr>
        <w:t>covid</w:t>
      </w:r>
      <w:proofErr w:type="spellEnd"/>
      <w:r w:rsidRPr="00A07F01">
        <w:rPr>
          <w:rFonts w:asciiTheme="minorHAnsi" w:hAnsiTheme="minorHAnsi" w:cstheme="minorHAnsi"/>
          <w:sz w:val="22"/>
          <w:szCs w:val="22"/>
        </w:rPr>
        <w:t xml:space="preserve"> » et « mort en présence du coronavirus responsable de la </w:t>
      </w:r>
      <w:proofErr w:type="spellStart"/>
      <w:r w:rsidRPr="00A07F01">
        <w:rPr>
          <w:rFonts w:asciiTheme="minorHAnsi" w:hAnsiTheme="minorHAnsi" w:cstheme="minorHAnsi"/>
          <w:sz w:val="22"/>
          <w:szCs w:val="22"/>
        </w:rPr>
        <w:t>covid</w:t>
      </w:r>
      <w:proofErr w:type="spellEnd"/>
      <w:r w:rsidRPr="00A07F01">
        <w:rPr>
          <w:rFonts w:asciiTheme="minorHAnsi" w:hAnsiTheme="minorHAnsi" w:cstheme="minorHAnsi"/>
          <w:sz w:val="22"/>
          <w:szCs w:val="22"/>
        </w:rPr>
        <w:t> ».</w:t>
      </w:r>
      <w:r w:rsidRPr="00A07F01">
        <w:rPr>
          <w:rStyle w:val="Appeldenotedefin"/>
          <w:rFonts w:asciiTheme="minorHAnsi" w:hAnsiTheme="minorHAnsi" w:cstheme="minorHAnsi"/>
          <w:sz w:val="22"/>
          <w:szCs w:val="22"/>
        </w:rPr>
        <w:endnoteReference w:id="1"/>
      </w:r>
      <w:r w:rsidRPr="00A07F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B5973" w:rsidRPr="00A07F01" w:rsidRDefault="006B5973" w:rsidP="006B5973">
      <w:pPr>
        <w:pStyle w:val="DialogueRoman"/>
        <w:spacing w:line="24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r w:rsidRPr="00A07F01">
        <w:rPr>
          <w:rFonts w:asciiTheme="minorHAnsi" w:hAnsiTheme="minorHAnsi" w:cstheme="minorHAnsi"/>
          <w:sz w:val="22"/>
          <w:szCs w:val="22"/>
        </w:rPr>
        <w:t>D’autre part, pour beaucoup de personnes décédées très âgées, leur décès serait intervenu dans l’année en l’absence de pandémie covid-19.</w:t>
      </w:r>
    </w:p>
    <w:p w:rsidR="006B5973" w:rsidRPr="00A07F01" w:rsidRDefault="006B5973" w:rsidP="006B5973">
      <w:r w:rsidRPr="00A07F01">
        <w:t>Il ne nous appa</w:t>
      </w:r>
      <w:r w:rsidRPr="00A07F01">
        <w:t xml:space="preserve">rtient pas de répondre aux </w:t>
      </w:r>
      <w:r w:rsidRPr="00A07F01">
        <w:t xml:space="preserve">questions précédentes, mais nous soulignons que l’hypothèse «  60 000 personnes sont décédées en 2020, uniquement à cause de l’infection par le coronavirus covid-19 » est invraisemblable. </w:t>
      </w:r>
    </w:p>
    <w:p w:rsidR="006B5973" w:rsidRPr="00A07F01" w:rsidRDefault="006B5973" w:rsidP="006B5973">
      <w:r w:rsidRPr="00A07F01">
        <w:rPr>
          <w:rFonts w:ascii="Calibri" w:hAnsi="Calibri" w:cs="Calibri"/>
        </w:rPr>
        <w:t xml:space="preserve">In fine, nous sommes dans l'incapacité d'évaluer le nombre de vies qui auraient été préservées si les patients atteints de pathologies graves avaient suivi leur thérapie sans crainte de la </w:t>
      </w:r>
      <w:proofErr w:type="spellStart"/>
      <w:r w:rsidRPr="00A07F01">
        <w:rPr>
          <w:rFonts w:ascii="Calibri" w:hAnsi="Calibri" w:cs="Calibri"/>
        </w:rPr>
        <w:t>Covid</w:t>
      </w:r>
      <w:proofErr w:type="spellEnd"/>
      <w:r w:rsidRPr="00A07F01">
        <w:rPr>
          <w:rFonts w:ascii="Calibri" w:hAnsi="Calibri" w:cs="Calibri"/>
        </w:rPr>
        <w:t>, et, surtout, si les autorités de santé n'avaient pas prétendu qu'il n'existe aucun traitement et interdit aux médecins de soigner avant le pa</w:t>
      </w:r>
      <w:r w:rsidRPr="00A07F01">
        <w:rPr>
          <w:rFonts w:ascii="Calibri" w:hAnsi="Calibri" w:cs="Calibri"/>
        </w:rPr>
        <w:t>ssage aux urgences du malade…</w:t>
      </w:r>
    </w:p>
    <w:p w:rsidR="006B5973" w:rsidRDefault="006B5973" w:rsidP="009F4CE1">
      <w:r w:rsidRPr="00A07F01">
        <w:rPr>
          <w:b/>
          <w:i/>
        </w:rPr>
        <w:t xml:space="preserve"> </w:t>
      </w:r>
      <w:r w:rsidR="009F4CE1" w:rsidRPr="00A07F01">
        <w:rPr>
          <w:b/>
          <w:i/>
        </w:rPr>
        <w:t>Les chiffres sur lesquels nous nous appuyons sont indiscutables et nos calculs, reproductibles, aisément vérifiables</w:t>
      </w:r>
      <w:r w:rsidR="009F4CE1">
        <w:t xml:space="preserve">. </w:t>
      </w:r>
      <w:bookmarkStart w:id="0" w:name="_GoBack"/>
      <w:bookmarkEnd w:id="0"/>
    </w:p>
    <w:p w:rsidR="009F4CE1" w:rsidRDefault="009F4CE1" w:rsidP="009F4CE1">
      <w:r>
        <w:t>--------------------------------------------------------------------------------------------------------------------------------------</w:t>
      </w:r>
    </w:p>
    <w:p w:rsidR="009F4CE1" w:rsidRDefault="009F4CE1" w:rsidP="009F4CE1">
      <w:pPr>
        <w:rPr>
          <w:rFonts w:ascii="Times" w:hAnsi="Times"/>
          <w:sz w:val="20"/>
          <w:szCs w:val="20"/>
          <w:lang w:eastAsia="fr-FR"/>
        </w:rPr>
      </w:pPr>
      <w:r>
        <w:rPr>
          <w:rStyle w:val="Appeldenotedefin"/>
        </w:rPr>
        <w:footnoteRef/>
      </w:r>
      <w:r>
        <w:t xml:space="preserve"> Un </w:t>
      </w:r>
      <w:hyperlink r:id="rId8" w:anchor="page=3&amp;zoom=140,-71,372" w:history="1">
        <w:r>
          <w:rPr>
            <w:rStyle w:val="Lienhypertexte"/>
          </w:rPr>
          <w:t>document de l’OMS</w:t>
        </w:r>
      </w:hyperlink>
      <w:r>
        <w:t>, intitulé « </w:t>
      </w:r>
      <w:r>
        <w:rPr>
          <w:rFonts w:ascii="Times" w:hAnsi="Times"/>
          <w:sz w:val="20"/>
          <w:szCs w:val="20"/>
          <w:lang w:eastAsia="fr-FR"/>
        </w:rPr>
        <w:t>LIGNES DIRECTRICES INTERNATIONALES POUR LA CERTIFICATION ET LA CLASSIFICATION (CODAGE) DES DÉCÈS DUS A LA COVID-19 »</w:t>
      </w:r>
      <w:r>
        <w:t>, précise que </w:t>
      </w:r>
      <w:proofErr w:type="gramStart"/>
      <w:r>
        <w:t>:«</w:t>
      </w:r>
      <w:proofErr w:type="gramEnd"/>
      <w:r>
        <w:t xml:space="preserve"> La COVID-19 doit être inscrite sur le certificat médical de décès pour TOUTES les personnes décédées lorsque cette maladie a causé ou </w:t>
      </w:r>
      <w:r>
        <w:rPr>
          <w:i/>
        </w:rPr>
        <w:t>contribué au décès</w:t>
      </w:r>
      <w:r>
        <w:t xml:space="preserve">, ou est </w:t>
      </w:r>
      <w:r>
        <w:rPr>
          <w:i/>
        </w:rPr>
        <w:t>soupçonnée</w:t>
      </w:r>
      <w:r>
        <w:t xml:space="preserve"> de l’avoir fait. »</w:t>
      </w:r>
    </w:p>
    <w:p w:rsidR="006B5973" w:rsidRDefault="006B5973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br w:type="page"/>
      </w:r>
    </w:p>
    <w:p w:rsidR="00C4157D" w:rsidRDefault="00C4157D">
      <w:pPr>
        <w:rPr>
          <w:rFonts w:ascii="Calibri" w:hAnsi="Calibri" w:cs="Calibri"/>
          <w:b/>
          <w:sz w:val="32"/>
          <w:szCs w:val="32"/>
          <w:u w:val="single"/>
        </w:rPr>
      </w:pPr>
      <w:r w:rsidRPr="00C4157D">
        <w:rPr>
          <w:rFonts w:ascii="Calibri" w:hAnsi="Calibri" w:cs="Calibri"/>
          <w:b/>
          <w:sz w:val="32"/>
          <w:szCs w:val="32"/>
          <w:u w:val="single"/>
        </w:rPr>
        <w:lastRenderedPageBreak/>
        <w:t>Détail des calculs (</w:t>
      </w:r>
      <w:proofErr w:type="spellStart"/>
      <w:r w:rsidRPr="00C4157D">
        <w:rPr>
          <w:rFonts w:ascii="Calibri" w:hAnsi="Calibri" w:cs="Calibri"/>
          <w:b/>
          <w:sz w:val="32"/>
          <w:szCs w:val="32"/>
          <w:u w:val="single"/>
        </w:rPr>
        <w:t>cf</w:t>
      </w:r>
      <w:proofErr w:type="spellEnd"/>
      <w:r w:rsidRPr="00C4157D">
        <w:rPr>
          <w:rFonts w:ascii="Calibri" w:hAnsi="Calibri" w:cs="Calibri"/>
          <w:b/>
          <w:sz w:val="32"/>
          <w:szCs w:val="32"/>
          <w:u w:val="single"/>
        </w:rPr>
        <w:t xml:space="preserve"> copie tableaux 4 à 7)</w:t>
      </w:r>
    </w:p>
    <w:p w:rsidR="00E772A0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81860" cy="183515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088" cy="183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A0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83739" cy="194945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463" cy="19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4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42803" cy="1936750"/>
            <wp:effectExtent l="0" t="0" r="571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56" cy="19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7D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29350" cy="692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14" w:rsidRDefault="00182164">
      <w:pPr>
        <w:rPr>
          <w:rFonts w:ascii="Calibri" w:hAnsi="Calibri" w:cs="Calibri"/>
          <w:b/>
          <w:sz w:val="32"/>
          <w:szCs w:val="32"/>
          <w:u w:val="single"/>
        </w:rPr>
      </w:pPr>
      <w:r w:rsidRPr="00182164">
        <w:rPr>
          <w:noProof/>
          <w:lang w:eastAsia="fr-FR"/>
        </w:rPr>
        <w:lastRenderedPageBreak/>
        <w:drawing>
          <wp:inline distT="0" distB="0" distL="0" distR="0">
            <wp:extent cx="6167120" cy="3651250"/>
            <wp:effectExtent l="0" t="0" r="508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44" cy="3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98" w:rsidRDefault="001F2898">
      <w:pPr>
        <w:rPr>
          <w:rFonts w:ascii="Calibri" w:hAnsi="Calibri" w:cs="Calibri"/>
          <w:b/>
          <w:sz w:val="32"/>
          <w:szCs w:val="32"/>
          <w:u w:val="single"/>
        </w:rPr>
      </w:pPr>
    </w:p>
    <w:p w:rsidR="00182164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38386" cy="18224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29" cy="18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4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drawing>
          <wp:inline distT="0" distB="0" distL="0" distR="0">
            <wp:extent cx="6209665" cy="1701650"/>
            <wp:effectExtent l="0" t="0" r="63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37" cy="170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98" w:rsidRDefault="001F2898">
      <w:pPr>
        <w:rPr>
          <w:rFonts w:ascii="Calibri" w:hAnsi="Calibri" w:cs="Calibri"/>
          <w:b/>
          <w:sz w:val="32"/>
          <w:szCs w:val="32"/>
          <w:u w:val="single"/>
        </w:rPr>
      </w:pPr>
      <w:r w:rsidRPr="001F2898">
        <w:lastRenderedPageBreak/>
        <w:drawing>
          <wp:inline distT="0" distB="0" distL="0" distR="0">
            <wp:extent cx="6210214" cy="1701800"/>
            <wp:effectExtent l="0" t="0" r="63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44" cy="17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4" w:rsidRDefault="00182164">
      <w:pPr>
        <w:rPr>
          <w:rFonts w:ascii="Calibri" w:hAnsi="Calibri" w:cs="Calibri"/>
          <w:b/>
          <w:sz w:val="32"/>
          <w:szCs w:val="32"/>
          <w:u w:val="single"/>
        </w:rPr>
      </w:pPr>
    </w:p>
    <w:p w:rsidR="00182164" w:rsidRDefault="00034482">
      <w:pPr>
        <w:rPr>
          <w:rFonts w:ascii="Calibri" w:hAnsi="Calibri" w:cs="Calibri"/>
          <w:b/>
          <w:sz w:val="32"/>
          <w:szCs w:val="32"/>
          <w:u w:val="single"/>
        </w:rPr>
      </w:pPr>
      <w:r w:rsidRPr="00034482">
        <w:drawing>
          <wp:inline distT="0" distB="0" distL="0" distR="0">
            <wp:extent cx="6172200" cy="685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14" w:rsidRDefault="00866214">
      <w:pPr>
        <w:rPr>
          <w:rFonts w:ascii="Calibri" w:hAnsi="Calibri" w:cs="Calibri"/>
          <w:b/>
          <w:sz w:val="32"/>
          <w:szCs w:val="32"/>
          <w:u w:val="single"/>
        </w:rPr>
      </w:pPr>
    </w:p>
    <w:p w:rsidR="00182164" w:rsidRDefault="00034482">
      <w:pPr>
        <w:rPr>
          <w:rFonts w:ascii="Calibri" w:hAnsi="Calibri" w:cs="Calibri"/>
          <w:b/>
          <w:sz w:val="32"/>
          <w:szCs w:val="32"/>
          <w:u w:val="single"/>
        </w:rPr>
      </w:pPr>
      <w:r w:rsidRPr="00034482">
        <w:drawing>
          <wp:inline distT="0" distB="0" distL="0" distR="0">
            <wp:extent cx="5760720" cy="3340642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4" w:rsidRDefault="00182164">
      <w:pPr>
        <w:rPr>
          <w:rFonts w:ascii="Calibri" w:hAnsi="Calibri" w:cs="Calibri"/>
          <w:b/>
          <w:sz w:val="32"/>
          <w:szCs w:val="32"/>
          <w:u w:val="single"/>
        </w:rPr>
      </w:pPr>
    </w:p>
    <w:p w:rsidR="00866214" w:rsidRDefault="00866214">
      <w:r w:rsidRPr="00866214">
        <w:lastRenderedPageBreak/>
        <w:t xml:space="preserve"> </w:t>
      </w:r>
      <w:r w:rsidR="00182164" w:rsidRPr="00182164">
        <w:rPr>
          <w:noProof/>
          <w:lang w:eastAsia="fr-FR"/>
        </w:rPr>
        <w:drawing>
          <wp:inline distT="0" distB="0" distL="0" distR="0">
            <wp:extent cx="6372225" cy="1803400"/>
            <wp:effectExtent l="0" t="0" r="9525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82" cy="18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7E" w:rsidRDefault="00F0697E">
      <w:r w:rsidRPr="00F0697E">
        <w:rPr>
          <w:noProof/>
          <w:lang w:eastAsia="fr-FR"/>
        </w:rPr>
        <w:drawing>
          <wp:inline distT="0" distB="0" distL="0" distR="0">
            <wp:extent cx="6441440" cy="18859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454" cy="18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7E" w:rsidRDefault="00F0697E">
      <w:r w:rsidRPr="00F0697E">
        <w:rPr>
          <w:noProof/>
          <w:lang w:eastAsia="fr-FR"/>
        </w:rPr>
        <w:drawing>
          <wp:inline distT="0" distB="0" distL="0" distR="0">
            <wp:extent cx="6418580" cy="1936750"/>
            <wp:effectExtent l="0" t="0" r="127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4" cy="19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7E" w:rsidRDefault="00F0697E">
      <w:r w:rsidRPr="00F0697E">
        <w:rPr>
          <w:noProof/>
          <w:lang w:eastAsia="fr-FR"/>
        </w:rPr>
        <w:lastRenderedPageBreak/>
        <w:drawing>
          <wp:inline distT="0" distB="0" distL="0" distR="0">
            <wp:extent cx="6523671" cy="40894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10" cy="40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7E" w:rsidRDefault="00F0697E"/>
    <w:p w:rsidR="00866214" w:rsidRDefault="00866214"/>
    <w:p w:rsidR="00866214" w:rsidRPr="00866214" w:rsidRDefault="00034482">
      <w:pPr>
        <w:rPr>
          <w:rFonts w:ascii="Calibri" w:hAnsi="Calibri" w:cs="Calibri"/>
          <w:b/>
          <w:sz w:val="32"/>
          <w:szCs w:val="32"/>
          <w:u w:val="single"/>
        </w:rPr>
      </w:pPr>
      <w:r w:rsidRPr="00034482">
        <w:drawing>
          <wp:inline distT="0" distB="0" distL="0" distR="0">
            <wp:extent cx="5760720" cy="198287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214">
        <w:rPr>
          <w:rFonts w:ascii="Calibri" w:hAnsi="Calibri" w:cs="Calibri"/>
          <w:b/>
          <w:u w:val="single"/>
        </w:rPr>
        <w:br w:type="page"/>
      </w:r>
    </w:p>
    <w:p w:rsidR="008039F6" w:rsidRPr="00690D72" w:rsidRDefault="008039F6" w:rsidP="00866214">
      <w:pPr>
        <w:jc w:val="center"/>
        <w:rPr>
          <w:rFonts w:ascii="Calibri" w:hAnsi="Calibri" w:cs="Calibri"/>
          <w:b/>
          <w:sz w:val="36"/>
          <w:szCs w:val="36"/>
        </w:rPr>
      </w:pPr>
      <w:r w:rsidRPr="00690D72">
        <w:rPr>
          <w:rFonts w:ascii="Calibri" w:hAnsi="Calibri" w:cs="Calibri"/>
          <w:b/>
          <w:sz w:val="36"/>
          <w:szCs w:val="36"/>
        </w:rPr>
        <w:lastRenderedPageBreak/>
        <w:t xml:space="preserve">Annexe: </w:t>
      </w:r>
      <w:r w:rsidR="00690D72">
        <w:rPr>
          <w:rFonts w:ascii="Calibri" w:hAnsi="Calibri" w:cs="Calibri"/>
          <w:b/>
          <w:sz w:val="36"/>
          <w:szCs w:val="36"/>
        </w:rPr>
        <w:t xml:space="preserve">sources et </w:t>
      </w:r>
      <w:r w:rsidRPr="00690D72">
        <w:rPr>
          <w:rFonts w:ascii="Calibri" w:hAnsi="Calibri" w:cs="Calibri"/>
          <w:b/>
          <w:sz w:val="36"/>
          <w:szCs w:val="36"/>
        </w:rPr>
        <w:t>méthodologie</w:t>
      </w:r>
    </w:p>
    <w:p w:rsidR="008039F6" w:rsidRDefault="00690D72" w:rsidP="00D72DDC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Le détail des calculs figure dans le fichier EXCEL</w:t>
      </w:r>
      <w:r w:rsidR="00866214">
        <w:rPr>
          <w:rFonts w:ascii="Calibri" w:hAnsi="Calibri" w:cs="Calibri"/>
          <w:b/>
        </w:rPr>
        <w:t xml:space="preserve"> joint</w:t>
      </w:r>
      <w:r>
        <w:rPr>
          <w:rFonts w:ascii="Calibri" w:hAnsi="Calibri" w:cs="Calibri"/>
          <w:b/>
        </w:rPr>
        <w:t xml:space="preserve"> dont la structure est la suivante </w:t>
      </w:r>
    </w:p>
    <w:p w:rsidR="00D72DDC" w:rsidRPr="00873ED8" w:rsidRDefault="00D72DDC" w:rsidP="00D72DDC">
      <w:pPr>
        <w:jc w:val="both"/>
        <w:rPr>
          <w:rFonts w:ascii="Calibri" w:hAnsi="Calibri" w:cs="Calibri"/>
          <w:b/>
        </w:rPr>
      </w:pPr>
      <w:r w:rsidRPr="00690D72">
        <w:rPr>
          <w:rFonts w:ascii="Calibri" w:hAnsi="Calibri" w:cs="Calibri"/>
          <w:b/>
        </w:rPr>
        <w:t>O</w:t>
      </w:r>
      <w:r w:rsidR="008039F6" w:rsidRPr="00690D72">
        <w:rPr>
          <w:rFonts w:ascii="Calibri" w:hAnsi="Calibri" w:cs="Calibri"/>
          <w:b/>
        </w:rPr>
        <w:t xml:space="preserve">nglet 1 </w:t>
      </w:r>
      <w:r w:rsidR="00103BDC" w:rsidRPr="00690D72">
        <w:rPr>
          <w:rFonts w:ascii="Calibri" w:hAnsi="Calibri" w:cs="Calibri"/>
          <w:b/>
        </w:rPr>
        <w:t>Populations par âges au 1</w:t>
      </w:r>
      <w:r w:rsidR="00103BDC" w:rsidRPr="00690D72">
        <w:rPr>
          <w:rFonts w:ascii="Calibri" w:hAnsi="Calibri" w:cs="Calibri"/>
          <w:b/>
          <w:vertAlign w:val="superscript"/>
        </w:rPr>
        <w:t>er</w:t>
      </w:r>
      <w:r w:rsidR="00103BDC" w:rsidRPr="00690D72">
        <w:rPr>
          <w:rFonts w:ascii="Calibri" w:hAnsi="Calibri" w:cs="Calibri"/>
          <w:b/>
        </w:rPr>
        <w:t xml:space="preserve"> Janvier 1991-2020 mis à jour janvier 2020 </w:t>
      </w:r>
      <w:r w:rsidR="00873ED8">
        <w:rPr>
          <w:rFonts w:ascii="Calibri" w:hAnsi="Calibri" w:cs="Calibri"/>
          <w:b/>
        </w:rPr>
        <w:t xml:space="preserve"> </w:t>
      </w:r>
      <w:r w:rsidR="00103BDC" w:rsidRPr="00D72DDC">
        <w:rPr>
          <w:rFonts w:ascii="Calibri" w:eastAsia="Times New Roman" w:hAnsi="Calibri" w:cs="Calibri"/>
          <w:i/>
          <w:iCs/>
          <w:lang w:eastAsia="fr-FR"/>
        </w:rPr>
        <w:t>Source : Insee, e</w:t>
      </w:r>
      <w:r w:rsidR="00D35B20">
        <w:rPr>
          <w:rFonts w:ascii="Calibri" w:eastAsia="Times New Roman" w:hAnsi="Calibri" w:cs="Calibri"/>
          <w:i/>
          <w:iCs/>
          <w:lang w:eastAsia="fr-FR"/>
        </w:rPr>
        <w:t>stimations de population</w:t>
      </w:r>
      <w:r w:rsidR="00103BDC" w:rsidRPr="00103BDC">
        <w:rPr>
          <w:rFonts w:ascii="Calibri" w:eastAsia="Times New Roman" w:hAnsi="Calibri" w:cs="Calibri"/>
          <w:lang w:eastAsia="fr-FR"/>
        </w:rPr>
        <w:t xml:space="preserve">. </w:t>
      </w:r>
      <w:r w:rsidR="00103BDC" w:rsidRPr="00D72DDC">
        <w:rPr>
          <w:rFonts w:ascii="Calibri" w:eastAsia="Times New Roman" w:hAnsi="Calibri" w:cs="Calibri"/>
          <w:lang w:eastAsia="fr-FR"/>
        </w:rPr>
        <w:t>Les estimations de population sont provisoires pour 2018, 2019 et 2020</w:t>
      </w:r>
    </w:p>
    <w:p w:rsidR="00690D72" w:rsidRDefault="008039F6" w:rsidP="00D72DDC">
      <w:r w:rsidRPr="00690D72">
        <w:rPr>
          <w:b/>
        </w:rPr>
        <w:t>Onglet 2</w:t>
      </w:r>
      <w:r w:rsidR="00103BDC" w:rsidRPr="00690D72">
        <w:rPr>
          <w:b/>
        </w:rPr>
        <w:t xml:space="preserve"> : </w:t>
      </w:r>
      <w:r w:rsidR="00D72DDC" w:rsidRPr="00690D72">
        <w:rPr>
          <w:rFonts w:ascii="Calibri" w:eastAsia="Times New Roman" w:hAnsi="Calibri" w:cs="Calibri"/>
          <w:b/>
          <w:iCs/>
          <w:lang w:eastAsia="fr-FR"/>
        </w:rPr>
        <w:t xml:space="preserve">Décès annuels en France </w:t>
      </w:r>
      <w:r w:rsidR="00D72DDC" w:rsidRPr="00690D72">
        <w:t>:</w:t>
      </w:r>
      <w:r w:rsidR="00D72DDC" w:rsidRPr="00103BDC">
        <w:t xml:space="preserve"> </w:t>
      </w:r>
    </w:p>
    <w:p w:rsidR="00D72DDC" w:rsidRPr="00103BDC" w:rsidRDefault="007059D8" w:rsidP="00D72DDC">
      <w:pPr>
        <w:rPr>
          <w:b/>
          <w:i/>
        </w:rPr>
      </w:pPr>
      <w:hyperlink r:id="rId24" w:history="1">
        <w:r w:rsidR="00D72DDC" w:rsidRPr="00103BDC">
          <w:rPr>
            <w:rStyle w:val="Lienhypertexte"/>
          </w:rPr>
          <w:t>https://www.data.gouv.fr/fr/datasets/fichier-des-personnes-decedees/</w:t>
        </w:r>
      </w:hyperlink>
      <w:r w:rsidR="008039F6">
        <w:rPr>
          <w:rStyle w:val="Lienhypertexte"/>
        </w:rPr>
        <w:t xml:space="preserve"> </w:t>
      </w:r>
    </w:p>
    <w:p w:rsidR="00D72DDC" w:rsidRPr="00103BDC" w:rsidRDefault="00D72DDC" w:rsidP="00D72DDC">
      <w:r w:rsidRPr="00103BDC">
        <w:t xml:space="preserve">Extraction </w:t>
      </w:r>
      <w:r w:rsidR="00690D72">
        <w:t>(</w:t>
      </w:r>
      <w:r w:rsidRPr="00103BDC">
        <w:t xml:space="preserve">par Catherine </w:t>
      </w:r>
      <w:proofErr w:type="spellStart"/>
      <w:r w:rsidRPr="00103BDC">
        <w:t>Teilhet</w:t>
      </w:r>
      <w:proofErr w:type="spellEnd"/>
      <w:r w:rsidR="00690D72">
        <w:t>)</w:t>
      </w:r>
      <w:r w:rsidRPr="00103BDC">
        <w:t xml:space="preserve"> des données par sexe et par tranche d’âge </w:t>
      </w:r>
      <w:r w:rsidR="008039F6">
        <w:t>Les chiffres viennent de l’INSEE, ils représente</w:t>
      </w:r>
      <w:r w:rsidRPr="00103BDC">
        <w:t xml:space="preserve">nt l'ensemble des décès de la population française, toutes causes confondues, par année civile, calendaire. Ils sont traités via une base de données relationnelle (Oracle 12c) (SGBD-R) et de simples requêtes ensemblistes. </w:t>
      </w:r>
      <w:r w:rsidR="00297DDA">
        <w:t xml:space="preserve">Ils </w:t>
      </w:r>
      <w:r w:rsidR="00034482">
        <w:t>ont été mis à jour au 12 mars</w:t>
      </w:r>
      <w:r w:rsidR="00297DDA">
        <w:t xml:space="preserve"> 2021. </w:t>
      </w:r>
    </w:p>
    <w:p w:rsidR="008039F6" w:rsidRPr="00690D72" w:rsidRDefault="008039F6" w:rsidP="00D72DDC">
      <w:pPr>
        <w:jc w:val="both"/>
        <w:rPr>
          <w:b/>
        </w:rPr>
      </w:pPr>
      <w:r w:rsidRPr="00690D72">
        <w:rPr>
          <w:b/>
        </w:rPr>
        <w:t>Onglet 3</w:t>
      </w:r>
      <w:r w:rsidR="007F7983" w:rsidRPr="00690D72">
        <w:rPr>
          <w:b/>
        </w:rPr>
        <w:t xml:space="preserve"> : </w:t>
      </w:r>
      <w:r w:rsidRPr="00690D72">
        <w:rPr>
          <w:b/>
        </w:rPr>
        <w:t xml:space="preserve">Décès par âge et sexe </w:t>
      </w:r>
    </w:p>
    <w:p w:rsidR="007F7983" w:rsidRPr="00690D72" w:rsidRDefault="007F7983" w:rsidP="00D72DDC">
      <w:pPr>
        <w:jc w:val="both"/>
      </w:pPr>
      <w:r>
        <w:t>Les</w:t>
      </w:r>
      <w:r w:rsidRPr="00103BDC">
        <w:t xml:space="preserve"> deux onglets</w:t>
      </w:r>
      <w:r>
        <w:t xml:space="preserve"> précédents</w:t>
      </w:r>
      <w:r w:rsidRPr="00103BDC">
        <w:t xml:space="preserve"> ont été traités sous EXCEL dans un fichier les intégrant </w:t>
      </w:r>
      <w:proofErr w:type="gramStart"/>
      <w:r w:rsidRPr="00103BDC">
        <w:t>tels quels et les exploitant</w:t>
      </w:r>
      <w:proofErr w:type="gramEnd"/>
      <w:r w:rsidRPr="00103BDC">
        <w:t xml:space="preserve">. </w:t>
      </w:r>
      <w:r w:rsidR="00690D72">
        <w:t xml:space="preserve"> Cet </w:t>
      </w:r>
      <w:r w:rsidRPr="00690D72">
        <w:t>onglet de travail est dénommé : « </w:t>
      </w:r>
      <w:proofErr w:type="spellStart"/>
      <w:r w:rsidRPr="00690D72">
        <w:t>Decès</w:t>
      </w:r>
      <w:proofErr w:type="spellEnd"/>
      <w:r w:rsidRPr="00690D72">
        <w:t xml:space="preserve"> par âge et sexe »</w:t>
      </w:r>
      <w:r w:rsidRPr="00103BDC">
        <w:rPr>
          <w:b/>
        </w:rPr>
        <w:t>.</w:t>
      </w:r>
      <w:r w:rsidRPr="00103BDC">
        <w:t xml:space="preserve"> Les contrôles de cohérence avec les statistiques globales y figurent.  </w:t>
      </w:r>
      <w:r w:rsidR="00690D72">
        <w:t>Les données utilisées pour c</w:t>
      </w:r>
      <w:r w:rsidRPr="00690D72">
        <w:t xml:space="preserve">es travaux figurent dans </w:t>
      </w:r>
      <w:proofErr w:type="gramStart"/>
      <w:r w:rsidRPr="00690D72">
        <w:t>les tableaux</w:t>
      </w:r>
      <w:proofErr w:type="gramEnd"/>
      <w:r w:rsidRPr="00690D72">
        <w:t xml:space="preserve"> 1, 2 et 3.  Les analyses son</w:t>
      </w:r>
      <w:r w:rsidR="00690D72">
        <w:t xml:space="preserve">t menées dans les tableaux 4, </w:t>
      </w:r>
      <w:r w:rsidRPr="00690D72">
        <w:t>5</w:t>
      </w:r>
      <w:r w:rsidR="00690D72">
        <w:t xml:space="preserve"> et 6</w:t>
      </w:r>
      <w:r w:rsidRPr="00690D72">
        <w:t xml:space="preserve">. </w:t>
      </w:r>
    </w:p>
    <w:p w:rsidR="008039F6" w:rsidRPr="00103BDC" w:rsidRDefault="008039F6" w:rsidP="008039F6">
      <w:pPr>
        <w:jc w:val="both"/>
      </w:pPr>
      <w:r w:rsidRPr="00690D72">
        <w:rPr>
          <w:b/>
          <w:i/>
        </w:rPr>
        <w:t>Tableau 1</w:t>
      </w:r>
      <w:r w:rsidRPr="00103BDC">
        <w:rPr>
          <w:b/>
        </w:rPr>
        <w:t> </w:t>
      </w:r>
      <w:r w:rsidRPr="00103BDC">
        <w:t xml:space="preserve">: Il s’agit de l’intégration des décès par </w:t>
      </w:r>
      <w:r w:rsidR="007F7983">
        <w:t xml:space="preserve">âge et </w:t>
      </w:r>
      <w:r w:rsidRPr="00103BDC">
        <w:t>sexe correspondant à l’extraction des bases de données (</w:t>
      </w:r>
      <w:proofErr w:type="spellStart"/>
      <w:r w:rsidRPr="00103BDC">
        <w:t>cf</w:t>
      </w:r>
      <w:proofErr w:type="spellEnd"/>
      <w:r w:rsidRPr="00103BDC">
        <w:t xml:space="preserve"> onglet 2)</w:t>
      </w:r>
    </w:p>
    <w:p w:rsidR="008039F6" w:rsidRPr="00103BDC" w:rsidRDefault="008039F6" w:rsidP="008039F6">
      <w:pPr>
        <w:jc w:val="both"/>
      </w:pPr>
      <w:r w:rsidRPr="00690D72">
        <w:rPr>
          <w:b/>
          <w:i/>
        </w:rPr>
        <w:t>Tableau 2</w:t>
      </w:r>
      <w:r w:rsidRPr="00103BDC">
        <w:t> : Pour faciliter les calculs les décès par année, qui étaient classés en lignes dans le fichier de l’extraction</w:t>
      </w:r>
      <w:r>
        <w:t>,</w:t>
      </w:r>
      <w:r w:rsidRPr="00103BDC">
        <w:t xml:space="preserve"> ont été reclassés en colonnes. </w:t>
      </w:r>
    </w:p>
    <w:p w:rsidR="008039F6" w:rsidRPr="00103BDC" w:rsidRDefault="008039F6" w:rsidP="008039F6">
      <w:pPr>
        <w:jc w:val="both"/>
      </w:pPr>
      <w:r w:rsidRPr="00690D72">
        <w:rPr>
          <w:b/>
          <w:i/>
        </w:rPr>
        <w:t>Tableau</w:t>
      </w:r>
      <w:r w:rsidRPr="00103BDC">
        <w:rPr>
          <w:b/>
        </w:rPr>
        <w:t xml:space="preserve"> 3</w:t>
      </w:r>
      <w:r w:rsidRPr="00103BDC">
        <w:t> : La population au 1</w:t>
      </w:r>
      <w:r w:rsidRPr="00103BDC">
        <w:rPr>
          <w:vertAlign w:val="superscript"/>
        </w:rPr>
        <w:t>er</w:t>
      </w:r>
      <w:r w:rsidRPr="00103BDC">
        <w:t xml:space="preserve"> janvier a été regroupée par sexe et par tranche d’âge selon le même découpage que l’extraction du fichier des décès, pour l’ensemble de la séquence 2010-2020</w:t>
      </w:r>
    </w:p>
    <w:p w:rsidR="008039F6" w:rsidRPr="00103BDC" w:rsidRDefault="008039F6" w:rsidP="008039F6">
      <w:pPr>
        <w:jc w:val="both"/>
      </w:pPr>
      <w:r w:rsidRPr="00690D72">
        <w:rPr>
          <w:b/>
          <w:i/>
        </w:rPr>
        <w:t>Tableau 4</w:t>
      </w:r>
      <w:r w:rsidRPr="00103BDC">
        <w:t> : Les taux de mortalité annuels ont été calculés en divisant le nombre de décès par la population au 1</w:t>
      </w:r>
      <w:r w:rsidRPr="00103BDC">
        <w:rPr>
          <w:vertAlign w:val="superscript"/>
        </w:rPr>
        <w:t>er</w:t>
      </w:r>
      <w:r w:rsidRPr="00103BDC">
        <w:t xml:space="preserve"> janvier pour chaque catégorie. </w:t>
      </w:r>
    </w:p>
    <w:p w:rsidR="008039F6" w:rsidRDefault="008039F6" w:rsidP="008039F6">
      <w:pPr>
        <w:jc w:val="both"/>
      </w:pPr>
      <w:r w:rsidRPr="00690D72">
        <w:rPr>
          <w:b/>
          <w:i/>
        </w:rPr>
        <w:t>Tableau 5</w:t>
      </w:r>
      <w:r w:rsidRPr="00103BDC">
        <w:t> : Une simulation de la mortalité 2020</w:t>
      </w:r>
      <w:r>
        <w:t>,</w:t>
      </w:r>
      <w:r w:rsidR="00690D72">
        <w:t xml:space="preserve"> appliquée à </w:t>
      </w:r>
      <w:r w:rsidRPr="00103BDC">
        <w:t>la population au 1</w:t>
      </w:r>
      <w:r w:rsidRPr="00103BDC">
        <w:rPr>
          <w:vertAlign w:val="superscript"/>
        </w:rPr>
        <w:t>er</w:t>
      </w:r>
      <w:r w:rsidRPr="00103BDC">
        <w:t xml:space="preserve"> janvier 2020</w:t>
      </w:r>
      <w:r>
        <w:t>,</w:t>
      </w:r>
      <w:r w:rsidRPr="00103BDC">
        <w:t xml:space="preserve"> a été effectuée en lui appliquant successivement les taux de mortalité par âge et sexe de chacune des dix années précédentes. </w:t>
      </w:r>
    </w:p>
    <w:p w:rsidR="00690D72" w:rsidRPr="00866214" w:rsidRDefault="00E20D14" w:rsidP="008039F6">
      <w:pPr>
        <w:jc w:val="both"/>
      </w:pPr>
      <w:r w:rsidRPr="00690D72">
        <w:rPr>
          <w:b/>
          <w:i/>
        </w:rPr>
        <w:t>Tableau 6</w:t>
      </w:r>
      <w:r w:rsidRPr="00690D72">
        <w:rPr>
          <w:b/>
        </w:rPr>
        <w:t xml:space="preserve"> : </w:t>
      </w:r>
      <w:r w:rsidR="00690D72" w:rsidRPr="00690D72">
        <w:t>Une analyse de la structure de la population par âge, mettant en évidence le vieillissement et sa récente accélération</w:t>
      </w:r>
    </w:p>
    <w:p w:rsidR="008039F6" w:rsidRPr="00690D72" w:rsidRDefault="007F7983" w:rsidP="00D72DDC">
      <w:pPr>
        <w:jc w:val="both"/>
        <w:rPr>
          <w:b/>
        </w:rPr>
      </w:pPr>
      <w:r w:rsidRPr="00690D72">
        <w:rPr>
          <w:b/>
        </w:rPr>
        <w:t>Onglet 4</w:t>
      </w:r>
      <w:r w:rsidR="00226030">
        <w:rPr>
          <w:b/>
        </w:rPr>
        <w:t xml:space="preserve"> : </w:t>
      </w:r>
      <w:r w:rsidR="00E20D14" w:rsidRPr="00690D72">
        <w:rPr>
          <w:b/>
        </w:rPr>
        <w:t>Synthèse et graphiques</w:t>
      </w:r>
    </w:p>
    <w:p w:rsidR="007F7983" w:rsidRPr="00866214" w:rsidRDefault="00E20D14" w:rsidP="00424950">
      <w:pPr>
        <w:jc w:val="both"/>
      </w:pPr>
      <w:r w:rsidRPr="00690D72">
        <w:t xml:space="preserve">Les  tableaux 4 5 et 6  </w:t>
      </w:r>
      <w:r w:rsidR="00D35B20">
        <w:t xml:space="preserve">qui figuraient </w:t>
      </w:r>
      <w:r w:rsidRPr="00690D72">
        <w:t xml:space="preserve">de l’onglet 3 sont  scindés : ensemble, femmes, hommes afin de pouvoir établir des graphiques lisibles  </w:t>
      </w:r>
    </w:p>
    <w:p w:rsidR="007F7983" w:rsidRPr="00873ED8" w:rsidRDefault="00EB3639" w:rsidP="00424950">
      <w:pPr>
        <w:jc w:val="both"/>
        <w:rPr>
          <w:b/>
        </w:rPr>
      </w:pPr>
      <w:r w:rsidRPr="00873ED8">
        <w:rPr>
          <w:b/>
        </w:rPr>
        <w:t>Onglet 5</w:t>
      </w:r>
      <w:r w:rsidR="00226030" w:rsidRPr="00873ED8">
        <w:rPr>
          <w:b/>
        </w:rPr>
        <w:t xml:space="preserve"> : </w:t>
      </w:r>
      <w:r w:rsidRPr="00873ED8">
        <w:rPr>
          <w:b/>
        </w:rPr>
        <w:t>Zoom sur la période 2017-2020</w:t>
      </w:r>
    </w:p>
    <w:p w:rsidR="00226030" w:rsidRPr="00873ED8" w:rsidRDefault="00226030" w:rsidP="00424950">
      <w:pPr>
        <w:jc w:val="both"/>
      </w:pPr>
      <w:r w:rsidRPr="00873ED8">
        <w:t xml:space="preserve">A partir des données de population au 1/01/2020 et des taux de mortalité de 2017 à 2019 nous avons calculé une estimation de la mortalité dite « naturelle » </w:t>
      </w:r>
      <w:proofErr w:type="spellStart"/>
      <w:r w:rsidRPr="00873ED8">
        <w:t>cad</w:t>
      </w:r>
      <w:proofErr w:type="spellEnd"/>
      <w:r w:rsidRPr="00873ED8">
        <w:t xml:space="preserve"> sans anomalie en 2020. Cette estimation corre</w:t>
      </w:r>
      <w:r w:rsidR="00B715C4">
        <w:t>s</w:t>
      </w:r>
      <w:r w:rsidRPr="00873ED8">
        <w:t>pond aux taux de mortalité moyens par âge observés entre 2017 et 2019 appliqués à l’effectif de la population 2020</w:t>
      </w:r>
    </w:p>
    <w:sectPr w:rsidR="00226030" w:rsidRPr="00873ED8" w:rsidSect="00803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D8" w:rsidRDefault="007059D8" w:rsidP="009F4CE1">
      <w:pPr>
        <w:spacing w:after="0" w:line="240" w:lineRule="auto"/>
      </w:pPr>
      <w:r>
        <w:separator/>
      </w:r>
    </w:p>
  </w:endnote>
  <w:endnote w:type="continuationSeparator" w:id="0">
    <w:p w:rsidR="007059D8" w:rsidRDefault="007059D8" w:rsidP="009F4CE1">
      <w:pPr>
        <w:spacing w:after="0" w:line="240" w:lineRule="auto"/>
      </w:pPr>
      <w:r>
        <w:continuationSeparator/>
      </w:r>
    </w:p>
  </w:endnote>
  <w:endnote w:id="1">
    <w:p w:rsidR="006B5973" w:rsidRDefault="006B5973" w:rsidP="006B5973">
      <w:pPr>
        <w:rPr>
          <w:rFonts w:ascii="Times" w:hAnsi="Times"/>
          <w:sz w:val="20"/>
          <w:szCs w:val="20"/>
          <w:lang w:eastAsia="fr-F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D8" w:rsidRDefault="007059D8" w:rsidP="009F4CE1">
      <w:pPr>
        <w:spacing w:after="0" w:line="240" w:lineRule="auto"/>
      </w:pPr>
      <w:r>
        <w:separator/>
      </w:r>
    </w:p>
  </w:footnote>
  <w:footnote w:type="continuationSeparator" w:id="0">
    <w:p w:rsidR="007059D8" w:rsidRDefault="007059D8" w:rsidP="009F4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924"/>
    <w:multiLevelType w:val="hybridMultilevel"/>
    <w:tmpl w:val="C3B4536E"/>
    <w:lvl w:ilvl="0" w:tplc="8F50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4382"/>
    <w:multiLevelType w:val="hybridMultilevel"/>
    <w:tmpl w:val="BA943CB4"/>
    <w:lvl w:ilvl="0" w:tplc="A9721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544"/>
    <w:multiLevelType w:val="hybridMultilevel"/>
    <w:tmpl w:val="7BD06806"/>
    <w:lvl w:ilvl="0" w:tplc="F3C2E59A">
      <w:numFmt w:val="bullet"/>
      <w:pStyle w:val="DialogueRoman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3DF6"/>
    <w:multiLevelType w:val="multilevel"/>
    <w:tmpl w:val="7528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-%2"/>
      <w:lvlJc w:val="left"/>
      <w:pPr>
        <w:ind w:left="1800" w:hanging="360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ind w:left="5040" w:hanging="720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ind w:left="8280" w:hanging="1080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11520" w:hanging="1440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  <w:b/>
        <w:i/>
      </w:rPr>
    </w:lvl>
  </w:abstractNum>
  <w:abstractNum w:abstractNumId="4" w15:restartNumberingAfterBreak="0">
    <w:nsid w:val="2E25062C"/>
    <w:multiLevelType w:val="hybridMultilevel"/>
    <w:tmpl w:val="5F3600F0"/>
    <w:lvl w:ilvl="0" w:tplc="BDBA2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35A5"/>
    <w:multiLevelType w:val="hybridMultilevel"/>
    <w:tmpl w:val="88F0D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76D"/>
    <w:multiLevelType w:val="multilevel"/>
    <w:tmpl w:val="5CAED354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70" w:hanging="720"/>
      </w:pPr>
      <w:rPr>
        <w:rFonts w:hint="default"/>
        <w:b/>
        <w:i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1586F26"/>
    <w:multiLevelType w:val="hybridMultilevel"/>
    <w:tmpl w:val="E08ACA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91FD1"/>
    <w:multiLevelType w:val="multilevel"/>
    <w:tmpl w:val="A132A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8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DC"/>
    <w:rsid w:val="00034482"/>
    <w:rsid w:val="00103BDC"/>
    <w:rsid w:val="00134CA7"/>
    <w:rsid w:val="001433EC"/>
    <w:rsid w:val="00182164"/>
    <w:rsid w:val="001F2898"/>
    <w:rsid w:val="00226030"/>
    <w:rsid w:val="0022779E"/>
    <w:rsid w:val="0024776F"/>
    <w:rsid w:val="00297DDA"/>
    <w:rsid w:val="003C0015"/>
    <w:rsid w:val="00424950"/>
    <w:rsid w:val="004A6528"/>
    <w:rsid w:val="0058416C"/>
    <w:rsid w:val="00630392"/>
    <w:rsid w:val="00690D72"/>
    <w:rsid w:val="006B5973"/>
    <w:rsid w:val="006F2B22"/>
    <w:rsid w:val="007059D8"/>
    <w:rsid w:val="007C5BC1"/>
    <w:rsid w:val="007F7983"/>
    <w:rsid w:val="00802C33"/>
    <w:rsid w:val="008039F6"/>
    <w:rsid w:val="00817E7B"/>
    <w:rsid w:val="00832AE0"/>
    <w:rsid w:val="00866214"/>
    <w:rsid w:val="00873ED8"/>
    <w:rsid w:val="008C4E5F"/>
    <w:rsid w:val="008F5409"/>
    <w:rsid w:val="009B0527"/>
    <w:rsid w:val="009B7388"/>
    <w:rsid w:val="009F41CB"/>
    <w:rsid w:val="009F4CE1"/>
    <w:rsid w:val="00A07F01"/>
    <w:rsid w:val="00AD707B"/>
    <w:rsid w:val="00B04570"/>
    <w:rsid w:val="00B55D7D"/>
    <w:rsid w:val="00B715C4"/>
    <w:rsid w:val="00BB5054"/>
    <w:rsid w:val="00C33583"/>
    <w:rsid w:val="00C4157D"/>
    <w:rsid w:val="00CC233C"/>
    <w:rsid w:val="00CF0153"/>
    <w:rsid w:val="00D05878"/>
    <w:rsid w:val="00D35B20"/>
    <w:rsid w:val="00D621A7"/>
    <w:rsid w:val="00D72DDC"/>
    <w:rsid w:val="00DD0A35"/>
    <w:rsid w:val="00E20D14"/>
    <w:rsid w:val="00E772A0"/>
    <w:rsid w:val="00E82EA4"/>
    <w:rsid w:val="00EA329F"/>
    <w:rsid w:val="00EB3639"/>
    <w:rsid w:val="00ED178C"/>
    <w:rsid w:val="00EE2F5D"/>
    <w:rsid w:val="00F0697E"/>
    <w:rsid w:val="00FA2B96"/>
    <w:rsid w:val="00F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5F564-8690-4100-9908-574A833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DD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72DD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BC1"/>
    <w:rPr>
      <w:rFonts w:ascii="Tahoma" w:hAnsi="Tahoma" w:cs="Tahoma"/>
      <w:sz w:val="16"/>
      <w:szCs w:val="16"/>
    </w:rPr>
  </w:style>
  <w:style w:type="paragraph" w:customStyle="1" w:styleId="DialogueRoman">
    <w:name w:val="DialogueRoman"/>
    <w:basedOn w:val="Normal"/>
    <w:qFormat/>
    <w:rsid w:val="009F4CE1"/>
    <w:pPr>
      <w:numPr>
        <w:numId w:val="9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styleId="Appeldenotedefin">
    <w:name w:val="endnote reference"/>
    <w:basedOn w:val="Policepardfaut"/>
    <w:uiPriority w:val="99"/>
    <w:semiHidden/>
    <w:unhideWhenUsed/>
    <w:rsid w:val="009F4C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classifications/icd/Guidelines_Cause_of_Death_COVID-19-20200423_FR.pdf?ua=1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chart" Target="charts/chart1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s://www.data.gouv.fr/fr/datasets/fichier-des-personnes-decede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tilisateur\Documents\Documents%20actifs\RESISTANCE\groupe%20travail\mise%20&#224;%20jour%20analyse%20mortalit&#233;au%2021%20mars%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</a:t>
            </a:r>
            <a:r>
              <a:rPr lang="fr-FR" baseline="0"/>
              <a:t> de mortalité globale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'synthèse et graphiques 2010-20 '!$B$56</c:f>
              <c:strCache>
                <c:ptCount val="1"/>
                <c:pt idx="0">
                  <c:v>Ensemble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'synthèse et graphiques 2010-20 '!$C$55:$M$55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'synthèse et graphiques 2010-20 '!$C$56:$M$56</c:f>
              <c:numCache>
                <c:formatCode>0.000%</c:formatCode>
                <c:ptCount val="11"/>
                <c:pt idx="0">
                  <c:v>8.63080999921703E-3</c:v>
                </c:pt>
                <c:pt idx="1">
                  <c:v>8.4554327972969235E-3</c:v>
                </c:pt>
                <c:pt idx="2">
                  <c:v>8.8662323268804775E-3</c:v>
                </c:pt>
                <c:pt idx="3">
                  <c:v>8.8103126624920255E-3</c:v>
                </c:pt>
                <c:pt idx="4">
                  <c:v>8.5836610685602176E-3</c:v>
                </c:pt>
                <c:pt idx="5">
                  <c:v>9.0625658615610932E-3</c:v>
                </c:pt>
                <c:pt idx="6">
                  <c:v>9.0436648574542342E-3</c:v>
                </c:pt>
                <c:pt idx="7">
                  <c:v>9.2191055858733585E-3</c:v>
                </c:pt>
                <c:pt idx="8">
                  <c:v>9.2491359748743795E-3</c:v>
                </c:pt>
                <c:pt idx="9">
                  <c:v>9.2801928426837817E-3</c:v>
                </c:pt>
                <c:pt idx="10">
                  <c:v>1.0071722403995497E-2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'synthèse et graphiques 2010-20 '!$B$57</c:f>
              <c:strCache>
                <c:ptCount val="1"/>
                <c:pt idx="0">
                  <c:v>Femmes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'synthèse et graphiques 2010-20 '!$C$55:$M$55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'synthèse et graphiques 2010-20 '!$C$57:$M$57</c:f>
              <c:numCache>
                <c:formatCode>0.000%</c:formatCode>
                <c:ptCount val="11"/>
                <c:pt idx="0">
                  <c:v>8.1732719370690189E-3</c:v>
                </c:pt>
                <c:pt idx="1">
                  <c:v>8.0151513581735445E-3</c:v>
                </c:pt>
                <c:pt idx="2">
                  <c:v>8.4994972389968535E-3</c:v>
                </c:pt>
                <c:pt idx="3">
                  <c:v>8.4353044430249147E-3</c:v>
                </c:pt>
                <c:pt idx="4">
                  <c:v>8.2174027862741608E-3</c:v>
                </c:pt>
                <c:pt idx="5">
                  <c:v>8.7574710015786723E-3</c:v>
                </c:pt>
                <c:pt idx="6">
                  <c:v>8.7352532796657143E-3</c:v>
                </c:pt>
                <c:pt idx="7">
                  <c:v>8.962787083019624E-3</c:v>
                </c:pt>
                <c:pt idx="8">
                  <c:v>8.9558232071463174E-3</c:v>
                </c:pt>
                <c:pt idx="9">
                  <c:v>9.0018264169135186E-3</c:v>
                </c:pt>
                <c:pt idx="10">
                  <c:v>9.7018956962630579E-3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'synthèse et graphiques 2010-20 '!$B$58</c:f>
              <c:strCache>
                <c:ptCount val="1"/>
                <c:pt idx="0">
                  <c:v>Hommes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'synthèse et graphiques 2010-20 '!$C$55:$M$55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'synthèse et graphiques 2010-20 '!$C$58:$M$58</c:f>
              <c:numCache>
                <c:formatCode>0.000%</c:formatCode>
                <c:ptCount val="11"/>
                <c:pt idx="0">
                  <c:v>9.1183909017564582E-3</c:v>
                </c:pt>
                <c:pt idx="1">
                  <c:v>8.924442089978368E-3</c:v>
                </c:pt>
                <c:pt idx="2">
                  <c:v>9.2569429842414581E-3</c:v>
                </c:pt>
                <c:pt idx="3">
                  <c:v>9.2095760015808315E-3</c:v>
                </c:pt>
                <c:pt idx="4">
                  <c:v>8.9736436976161609E-3</c:v>
                </c:pt>
                <c:pt idx="5">
                  <c:v>9.3876655033216273E-3</c:v>
                </c:pt>
                <c:pt idx="6">
                  <c:v>9.3725778648999607E-3</c:v>
                </c:pt>
                <c:pt idx="7">
                  <c:v>9.4927247698411571E-3</c:v>
                </c:pt>
                <c:pt idx="8">
                  <c:v>9.5624825686246896E-3</c:v>
                </c:pt>
                <c:pt idx="9">
                  <c:v>9.5778112633421869E-3</c:v>
                </c:pt>
                <c:pt idx="10">
                  <c:v>1.0467454589178891E-2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164808"/>
        <c:axId val="615161280"/>
      </c:lineChart>
      <c:catAx>
        <c:axId val="615164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161280"/>
        <c:crosses val="autoZero"/>
        <c:auto val="1"/>
        <c:lblAlgn val="ctr"/>
        <c:lblOffset val="100"/>
        <c:noMultiLvlLbl val="0"/>
      </c:catAx>
      <c:valAx>
        <c:axId val="61516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164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Beudin</dc:creator>
  <cp:lastModifiedBy>Dominique Beudin</cp:lastModifiedBy>
  <cp:revision>4</cp:revision>
  <dcterms:created xsi:type="dcterms:W3CDTF">2021-03-21T21:16:00Z</dcterms:created>
  <dcterms:modified xsi:type="dcterms:W3CDTF">2021-03-21T21:48:00Z</dcterms:modified>
</cp:coreProperties>
</file>