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00" w:lineRule="auto" w:line="480"/>
        <w:jc w:val="center"/>
        <w:rPr>
          <w:b/>
          <w:bCs/>
          <w:sz w:val="28"/>
          <w:szCs w:val="28"/>
        </w:rPr>
      </w:pPr>
      <w:r>
        <w:rPr>
          <w:b/>
          <w:bCs/>
          <w:sz w:val="28"/>
          <w:szCs w:val="28"/>
        </w:rPr>
        <w:t>CODEALPHA BIOINFORMATICS INTERNSHIP</w:t>
      </w:r>
    </w:p>
    <w:bookmarkStart w:id="0" w:name="_Hlk233385939"/>
    <w:p>
      <w:pPr>
        <w:pStyle w:val="style0"/>
        <w:spacing w:after="100" w:lineRule="auto" w:line="480"/>
        <w:jc w:val="center"/>
        <w:rPr>
          <w:b/>
          <w:bCs/>
          <w:sz w:val="28"/>
          <w:szCs w:val="28"/>
          <w:lang w:val="en-GB"/>
        </w:rPr>
      </w:pPr>
      <w:r>
        <w:rPr>
          <w:b/>
          <w:bCs/>
          <w:sz w:val="28"/>
          <w:szCs w:val="28"/>
          <w:lang w:val="en-GB"/>
        </w:rPr>
        <w:t>NAME:</w:t>
      </w:r>
      <w:r>
        <w:rPr>
          <w:b/>
          <w:bCs/>
          <w:sz w:val="28"/>
          <w:szCs w:val="28"/>
          <w:lang w:val="en-GB"/>
        </w:rPr>
        <w:t xml:space="preserve"> EZIKPE EMMANUEL LEKWA</w:t>
      </w:r>
    </w:p>
    <w:p>
      <w:pPr>
        <w:pStyle w:val="style0"/>
        <w:spacing w:after="100" w:lineRule="auto" w:line="480"/>
        <w:jc w:val="center"/>
        <w:rPr>
          <w:b/>
          <w:bCs/>
          <w:sz w:val="28"/>
          <w:szCs w:val="28"/>
          <w:lang w:val="en-GB"/>
        </w:rPr>
      </w:pPr>
      <w:r>
        <w:rPr>
          <w:b/>
          <w:bCs/>
          <w:sz w:val="28"/>
          <w:szCs w:val="28"/>
          <w:lang w:val="en-GB"/>
        </w:rPr>
        <w:t>STUDENT ID CA/DF1/141822</w:t>
      </w:r>
    </w:p>
    <w:bookmarkEnd w:id="0"/>
    <w:p>
      <w:pPr>
        <w:pStyle w:val="style0"/>
        <w:spacing w:after="360" w:lineRule="auto" w:line="480"/>
        <w:jc w:val="center"/>
        <w:rPr/>
      </w:pPr>
      <w:r>
        <w:rPr>
          <w:b/>
          <w:bCs/>
          <w:sz w:val="30"/>
          <w:szCs w:val="30"/>
        </w:rPr>
        <w:t>TASK 1: DNA/PROTEIN SEQUENCE ANALYSIS</w:t>
      </w:r>
      <w:r>
        <w:rPr>
          <w:b/>
          <w:bCs/>
          <w:sz w:val="30"/>
          <w:szCs w:val="30"/>
          <w:lang w:val="en-GB"/>
        </w:rPr>
        <w:t xml:space="preserve">: </w:t>
      </w:r>
      <w:r>
        <w:rPr>
          <w:b/>
          <w:bCs/>
          <w:sz w:val="30"/>
          <w:szCs w:val="30"/>
        </w:rPr>
        <w:t>BLAST ANALYSIS OF HUMAN BRCA1 PROTEIN</w:t>
      </w:r>
    </w:p>
    <w:p>
      <w:pPr>
        <w:pStyle w:val="style1"/>
        <w:spacing w:before="240" w:after="120" w:lineRule="auto" w:line="480"/>
        <w:rPr>
          <w:color w:val="000000"/>
        </w:rPr>
      </w:pPr>
      <w:r>
        <w:rPr>
          <w:b/>
          <w:bCs/>
          <w:color w:val="000000"/>
          <w:sz w:val="28"/>
          <w:szCs w:val="28"/>
        </w:rPr>
        <w:t>1.0 INTRODUCTION</w:t>
      </w:r>
    </w:p>
    <w:p>
      <w:pPr>
        <w:pStyle w:val="style0"/>
        <w:spacing w:after="200" w:lineRule="auto" w:line="480"/>
        <w:jc w:val="both"/>
        <w:rPr/>
      </w:pPr>
      <w:r>
        <w:t>BRCA1 is a tumour suppressor protein involved in DNA double-strand break repair. Mutations in BRCA1 are strongly linked to hereditary breast and ovarian cancer, making it a widely studied protein in molecular biology. This task involved retrieving the human BRCA1 protein sequence and performing a Basic Local Alignment Search Tool (BLAST) analysis to identify homologous sequences in another species, in order to demonstrate sequence retrieval, BLAST search execution, and result interpretation.</w:t>
      </w:r>
    </w:p>
    <w:p>
      <w:pPr>
        <w:pStyle w:val="style1"/>
        <w:spacing w:before="240" w:after="120" w:lineRule="auto" w:line="480"/>
        <w:rPr>
          <w:color w:val="000000"/>
        </w:rPr>
      </w:pPr>
      <w:r>
        <w:rPr>
          <w:b/>
          <w:bCs/>
          <w:color w:val="000000"/>
          <w:sz w:val="28"/>
          <w:szCs w:val="28"/>
        </w:rPr>
        <w:t>2.0 METHODOLOGY</w:t>
      </w:r>
    </w:p>
    <w:p>
      <w:pPr>
        <w:pStyle w:val="style0"/>
        <w:spacing w:after="200" w:lineRule="auto" w:line="480"/>
        <w:jc w:val="both"/>
        <w:rPr/>
      </w:pPr>
      <w:r>
        <w:t xml:space="preserve">The canonical amino acid sequence of human BRCA1 was retrieved from the </w:t>
      </w:r>
      <w:r>
        <w:t>UniProt</w:t>
      </w:r>
      <w:r>
        <w:t xml:space="preserve"> Knowledgebase (</w:t>
      </w:r>
      <w:r>
        <w:t>UniProtKB</w:t>
      </w:r>
      <w:r>
        <w:t xml:space="preserve">) under accession number P38398 (BRCA1_HUMAN), 1863 amino acids in length. The sequence was used as the query for a Protein BLAST (BLASTP) search performed via the National </w:t>
      </w:r>
      <w:r>
        <w:t>Center</w:t>
      </w:r>
      <w:r>
        <w:t xml:space="preserve"> for Biotechnology Information (NCBI) BLAST suite. The search database was set to </w:t>
      </w:r>
      <w:r>
        <w:t>Non-redundant</w:t>
      </w:r>
      <w:r>
        <w:t xml:space="preserve"> protein sequences (nr), restricted to the organism Mus musculus (mouse), using default scoring parameters.</w:t>
      </w:r>
    </w:p>
    <w:p>
      <w:pPr>
        <w:pStyle w:val="style94"/>
        <w:rPr/>
      </w:pPr>
      <w:r>
        <w:rPr>
          <w:noProof/>
        </w:rPr>
        <w:drawing>
          <wp:inline distL="0" distT="0" distB="0" distR="0">
            <wp:extent cx="5731510" cy="2780030"/>
            <wp:effectExtent l="0" t="0" r="2540" b="127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731510" cy="2780030"/>
                    </a:xfrm>
                    <a:prstGeom prst="rect"/>
                    <a:ln>
                      <a:noFill/>
                    </a:ln>
                  </pic:spPr>
                </pic:pic>
              </a:graphicData>
            </a:graphic>
          </wp:inline>
        </w:drawing>
      </w:r>
    </w:p>
    <w:p>
      <w:pPr>
        <w:pStyle w:val="style94"/>
        <w:rPr/>
      </w:pPr>
      <w:r>
        <w:rPr>
          <w:noProof/>
        </w:rPr>
        <w:drawing>
          <wp:inline distL="0" distT="0" distB="0" distR="0">
            <wp:extent cx="5731510" cy="2390775"/>
            <wp:effectExtent l="0" t="0" r="2540" b="9525"/>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731510" cy="2390775"/>
                    </a:xfrm>
                    <a:prstGeom prst="rect"/>
                    <a:ln>
                      <a:noFill/>
                    </a:ln>
                  </pic:spPr>
                </pic:pic>
              </a:graphicData>
            </a:graphic>
          </wp:inline>
        </w:drawing>
      </w:r>
    </w:p>
    <w:p>
      <w:pPr>
        <w:pStyle w:val="style94"/>
        <w:rPr/>
      </w:pPr>
      <w:r>
        <w:rPr>
          <w:noProof/>
        </w:rPr>
        <w:drawing>
          <wp:inline distL="0" distT="0" distB="0" distR="0">
            <wp:extent cx="5464005" cy="2124075"/>
            <wp:effectExtent l="0" t="0" r="381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464005" cy="2124075"/>
                    </a:xfrm>
                    <a:prstGeom prst="rect"/>
                    <a:ln>
                      <a:noFill/>
                    </a:ln>
                  </pic:spPr>
                </pic:pic>
              </a:graphicData>
            </a:graphic>
          </wp:inline>
        </w:drawing>
      </w:r>
    </w:p>
    <w:p>
      <w:pPr>
        <w:pStyle w:val="style94"/>
        <w:rPr/>
      </w:pPr>
    </w:p>
    <w:p>
      <w:pPr>
        <w:pStyle w:val="style0"/>
        <w:spacing w:before="120" w:after="240"/>
        <w:rPr/>
      </w:pPr>
    </w:p>
    <w:p>
      <w:pPr>
        <w:pStyle w:val="style1"/>
        <w:spacing w:before="240" w:after="120" w:lineRule="auto" w:line="480"/>
        <w:rPr>
          <w:b/>
          <w:bCs/>
          <w:color w:val="000000"/>
          <w:sz w:val="28"/>
          <w:szCs w:val="28"/>
        </w:rPr>
      </w:pPr>
    </w:p>
    <w:p>
      <w:pPr>
        <w:pStyle w:val="style1"/>
        <w:spacing w:before="240" w:after="120" w:lineRule="auto" w:line="480"/>
        <w:rPr>
          <w:color w:val="000000"/>
        </w:rPr>
      </w:pPr>
      <w:r>
        <w:rPr>
          <w:b/>
          <w:bCs/>
          <w:color w:val="000000"/>
          <w:sz w:val="28"/>
          <w:szCs w:val="28"/>
        </w:rPr>
        <w:t>3.0 RESULTS</w:t>
      </w:r>
    </w:p>
    <w:p>
      <w:pPr>
        <w:pStyle w:val="style0"/>
        <w:spacing w:after="200" w:lineRule="auto" w:line="480"/>
        <w:jc w:val="both"/>
        <w:rPr/>
      </w:pPr>
      <w:r>
        <w:t>The BLASTP search returned the mouse Brca1 orthologue (GenBank accession AAC52323.1) as the top-scoring hit. The alignment statistics are summarised in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4680"/>
        <w:gridCol w:w="4680"/>
      </w:tblGrid>
      <w:tr>
        <w:trPr/>
        <w:tc>
          <w:tcPr>
            <w:tcW w:w="46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00" w:type="dxa"/>
              <w:bottom w:w="80" w:type="dxa"/>
              <w:right w:w="100" w:type="dxa"/>
            </w:tcMar>
          </w:tcPr>
          <w:p>
            <w:pPr>
              <w:pStyle w:val="style0"/>
              <w:jc w:val="center"/>
              <w:rPr/>
            </w:pPr>
            <w:r>
              <w:rPr>
                <w:b/>
                <w:bCs/>
                <w:sz w:val="22"/>
                <w:szCs w:val="22"/>
              </w:rPr>
              <w:t>Parameter</w:t>
            </w:r>
          </w:p>
        </w:tc>
        <w:tc>
          <w:tcPr>
            <w:tcW w:w="46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00" w:type="dxa"/>
              <w:bottom w:w="80" w:type="dxa"/>
              <w:right w:w="100" w:type="dxa"/>
            </w:tcMar>
          </w:tcPr>
          <w:p>
            <w:pPr>
              <w:pStyle w:val="style0"/>
              <w:jc w:val="center"/>
              <w:rPr/>
            </w:pPr>
            <w:r>
              <w:rPr>
                <w:b/>
                <w:bCs/>
                <w:sz w:val="22"/>
                <w:szCs w:val="22"/>
              </w:rPr>
              <w:t>Value</w:t>
            </w:r>
          </w:p>
        </w:tc>
      </w:tr>
      <w:tr>
        <w:tblPrEx/>
        <w:trPr/>
        <w:tc>
          <w:tcPr>
            <w:tcW w:w="46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pPr>
              <w:pStyle w:val="style0"/>
              <w:jc w:val="center"/>
              <w:rPr/>
            </w:pPr>
            <w:r>
              <w:rPr>
                <w:sz w:val="22"/>
                <w:szCs w:val="22"/>
              </w:rPr>
              <w:t>Query</w:t>
            </w:r>
          </w:p>
        </w:tc>
        <w:tc>
          <w:tcPr>
            <w:tcW w:w="46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pPr>
              <w:pStyle w:val="style0"/>
              <w:jc w:val="center"/>
              <w:rPr/>
            </w:pPr>
            <w:r>
              <w:rPr>
                <w:sz w:val="22"/>
                <w:szCs w:val="22"/>
              </w:rPr>
              <w:t>BRCA1_HUMAN (</w:t>
            </w:r>
            <w:r>
              <w:rPr>
                <w:sz w:val="22"/>
                <w:szCs w:val="22"/>
              </w:rPr>
              <w:t>UniProt</w:t>
            </w:r>
            <w:r>
              <w:rPr>
                <w:sz w:val="22"/>
                <w:szCs w:val="22"/>
              </w:rPr>
              <w:t xml:space="preserve"> P38398), 1863 aa</w:t>
            </w:r>
          </w:p>
        </w:tc>
      </w:tr>
      <w:tr>
        <w:tblPrEx/>
        <w:trPr/>
        <w:tc>
          <w:tcPr>
            <w:tcW w:w="46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pPr>
              <w:pStyle w:val="style0"/>
              <w:jc w:val="center"/>
              <w:rPr/>
            </w:pPr>
            <w:r>
              <w:rPr>
                <w:sz w:val="22"/>
                <w:szCs w:val="22"/>
              </w:rPr>
              <w:t>Top hit</w:t>
            </w:r>
          </w:p>
        </w:tc>
        <w:tc>
          <w:tcPr>
            <w:tcW w:w="46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pPr>
              <w:pStyle w:val="style0"/>
              <w:jc w:val="center"/>
              <w:rPr/>
            </w:pPr>
            <w:r>
              <w:rPr>
                <w:sz w:val="22"/>
                <w:szCs w:val="22"/>
              </w:rPr>
              <w:t>Mouse Brca1 (GenBank AAC52323.1), 1812 aa</w:t>
            </w:r>
          </w:p>
        </w:tc>
      </w:tr>
      <w:tr>
        <w:tblPrEx/>
        <w:trPr/>
        <w:tc>
          <w:tcPr>
            <w:tcW w:w="46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pPr>
              <w:pStyle w:val="style0"/>
              <w:jc w:val="center"/>
              <w:rPr/>
            </w:pPr>
            <w:r>
              <w:rPr>
                <w:sz w:val="22"/>
                <w:szCs w:val="22"/>
              </w:rPr>
              <w:t>Bit score</w:t>
            </w:r>
          </w:p>
        </w:tc>
        <w:tc>
          <w:tcPr>
            <w:tcW w:w="46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pPr>
              <w:pStyle w:val="style0"/>
              <w:jc w:val="center"/>
              <w:rPr/>
            </w:pPr>
            <w:r>
              <w:rPr>
                <w:sz w:val="22"/>
                <w:szCs w:val="22"/>
              </w:rPr>
              <w:t>1847</w:t>
            </w:r>
          </w:p>
        </w:tc>
      </w:tr>
      <w:tr>
        <w:tblPrEx/>
        <w:trPr/>
        <w:tc>
          <w:tcPr>
            <w:tcW w:w="46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pPr>
              <w:pStyle w:val="style0"/>
              <w:jc w:val="center"/>
              <w:rPr/>
            </w:pPr>
            <w:r>
              <w:rPr>
                <w:sz w:val="22"/>
                <w:szCs w:val="22"/>
              </w:rPr>
              <w:t>E-value</w:t>
            </w:r>
          </w:p>
        </w:tc>
        <w:tc>
          <w:tcPr>
            <w:tcW w:w="46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pPr>
              <w:pStyle w:val="style0"/>
              <w:jc w:val="center"/>
              <w:rPr/>
            </w:pPr>
            <w:r>
              <w:rPr>
                <w:sz w:val="22"/>
                <w:szCs w:val="22"/>
              </w:rPr>
              <w:t>0.0</w:t>
            </w:r>
          </w:p>
        </w:tc>
      </w:tr>
      <w:tr>
        <w:tblPrEx/>
        <w:trPr/>
        <w:tc>
          <w:tcPr>
            <w:tcW w:w="46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pPr>
              <w:pStyle w:val="style0"/>
              <w:jc w:val="center"/>
              <w:rPr/>
            </w:pPr>
            <w:r>
              <w:rPr>
                <w:sz w:val="22"/>
                <w:szCs w:val="22"/>
              </w:rPr>
              <w:t>Query coverage</w:t>
            </w:r>
          </w:p>
        </w:tc>
        <w:tc>
          <w:tcPr>
            <w:tcW w:w="46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pPr>
              <w:pStyle w:val="style0"/>
              <w:jc w:val="center"/>
              <w:rPr/>
            </w:pPr>
            <w:r>
              <w:rPr>
                <w:sz w:val="22"/>
                <w:szCs w:val="22"/>
              </w:rPr>
              <w:t>100%</w:t>
            </w:r>
          </w:p>
        </w:tc>
      </w:tr>
      <w:tr>
        <w:tblPrEx/>
        <w:trPr/>
        <w:tc>
          <w:tcPr>
            <w:tcW w:w="46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pPr>
              <w:pStyle w:val="style0"/>
              <w:jc w:val="center"/>
              <w:rPr/>
            </w:pPr>
            <w:r>
              <w:rPr>
                <w:sz w:val="22"/>
                <w:szCs w:val="22"/>
              </w:rPr>
              <w:t>Identity</w:t>
            </w:r>
          </w:p>
        </w:tc>
        <w:tc>
          <w:tcPr>
            <w:tcW w:w="46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pPr>
              <w:pStyle w:val="style0"/>
              <w:jc w:val="center"/>
              <w:rPr/>
            </w:pPr>
            <w:r>
              <w:rPr>
                <w:sz w:val="22"/>
                <w:szCs w:val="22"/>
              </w:rPr>
              <w:t>1044/1863 (56%)</w:t>
            </w:r>
          </w:p>
        </w:tc>
      </w:tr>
      <w:tr>
        <w:tblPrEx/>
        <w:trPr/>
        <w:tc>
          <w:tcPr>
            <w:tcW w:w="46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pPr>
              <w:pStyle w:val="style0"/>
              <w:jc w:val="center"/>
              <w:rPr/>
            </w:pPr>
            <w:r>
              <w:rPr>
                <w:sz w:val="22"/>
                <w:szCs w:val="22"/>
              </w:rPr>
              <w:t>Positives</w:t>
            </w:r>
          </w:p>
        </w:tc>
        <w:tc>
          <w:tcPr>
            <w:tcW w:w="46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pPr>
              <w:pStyle w:val="style0"/>
              <w:jc w:val="center"/>
              <w:rPr/>
            </w:pPr>
            <w:r>
              <w:rPr>
                <w:sz w:val="22"/>
                <w:szCs w:val="22"/>
              </w:rPr>
              <w:t>1305/1863 (70%)</w:t>
            </w:r>
          </w:p>
        </w:tc>
      </w:tr>
      <w:tr>
        <w:tblPrEx/>
        <w:trPr/>
        <w:tc>
          <w:tcPr>
            <w:tcW w:w="46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pPr>
              <w:pStyle w:val="style0"/>
              <w:jc w:val="center"/>
              <w:rPr/>
            </w:pPr>
            <w:r>
              <w:rPr>
                <w:sz w:val="22"/>
                <w:szCs w:val="22"/>
              </w:rPr>
              <w:t>Gaps</w:t>
            </w:r>
          </w:p>
        </w:tc>
        <w:tc>
          <w:tcPr>
            <w:tcW w:w="46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pPr>
              <w:pStyle w:val="style0"/>
              <w:jc w:val="center"/>
              <w:rPr/>
            </w:pPr>
            <w:r>
              <w:rPr>
                <w:sz w:val="22"/>
                <w:szCs w:val="22"/>
              </w:rPr>
              <w:t>68/1863 (3%)</w:t>
            </w:r>
          </w:p>
        </w:tc>
      </w:tr>
    </w:tbl>
    <w:p>
      <w:pPr>
        <w:pStyle w:val="style0"/>
        <w:spacing w:before="120" w:after="240"/>
        <w:rPr>
          <w:i/>
          <w:iCs/>
          <w:sz w:val="20"/>
          <w:szCs w:val="20"/>
        </w:rPr>
      </w:pPr>
      <w:r>
        <w:rPr>
          <w:i/>
          <w:iCs/>
          <w:sz w:val="20"/>
          <w:szCs w:val="20"/>
        </w:rPr>
        <w:t>Table 1: BLASTP alignment statistics for the top hit.</w:t>
      </w:r>
    </w:p>
    <w:p>
      <w:pPr>
        <w:pStyle w:val="style94"/>
        <w:rPr/>
      </w:pPr>
      <w:r>
        <w:rPr>
          <w:noProof/>
        </w:rPr>
        <w:drawing>
          <wp:inline distL="0" distT="0" distB="0" distR="0">
            <wp:extent cx="5731510" cy="2002155"/>
            <wp:effectExtent l="0" t="0" r="254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731510" cy="2002155"/>
                    </a:xfrm>
                    <a:prstGeom prst="rect"/>
                    <a:ln>
                      <a:noFill/>
                    </a:ln>
                  </pic:spPr>
                </pic:pic>
              </a:graphicData>
            </a:graphic>
          </wp:inline>
        </w:drawing>
      </w:r>
      <w:r>
        <w:rPr>
          <w:noProof/>
        </w:rPr>
        <w:drawing>
          <wp:inline distL="0" distT="0" distB="0" distR="0">
            <wp:extent cx="5731510" cy="2701290"/>
            <wp:effectExtent l="0" t="0" r="2540" b="3810"/>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731510" cy="2701290"/>
                    </a:xfrm>
                    <a:prstGeom prst="rect"/>
                    <a:ln>
                      <a:noFill/>
                    </a:ln>
                  </pic:spPr>
                </pic:pic>
              </a:graphicData>
            </a:graphic>
          </wp:inline>
        </w:drawing>
      </w:r>
    </w:p>
    <w:p>
      <w:pPr>
        <w:pStyle w:val="style94"/>
        <w:rPr/>
      </w:pPr>
      <w:r>
        <w:rPr>
          <w:noProof/>
        </w:rPr>
        <w:drawing>
          <wp:inline distL="0" distT="0" distB="0" distR="0">
            <wp:extent cx="5731510" cy="2280285"/>
            <wp:effectExtent l="0" t="0" r="2540" b="5715"/>
            <wp:docPr id="1031"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5731510" cy="2280285"/>
                    </a:xfrm>
                    <a:prstGeom prst="rect"/>
                    <a:ln>
                      <a:noFill/>
                    </a:ln>
                  </pic:spPr>
                </pic:pic>
              </a:graphicData>
            </a:graphic>
          </wp:inline>
        </w:drawing>
      </w:r>
    </w:p>
    <w:p>
      <w:pPr>
        <w:pStyle w:val="style0"/>
        <w:spacing w:before="120" w:after="240"/>
        <w:rPr/>
      </w:pPr>
    </w:p>
    <w:p>
      <w:pPr>
        <w:pStyle w:val="style0"/>
        <w:spacing w:after="200" w:lineRule="auto" w:line="480"/>
        <w:jc w:val="both"/>
        <w:rPr/>
      </w:pPr>
      <w:r>
        <w:t>The alignment covered the full length of the query sequence (100% coverage), with an E-value of 0.0, indicating the match is highly statistically significant and did not occur by chance. The conserved domain analysis identified the BRCT (BRCA1 C-terminal) domain within the aligned region, a functionally critical region involved in BRCA1's role in DNA damage response.</w:t>
      </w:r>
    </w:p>
    <w:p>
      <w:pPr>
        <w:pStyle w:val="style1"/>
        <w:spacing w:before="240" w:after="120" w:lineRule="auto" w:line="480"/>
        <w:rPr>
          <w:color w:val="000000"/>
        </w:rPr>
      </w:pPr>
      <w:r>
        <w:rPr>
          <w:b/>
          <w:bCs/>
          <w:color w:val="000000"/>
          <w:sz w:val="28"/>
          <w:szCs w:val="28"/>
        </w:rPr>
        <w:t>4.0 DISCUSSION</w:t>
      </w:r>
    </w:p>
    <w:p>
      <w:pPr>
        <w:pStyle w:val="style0"/>
        <w:spacing w:after="200" w:lineRule="auto" w:line="480"/>
        <w:jc w:val="both"/>
        <w:rPr/>
      </w:pPr>
      <w:r>
        <w:t>A 56% identity and 70% similarity across the full length of the protein, together with conservation of the BRCT domain, indicates that the human and mouse BRCA1 proteins are true orthologues that have retained their core functional architecture despite evolutionary divergence between species. This level of conservation explains why BRCA1 function can often be studied using model organisms such as the mouse, since key structural and functional regions of the protein remain similar across species.</w:t>
      </w:r>
    </w:p>
    <w:p>
      <w:pPr>
        <w:pStyle w:val="style1"/>
        <w:spacing w:before="240" w:after="120" w:lineRule="auto" w:line="480"/>
        <w:rPr>
          <w:color w:val="000000"/>
        </w:rPr>
      </w:pPr>
      <w:r>
        <w:rPr>
          <w:b/>
          <w:bCs/>
          <w:color w:val="000000"/>
          <w:sz w:val="28"/>
          <w:szCs w:val="28"/>
        </w:rPr>
        <w:t>5.0 CONCLUSION</w:t>
      </w:r>
    </w:p>
    <w:p>
      <w:pPr>
        <w:pStyle w:val="style0"/>
        <w:spacing w:after="200" w:lineRule="auto" w:line="480"/>
        <w:jc w:val="both"/>
        <w:rPr/>
      </w:pPr>
      <w:r>
        <w:t xml:space="preserve">BLASTP analysis of the human BRCA1 protein sequence against Mus musculus identified a high-confidence orthologue with 100% query coverage, 56% identity, 70% positives, and an E-value of 0.0. Conservation of the functionally important BRCT domain further supports the </w:t>
      </w:r>
      <w:r>
        <w:t xml:space="preserve">close evolutionary and functional relationship between the human and mouse BRCA1 proteins. This task demonstrated practical skills in sequence retrieval from </w:t>
      </w:r>
      <w:r>
        <w:t>UniProt</w:t>
      </w:r>
      <w:r>
        <w:t>, BLAST search configuration, and bioinformatics result interpretation.</w:t>
      </w:r>
    </w:p>
    <w:p>
      <w:pPr>
        <w:pStyle w:val="style1"/>
        <w:spacing w:before="240" w:after="120" w:lineRule="auto" w:line="480"/>
        <w:rPr>
          <w:color w:val="000000"/>
        </w:rPr>
      </w:pPr>
      <w:r>
        <w:rPr>
          <w:b/>
          <w:bCs/>
          <w:color w:val="000000"/>
          <w:sz w:val="28"/>
          <w:szCs w:val="28"/>
        </w:rPr>
        <w:t>REFERENCES</w:t>
      </w:r>
    </w:p>
    <w:p>
      <w:pPr>
        <w:pStyle w:val="style0"/>
        <w:spacing w:after="100" w:lineRule="auto" w:line="480"/>
        <w:ind w:left="720" w:hanging="720"/>
        <w:rPr/>
      </w:pPr>
      <w:r>
        <w:t>Altschul, S. F., et al. (1997). Gapped BLAST and PSI-BLAST. Nucleic Acids Research, 25(17), 3389–3402.</w:t>
      </w:r>
    </w:p>
    <w:p>
      <w:pPr>
        <w:pStyle w:val="style0"/>
        <w:spacing w:after="100" w:lineRule="auto" w:line="480"/>
        <w:ind w:left="720" w:hanging="720"/>
        <w:rPr/>
      </w:pPr>
      <w:r>
        <w:t xml:space="preserve">The </w:t>
      </w:r>
      <w:r>
        <w:t>UniProt</w:t>
      </w:r>
      <w:r>
        <w:t xml:space="preserve"> Consortium. (2023). </w:t>
      </w:r>
      <w:r>
        <w:t>UniProt</w:t>
      </w:r>
      <w:r>
        <w:t>: The Universal Protein Knowledgebase. Nucleic Acids Research, 51(D1), D523–D531.</w:t>
      </w:r>
    </w:p>
    <w:sectPr>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408EFF2C"/>
    <w:lvl w:ilvl="0" w:tplc="E88A798E">
      <w:start w:val="1"/>
      <w:numFmt w:val="bullet"/>
      <w:lvlText w:val="●"/>
      <w:lvlJc w:val="left"/>
      <w:pPr>
        <w:ind w:left="720" w:hanging="360"/>
      </w:pPr>
    </w:lvl>
    <w:lvl w:ilvl="1" w:tplc="B824B64E">
      <w:start w:val="1"/>
      <w:numFmt w:val="bullet"/>
      <w:lvlText w:val="○"/>
      <w:lvlJc w:val="left"/>
      <w:pPr>
        <w:ind w:left="1440" w:hanging="360"/>
      </w:pPr>
    </w:lvl>
    <w:lvl w:ilvl="2" w:tplc="77D83A32">
      <w:start w:val="1"/>
      <w:numFmt w:val="bullet"/>
      <w:lvlText w:val="■"/>
      <w:lvlJc w:val="left"/>
      <w:pPr>
        <w:ind w:left="2160" w:hanging="360"/>
      </w:pPr>
    </w:lvl>
    <w:lvl w:ilvl="3" w:tplc="17B252A0">
      <w:start w:val="1"/>
      <w:numFmt w:val="bullet"/>
      <w:lvlText w:val="●"/>
      <w:lvlJc w:val="left"/>
      <w:pPr>
        <w:ind w:left="2880" w:hanging="360"/>
      </w:pPr>
    </w:lvl>
    <w:lvl w:ilvl="4" w:tplc="4E2EB90E">
      <w:start w:val="1"/>
      <w:numFmt w:val="bullet"/>
      <w:lvlText w:val="○"/>
      <w:lvlJc w:val="left"/>
      <w:pPr>
        <w:ind w:left="3600" w:hanging="360"/>
      </w:pPr>
    </w:lvl>
    <w:lvl w:ilvl="5" w:tplc="DFA0B1F8">
      <w:start w:val="1"/>
      <w:numFmt w:val="bullet"/>
      <w:lvlText w:val="■"/>
      <w:lvlJc w:val="left"/>
      <w:pPr>
        <w:ind w:left="4320" w:hanging="360"/>
      </w:pPr>
    </w:lvl>
    <w:lvl w:ilvl="6" w:tplc="0A362EEE">
      <w:start w:val="1"/>
      <w:numFmt w:val="bullet"/>
      <w:lvlText w:val="●"/>
      <w:lvlJc w:val="left"/>
      <w:pPr>
        <w:ind w:left="5040" w:hanging="360"/>
      </w:pPr>
    </w:lvl>
    <w:lvl w:ilvl="7" w:tplc="BC3268D6">
      <w:start w:val="1"/>
      <w:numFmt w:val="bullet"/>
      <w:lvlText w:val="●"/>
      <w:lvlJc w:val="left"/>
      <w:pPr>
        <w:ind w:left="5760" w:hanging="360"/>
      </w:pPr>
    </w:lvl>
    <w:lvl w:ilvl="8" w:tplc="5432853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bidi="ar-SA"/>
      </w:rPr>
    </w:rPrDefault>
    <w:pPrDefault>
      <w:pPr/>
    </w:pPrDefault>
  </w:docDefaults>
  <w:style w:type="paragraph" w:default="1" w:styleId="style0">
    <w:name w:val="Normal"/>
    <w:next w:val="style0"/>
    <w:qFormat/>
    <w:pPr/>
  </w:style>
  <w:style w:type="paragraph" w:styleId="style1">
    <w:name w:val="heading 1"/>
    <w:next w:val="style1"/>
    <w:qFormat/>
    <w:uiPriority w:val="9"/>
    <w:pPr>
      <w:outlineLvl w:val="0"/>
    </w:pPr>
    <w:rPr>
      <w:color w:val="2e74b5"/>
      <w:sz w:val="32"/>
      <w:szCs w:val="32"/>
    </w:rPr>
  </w:style>
  <w:style w:type="paragraph" w:styleId="style2">
    <w:name w:val="heading 2"/>
    <w:next w:val="style2"/>
    <w:qFormat/>
    <w:uiPriority w:val="9"/>
    <w:pPr>
      <w:outlineLvl w:val="1"/>
    </w:pPr>
    <w:rPr>
      <w:color w:val="2e74b5"/>
      <w:sz w:val="26"/>
      <w:szCs w:val="26"/>
    </w:rPr>
  </w:style>
  <w:style w:type="paragraph" w:styleId="style3">
    <w:name w:val="heading 3"/>
    <w:next w:val="style3"/>
    <w:qFormat/>
    <w:uiPriority w:val="9"/>
    <w:pPr>
      <w:outlineLvl w:val="2"/>
    </w:pPr>
    <w:rPr>
      <w:color w:val="1f4d78"/>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 w:type="paragraph" w:styleId="style94">
    <w:name w:val="Normal (Web)"/>
    <w:basedOn w:val="style0"/>
    <w:next w:val="style94"/>
    <w:uiPriority w:val="99"/>
    <w:pPr>
      <w:spacing w:before="100" w:beforeAutospacing="true" w:after="100" w:afterAutospacing="true"/>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Words>467</Words>
  <Pages>5</Pages>
  <Characters>2810</Characters>
  <Application>WPS Office</Application>
  <DocSecurity>0</DocSecurity>
  <Paragraphs>55</Paragraphs>
  <ScaleCrop>false</ScaleCrop>
  <LinksUpToDate>false</LinksUpToDate>
  <CharactersWithSpaces>3238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2026-06-21T20:01:00Z</dcterms:created>
  <dc:creator>Un-named</dc:creator>
  <lastModifiedBy>itel S665L</lastModifiedBy>
  <dcterms:modified xsi:type="dcterms:W3CDTF">2026-06-26T19:17:58Z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eae6e01d1a3947999fedb473ac6ddd46</vt:lpwstr>
  </property>
</Properties>
</file>