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00" w:lineRule="auto" w:line="480"/>
        <w:jc w:val="center"/>
        <w:rPr>
          <w:b/>
          <w:bCs/>
          <w:sz w:val="28"/>
          <w:szCs w:val="28"/>
        </w:rPr>
      </w:pPr>
      <w:r>
        <w:rPr>
          <w:b/>
          <w:bCs/>
          <w:sz w:val="28"/>
          <w:szCs w:val="28"/>
        </w:rPr>
        <w:t>CODEALPHA BIOINFORMATICS INTERNSHIP</w:t>
      </w:r>
    </w:p>
    <w:p>
      <w:pPr>
        <w:pStyle w:val="style0"/>
        <w:spacing w:after="100" w:lineRule="auto" w:line="480"/>
        <w:jc w:val="center"/>
        <w:rPr>
          <w:b/>
          <w:bCs/>
          <w:sz w:val="28"/>
          <w:szCs w:val="28"/>
          <w:lang w:val="en-GB"/>
        </w:rPr>
      </w:pPr>
      <w:r>
        <w:rPr>
          <w:b/>
          <w:bCs/>
          <w:sz w:val="28"/>
          <w:szCs w:val="28"/>
          <w:lang w:val="en-GB"/>
        </w:rPr>
        <w:t>NAME :</w:t>
      </w:r>
      <w:r>
        <w:rPr>
          <w:b/>
          <w:bCs/>
          <w:sz w:val="28"/>
          <w:szCs w:val="28"/>
          <w:lang w:val="en-GB"/>
        </w:rPr>
        <w:t xml:space="preserve"> EZIKPE EMMANUEL LEKWA</w:t>
      </w:r>
    </w:p>
    <w:p>
      <w:pPr>
        <w:pStyle w:val="style0"/>
        <w:spacing w:after="100" w:lineRule="auto" w:line="480"/>
        <w:jc w:val="center"/>
        <w:rPr>
          <w:b/>
          <w:bCs/>
          <w:sz w:val="28"/>
          <w:szCs w:val="28"/>
          <w:lang w:val="en-GB"/>
        </w:rPr>
      </w:pPr>
      <w:r>
        <w:rPr>
          <w:b/>
          <w:bCs/>
          <w:sz w:val="28"/>
          <w:szCs w:val="28"/>
          <w:lang w:val="en-GB"/>
        </w:rPr>
        <w:t>STUDENT ID CA/DF1/141822</w:t>
      </w:r>
    </w:p>
    <w:p>
      <w:pPr>
        <w:pStyle w:val="style0"/>
        <w:spacing w:after="100" w:lineRule="auto" w:line="480"/>
        <w:rPr>
          <w:b/>
          <w:bCs/>
          <w:lang w:val="en-GB"/>
        </w:rPr>
      </w:pPr>
      <w:r>
        <w:rPr>
          <w:b/>
          <w:bCs/>
          <w:sz w:val="30"/>
          <w:szCs w:val="30"/>
        </w:rPr>
        <w:t xml:space="preserve">TASK 3: PROTEIN STRUCTURE </w:t>
      </w:r>
      <w:r>
        <w:rPr>
          <w:b/>
          <w:bCs/>
          <w:sz w:val="30"/>
          <w:szCs w:val="30"/>
        </w:rPr>
        <w:t>PREDICTION</w:t>
      </w:r>
      <w:r>
        <w:rPr>
          <w:b/>
          <w:bCs/>
          <w:sz w:val="30"/>
          <w:szCs w:val="30"/>
          <w:lang w:val="en-GB"/>
        </w:rPr>
        <w:t xml:space="preserve"> -</w:t>
      </w:r>
      <w:r>
        <w:rPr>
          <w:b/>
          <w:bCs/>
          <w:sz w:val="30"/>
          <w:szCs w:val="30"/>
          <w:lang w:val="en-GB"/>
        </w:rPr>
        <w:t xml:space="preserve"> </w:t>
      </w:r>
      <w:r>
        <w:rPr>
          <w:b/>
          <w:bCs/>
          <w:sz w:val="30"/>
          <w:szCs w:val="30"/>
        </w:rPr>
        <w:t>BRCA2 (HUMAN)</w:t>
      </w:r>
    </w:p>
    <w:p>
      <w:pPr>
        <w:pStyle w:val="style1"/>
        <w:spacing w:before="280" w:after="120" w:lineRule="auto" w:line="480"/>
        <w:rPr>
          <w:color w:val="000000"/>
        </w:rPr>
      </w:pPr>
      <w:r>
        <w:rPr>
          <w:b/>
          <w:bCs/>
          <w:color w:val="000000"/>
          <w:sz w:val="28"/>
          <w:szCs w:val="28"/>
        </w:rPr>
        <w:t>1.0 INTRODUCTION</w:t>
      </w:r>
    </w:p>
    <w:p>
      <w:pPr>
        <w:pStyle w:val="style0"/>
        <w:spacing w:after="200" w:lineRule="auto" w:line="480"/>
        <w:jc w:val="both"/>
        <w:rPr/>
      </w:pPr>
      <w:r>
        <w:t>Protein structure prediction is a fundamental technique in structural bioinformatics. The three-dimensional (3D) structure of a protein determines its biological function; knowing the structure allows researchers to understand how a protein interacts with other molecules, where drug binding sites are located, and how mutations may disrupt normal function. Where experimental 3D structures are unavailable or incomplete, computational tools can be used to predict the structure from the amino acid sequence alone.</w:t>
      </w:r>
    </w:p>
    <w:p>
      <w:pPr>
        <w:pStyle w:val="style0"/>
        <w:spacing w:after="200" w:lineRule="auto" w:line="480"/>
        <w:jc w:val="both"/>
        <w:rPr/>
      </w:pPr>
      <w:r>
        <w:t xml:space="preserve">The human BRCA2 protein (Breast cancer type 2 susceptibility protein, </w:t>
      </w:r>
      <w:r>
        <w:t>UniProt</w:t>
      </w:r>
      <w:r>
        <w:t xml:space="preserve"> accession P51587) was selected for this task. BRCA2 is a critical tumour suppressor protein involved in the repair of DNA double-strand breaks through homologous recombination. It is one of the most important proteins in hereditary breast and ovarian cancer research. Despite its clinical significance, BRCA2 is extremely large (3,418 amino acids) and structurally complex, meaning that no complete experimental 3D structure exists in the Protein Data Bank (PDB). This makes it an ideal candidate for computational structure prediction.</w:t>
      </w:r>
    </w:p>
    <w:p>
      <w:pPr>
        <w:pStyle w:val="style0"/>
        <w:spacing w:after="200" w:lineRule="auto" w:line="480"/>
        <w:jc w:val="both"/>
        <w:rPr/>
      </w:pPr>
    </w:p>
    <w:p>
      <w:pPr>
        <w:pStyle w:val="style0"/>
        <w:spacing w:after="200" w:lineRule="auto" w:line="480"/>
        <w:jc w:val="both"/>
        <w:rPr/>
      </w:pPr>
    </w:p>
    <w:p>
      <w:pPr>
        <w:pStyle w:val="style1"/>
        <w:spacing w:before="280" w:after="120" w:lineRule="auto" w:line="480"/>
        <w:rPr>
          <w:color w:val="000000"/>
          <w:sz w:val="28"/>
          <w:szCs w:val="28"/>
        </w:rPr>
      </w:pPr>
      <w:r>
        <w:rPr>
          <w:b/>
          <w:bCs/>
          <w:color w:val="000000"/>
          <w:sz w:val="24"/>
          <w:szCs w:val="24"/>
        </w:rPr>
        <w:t>2.0 METHODOLOGY</w:t>
      </w:r>
    </w:p>
    <w:p>
      <w:pPr>
        <w:pStyle w:val="style0"/>
        <w:spacing w:after="200" w:lineRule="auto" w:line="480"/>
        <w:jc w:val="both"/>
        <w:rPr/>
      </w:pPr>
      <w:r>
        <w:t xml:space="preserve">The canonical amino acid sequence of human BRCA2 was retrieved from </w:t>
      </w:r>
      <w:r>
        <w:t>UniProtKB</w:t>
      </w:r>
      <w:r>
        <w:t xml:space="preserve"> (accession P51587, BRCA2_HUMAN) in FASTA format. The sequence was submitted to the SWISS-MODEL homology modelling server (swissmodel.expasy.org) for automated template search and model building.</w:t>
      </w:r>
    </w:p>
    <w:p>
      <w:pPr>
        <w:pStyle w:val="style0"/>
        <w:spacing w:after="200" w:lineRule="auto" w:line="480"/>
        <w:jc w:val="both"/>
        <w:rPr/>
      </w:pPr>
      <w:r>
        <w:t xml:space="preserve">SWISS-MODEL first searched for available structural templates in the PDB. The server returned multiple templates, all of which covered only partial regions of the full-length BRCA2 sequence, with low Global Model Quality Estimate (GMQE) scores ranging from 0.20 to 0.23. The top-ranked template was an AlphaFold2-predicted model of BRCA2 from the Egyptian fruit bat (Rousettus </w:t>
      </w:r>
      <w:r>
        <w:t>aegyptiacus</w:t>
      </w:r>
      <w:r>
        <w:t>), with 73.17% sequence identity to the human query but partial sequence coverage only. These low GMQE scores and partial coverage confirmed that no complete high-quality experimental template exists for full-length human BRCA2, justifying the use of computational prediction.</w:t>
      </w:r>
    </w:p>
    <w:p>
      <w:pPr>
        <w:pStyle w:val="style0"/>
        <w:spacing w:after="200" w:lineRule="auto" w:line="480"/>
        <w:jc w:val="both"/>
        <w:rPr/>
      </w:pPr>
      <w:r>
        <w:t xml:space="preserve">The best available model (Model 01) was built by SWISS-MODEL and downloaded as a PDB file. The predicted structure was subsequently visualized and analysed using UCSF </w:t>
      </w:r>
      <w:r>
        <w:t>ChimeraX</w:t>
      </w:r>
      <w:r>
        <w:t xml:space="preserve"> (v1.x). In </w:t>
      </w:r>
      <w:r>
        <w:t>ChimeraX</w:t>
      </w:r>
      <w:r>
        <w:t>, the structure was rendered in cartoon/ribbon representation and coloured using the rainbow colouring scheme (blue at the N-terminus to red at the C-terminus) to facilitate identification of secondary structure elements and domain organization.</w:t>
      </w:r>
    </w:p>
    <w:p>
      <w:pPr>
        <w:pStyle w:val="style94"/>
        <w:rPr/>
      </w:pPr>
      <w:r>
        <w:rPr>
          <w:noProof/>
        </w:rPr>
        <w:drawing>
          <wp:inline distL="0" distT="0" distB="0" distR="0">
            <wp:extent cx="5524500" cy="203835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524500" cy="2038350"/>
                    </a:xfrm>
                    <a:prstGeom prst="rect"/>
                    <a:ln>
                      <a:noFill/>
                    </a:ln>
                  </pic:spPr>
                </pic:pic>
              </a:graphicData>
            </a:graphic>
          </wp:inline>
        </w:drawing>
      </w:r>
    </w:p>
    <w:p>
      <w:pPr>
        <w:pStyle w:val="style0"/>
        <w:spacing w:after="240"/>
        <w:rPr/>
      </w:pPr>
      <w:r>
        <w:rPr>
          <w:i/>
          <w:iCs/>
          <w:sz w:val="20"/>
          <w:szCs w:val="20"/>
        </w:rPr>
        <w:t xml:space="preserve">Figure 1: </w:t>
      </w:r>
      <w:r>
        <w:rPr>
          <w:i/>
          <w:iCs/>
          <w:sz w:val="20"/>
          <w:szCs w:val="20"/>
        </w:rPr>
        <w:t>UniProt</w:t>
      </w:r>
      <w:r>
        <w:rPr>
          <w:i/>
          <w:iCs/>
          <w:sz w:val="20"/>
          <w:szCs w:val="20"/>
        </w:rPr>
        <w:t xml:space="preserve"> entry for human BRCA2 (P51587), showing sequence length of 3,418 amino acids.</w:t>
      </w:r>
    </w:p>
    <w:p>
      <w:pPr>
        <w:pStyle w:val="style94"/>
        <w:rPr/>
      </w:pPr>
      <w:r>
        <w:t xml:space="preserve"> </w:t>
      </w:r>
      <w:r>
        <w:rPr>
          <w:noProof/>
        </w:rPr>
        <w:drawing>
          <wp:inline distL="0" distT="0" distB="0" distR="0">
            <wp:extent cx="5943600" cy="3022600"/>
            <wp:effectExtent l="0" t="0" r="0" b="6350"/>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5943600" cy="3022600"/>
                    </a:xfrm>
                    <a:prstGeom prst="rect"/>
                    <a:ln>
                      <a:noFill/>
                    </a:ln>
                  </pic:spPr>
                </pic:pic>
              </a:graphicData>
            </a:graphic>
          </wp:inline>
        </w:drawing>
      </w:r>
      <w:r>
        <w:t xml:space="preserve"> </w:t>
      </w:r>
      <w:r>
        <w:rPr>
          <w:noProof/>
        </w:rPr>
        <w:drawing>
          <wp:inline distL="0" distT="0" distB="0" distR="0">
            <wp:extent cx="5943600" cy="2124075"/>
            <wp:effectExtent l="0" t="0" r="0" b="9525"/>
            <wp:docPr id="1028"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943600" cy="2124075"/>
                    </a:xfrm>
                    <a:prstGeom prst="rect"/>
                    <a:ln>
                      <a:noFill/>
                    </a:ln>
                  </pic:spPr>
                </pic:pic>
              </a:graphicData>
            </a:graphic>
          </wp:inline>
        </w:drawing>
      </w:r>
      <w:r>
        <w:rPr>
          <w:i/>
          <w:iCs/>
          <w:sz w:val="20"/>
          <w:szCs w:val="20"/>
        </w:rPr>
        <w:t>Figure 3: Sequence coverage map from SWISS-MODEL, highlighting regions with available template coverage (green) and regions lacking template coverage (red/orange), confirming the need for computational prediction.</w:t>
      </w:r>
    </w:p>
    <w:p>
      <w:pPr>
        <w:pStyle w:val="style1"/>
        <w:spacing w:before="280" w:after="120" w:lineRule="auto" w:line="480"/>
        <w:rPr/>
      </w:pPr>
      <w:r>
        <w:rPr>
          <w:b/>
          <w:bCs/>
          <w:sz w:val="28"/>
          <w:szCs w:val="28"/>
        </w:rPr>
        <w:t>3.0 Results</w:t>
      </w:r>
    </w:p>
    <w:p>
      <w:pPr>
        <w:pStyle w:val="style0"/>
        <w:spacing w:after="200" w:lineRule="auto" w:line="480"/>
        <w:jc w:val="both"/>
        <w:rPr/>
      </w:pPr>
      <w:r>
        <w:t>A homology model of human BRCA2 was successfully generated by SWISS-MODEL. A summary of the model parameters is presented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3120"/>
        <w:gridCol w:w="3120"/>
        <w:gridCol w:w="3120"/>
      </w:tblGrid>
      <w:tr>
        <w:trPr/>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pPr>
              <w:pStyle w:val="style0"/>
              <w:jc w:val="center"/>
              <w:rPr/>
            </w:pPr>
            <w:r>
              <w:rPr>
                <w:b/>
                <w:bCs/>
                <w:sz w:val="22"/>
                <w:szCs w:val="22"/>
              </w:rPr>
              <w:t>Parameter</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pPr>
              <w:pStyle w:val="style0"/>
              <w:jc w:val="center"/>
              <w:rPr/>
            </w:pPr>
            <w:r>
              <w:rPr>
                <w:b/>
                <w:bCs/>
                <w:sz w:val="22"/>
                <w:szCs w:val="22"/>
              </w:rPr>
              <w:t>Details</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pPr>
              <w:pStyle w:val="style0"/>
              <w:jc w:val="center"/>
              <w:rPr/>
            </w:pPr>
            <w:r>
              <w:rPr>
                <w:b/>
                <w:bCs/>
                <w:sz w:val="22"/>
                <w:szCs w:val="22"/>
              </w:rPr>
              <w:t>Value</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Query protein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BRCA2_HUMAN (</w:t>
            </w:r>
            <w:r>
              <w:rPr>
                <w:sz w:val="22"/>
                <w:szCs w:val="22"/>
              </w:rPr>
              <w:t>UniProt</w:t>
            </w:r>
            <w:r>
              <w:rPr>
                <w:sz w:val="22"/>
                <w:szCs w:val="22"/>
              </w:rPr>
              <w:t xml:space="preserve"> P51587)</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3,418 aa</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Modelling server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SWISS-MODEL (swissmodel.expasy.org)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Best template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 xml:space="preserve">AlphaFold2 model of BRCA2, Rousettus </w:t>
            </w:r>
            <w:r>
              <w:rPr>
                <w:sz w:val="22"/>
                <w:szCs w:val="22"/>
              </w:rPr>
              <w:t>aegyptiacus</w:t>
            </w:r>
            <w:r>
              <w:rPr>
                <w:sz w:val="22"/>
                <w:szCs w:val="22"/>
              </w:rPr>
              <w:t xml:space="preserve"> (fruit bat)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Seq. identity: 73.17%</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GMQE score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Global Model Quality Estimate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0.23</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Oligo state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Predicted oligomeric state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Monomer</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Chain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Chain identifier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Chain A</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Residues modelled</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Number of residues in model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1,250</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Atoms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Total atoms in model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9,948</w:t>
            </w:r>
          </w:p>
        </w:tc>
      </w:tr>
      <w:tr>
        <w:tblPrEx/>
        <w:trPr/>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Visualization tool</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 xml:space="preserve">UCSF </w:t>
            </w:r>
            <w:r>
              <w:rPr>
                <w:sz w:val="22"/>
                <w:szCs w:val="22"/>
              </w:rPr>
              <w:t>ChimeraX</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pStyle w:val="style0"/>
              <w:jc w:val="center"/>
              <w:rPr/>
            </w:pPr>
            <w:r>
              <w:rPr>
                <w:sz w:val="22"/>
                <w:szCs w:val="22"/>
              </w:rPr>
              <w:t>v1.x, Windows</w:t>
            </w:r>
          </w:p>
        </w:tc>
      </w:tr>
    </w:tbl>
    <w:p>
      <w:pPr>
        <w:pStyle w:val="style0"/>
        <w:spacing w:after="240"/>
        <w:jc w:val="center"/>
        <w:rPr/>
      </w:pPr>
      <w:r>
        <w:rPr>
          <w:i/>
          <w:iCs/>
          <w:sz w:val="20"/>
          <w:szCs w:val="20"/>
        </w:rPr>
        <w:t>Table 1: Summary of SWISS-MODEL structure prediction parameters for human BRCA2.</w:t>
      </w:r>
    </w:p>
    <w:p>
      <w:pPr>
        <w:pStyle w:val="style0"/>
        <w:spacing w:after="200" w:lineRule="auto" w:line="480"/>
        <w:jc w:val="both"/>
        <w:rPr/>
      </w:pPr>
      <w:r>
        <w:t>The predicted model (Model 01) comprised 1,250 residues and 9,948 atoms in a single chain (Chain A), built using the AlphaFold2 model of the fruit bat BRCA2 orthologue as the primary template. The GMQE score of 0.23 reflects the limited template coverage available for this large and structurally complex protein.</w:t>
      </w:r>
    </w:p>
    <w:p>
      <w:pPr>
        <w:pStyle w:val="style94"/>
        <w:rPr/>
      </w:pPr>
      <w:r>
        <w:rPr>
          <w:noProof/>
        </w:rPr>
        <w:drawing>
          <wp:inline distL="0" distT="0" distB="0" distR="0">
            <wp:extent cx="5048250" cy="4400550"/>
            <wp:effectExtent l="0" t="0" r="0" b="0"/>
            <wp:docPr id="1029"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5" cstate="print"/>
                    <a:srcRect l="0" t="0" r="0" b="0"/>
                    <a:stretch/>
                  </pic:blipFill>
                  <pic:spPr>
                    <a:xfrm rot="0">
                      <a:off x="0" y="0"/>
                      <a:ext cx="5048250" cy="4400550"/>
                    </a:xfrm>
                    <a:prstGeom prst="rect"/>
                    <a:ln>
                      <a:noFill/>
                    </a:ln>
                  </pic:spPr>
                </pic:pic>
              </a:graphicData>
            </a:graphic>
          </wp:inline>
        </w:drawing>
      </w:r>
      <w:r>
        <w:t xml:space="preserve"> </w:t>
      </w:r>
      <w:r>
        <w:rPr>
          <w:noProof/>
        </w:rPr>
        <w:drawing>
          <wp:inline distL="0" distT="0" distB="0" distR="0">
            <wp:extent cx="5943600" cy="4201160"/>
            <wp:effectExtent l="0" t="0" r="0" b="8890"/>
            <wp:docPr id="1030"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6" cstate="print"/>
                    <a:srcRect l="0" t="0" r="0" b="0"/>
                    <a:stretch/>
                  </pic:blipFill>
                  <pic:spPr>
                    <a:xfrm rot="0">
                      <a:off x="0" y="0"/>
                      <a:ext cx="5943600" cy="4201160"/>
                    </a:xfrm>
                    <a:prstGeom prst="rect"/>
                    <a:ln>
                      <a:noFill/>
                    </a:ln>
                  </pic:spPr>
                </pic:pic>
              </a:graphicData>
            </a:graphic>
          </wp:inline>
        </w:drawing>
      </w:r>
    </w:p>
    <w:p>
      <w:pPr>
        <w:pStyle w:val="style0"/>
        <w:spacing w:after="240"/>
        <w:rPr>
          <w:i/>
          <w:iCs/>
          <w:sz w:val="20"/>
          <w:szCs w:val="20"/>
        </w:rPr>
      </w:pPr>
      <w:r>
        <w:rPr>
          <w:i/>
          <w:iCs/>
          <w:sz w:val="20"/>
          <w:szCs w:val="20"/>
        </w:rPr>
        <w:t xml:space="preserve">Figure 4: SWISS-MODEL Model 01 of human BRCA2, showing GMQE score of 0.23 and model template </w:t>
      </w:r>
      <w:r>
        <w:rPr>
          <w:i/>
          <w:iCs/>
          <w:sz w:val="20"/>
          <w:szCs w:val="20"/>
        </w:rPr>
        <w:t>information</w:t>
      </w:r>
    </w:p>
    <w:p>
      <w:pPr>
        <w:pStyle w:val="style94"/>
        <w:rPr/>
      </w:pPr>
      <w:r>
        <w:rPr>
          <w:noProof/>
        </w:rPr>
        <w:drawing>
          <wp:inline distL="0" distT="0" distB="0" distR="0">
            <wp:extent cx="5943600" cy="3717289"/>
            <wp:effectExtent l="0" t="0" r="0" b="0"/>
            <wp:docPr id="1031"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1"/>
                    <pic:cNvPicPr/>
                  </pic:nvPicPr>
                  <pic:blipFill>
                    <a:blip r:embed="rId7" cstate="print"/>
                    <a:srcRect l="0" t="0" r="0" b="0"/>
                    <a:stretch/>
                  </pic:blipFill>
                  <pic:spPr>
                    <a:xfrm rot="0">
                      <a:off x="0" y="0"/>
                      <a:ext cx="5943600" cy="3717289"/>
                    </a:xfrm>
                    <a:prstGeom prst="rect"/>
                    <a:ln>
                      <a:noFill/>
                    </a:ln>
                  </pic:spPr>
                </pic:pic>
              </a:graphicData>
            </a:graphic>
          </wp:inline>
        </w:drawing>
      </w:r>
    </w:p>
    <w:p>
      <w:pPr>
        <w:pStyle w:val="style0"/>
        <w:spacing w:after="240"/>
        <w:rPr/>
      </w:pPr>
      <w:r>
        <w:rPr>
          <w:i/>
          <w:iCs/>
          <w:sz w:val="20"/>
          <w:szCs w:val="20"/>
        </w:rPr>
        <w:t xml:space="preserve">Figure 5: Predicted 3D structure of human BRCA2 visualized in UCSF </w:t>
      </w:r>
      <w:r>
        <w:rPr>
          <w:i/>
          <w:iCs/>
          <w:sz w:val="20"/>
          <w:szCs w:val="20"/>
        </w:rPr>
        <w:t>ChimeraX</w:t>
      </w:r>
      <w:r>
        <w:rPr>
          <w:i/>
          <w:iCs/>
          <w:sz w:val="20"/>
          <w:szCs w:val="20"/>
        </w:rPr>
        <w:t xml:space="preserve"> in cartoon representation, coloured by rainbow scheme from N-terminus (blue) to C-terminus (red). Alpha helices appear as coiled ribbons; beta strands appear as flat arrows.</w:t>
      </w:r>
    </w:p>
    <w:p>
      <w:pPr>
        <w:pStyle w:val="style1"/>
        <w:spacing w:before="280" w:after="120" w:lineRule="auto" w:line="480"/>
        <w:rPr>
          <w:b/>
          <w:bCs/>
          <w:color w:val="000000"/>
          <w:sz w:val="28"/>
          <w:szCs w:val="28"/>
        </w:rPr>
      </w:pPr>
    </w:p>
    <w:p>
      <w:pPr>
        <w:pStyle w:val="style1"/>
        <w:spacing w:before="280" w:after="120" w:lineRule="auto" w:line="480"/>
        <w:rPr>
          <w:color w:val="000000"/>
        </w:rPr>
      </w:pPr>
      <w:r>
        <w:rPr>
          <w:b/>
          <w:bCs/>
          <w:color w:val="000000"/>
          <w:sz w:val="28"/>
          <w:szCs w:val="28"/>
        </w:rPr>
        <w:t>4.0 DISCUSSION</w:t>
      </w:r>
    </w:p>
    <w:p>
      <w:pPr>
        <w:pStyle w:val="style0"/>
        <w:spacing w:after="200" w:lineRule="auto" w:line="480"/>
        <w:jc w:val="both"/>
        <w:rPr/>
      </w:pPr>
      <w:r>
        <w:t xml:space="preserve">The predicted structure of human BRCA2 reveals a complex multi-domain architecture comprising a mixture of alpha helices and beta strands, consistent with its known role as a large scaffolding protein involved in DNA repair. The rainbow colouring applied in </w:t>
      </w:r>
      <w:r>
        <w:t>ChimeraX</w:t>
      </w:r>
      <w:r>
        <w:t xml:space="preserve"> allowed clear identification of the N-terminal and C-terminal domains and the transitions between structural elements throughout the protein chain.</w:t>
      </w:r>
    </w:p>
    <w:p>
      <w:pPr>
        <w:pStyle w:val="style0"/>
        <w:spacing w:after="200" w:lineRule="auto" w:line="480"/>
        <w:jc w:val="both"/>
        <w:rPr/>
      </w:pPr>
      <w:r>
        <w:t xml:space="preserve">The low GMQE score of 0.23 indicates that the model should be interpreted with caution, as it reflects the absence of a complete high-resolution experimental template for this region of the </w:t>
      </w:r>
      <w:r>
        <w:t>protein. This is consistent with what is known about BRCA2 structurally: only small fragments of the protein, particularly the C-terminal DNA-binding domain (DBD), have been resolved experimentally by X-ray crystallography. The remainder of the protein, including large portions of the N-terminal and central regions, lacks experimental structural data, making computational prediction the only available approach for obtaining a complete structural picture.</w:t>
      </w:r>
    </w:p>
    <w:p>
      <w:pPr>
        <w:pStyle w:val="style0"/>
        <w:spacing w:after="200" w:lineRule="auto" w:line="480"/>
        <w:jc w:val="both"/>
        <w:rPr/>
      </w:pPr>
      <w:r>
        <w:t xml:space="preserve">Despite the limitations imposed by partial template coverage, the predicted model provides a useful starting point for understanding BRCA2's structural organisation, identifying putative domain boundaries, and guiding future experimental structure determination efforts. The use of SWISS-MODEL followed by </w:t>
      </w:r>
      <w:r>
        <w:t>ChimeraX</w:t>
      </w:r>
      <w:r>
        <w:t xml:space="preserve"> visualization demonstrates a complete bioinformatics workflow from sequence retrieval to 3D structural analysis.</w:t>
      </w:r>
    </w:p>
    <w:p>
      <w:pPr>
        <w:pStyle w:val="style1"/>
        <w:spacing w:before="280" w:after="120" w:lineRule="auto" w:line="480"/>
        <w:rPr>
          <w:color w:val="auto"/>
        </w:rPr>
      </w:pPr>
      <w:r>
        <w:rPr>
          <w:b/>
          <w:bCs/>
          <w:color w:val="auto"/>
          <w:sz w:val="28"/>
          <w:szCs w:val="28"/>
        </w:rPr>
        <w:t>5.0 CONCLUSION</w:t>
      </w:r>
    </w:p>
    <w:p>
      <w:pPr>
        <w:pStyle w:val="style0"/>
        <w:spacing w:after="200" w:lineRule="auto" w:line="480"/>
        <w:jc w:val="both"/>
        <w:rPr/>
      </w:pPr>
      <w:r>
        <w:t xml:space="preserve">This task demonstrated the retrieval of the human BRCA2 protein sequence from </w:t>
      </w:r>
      <w:r>
        <w:t>UniProtKB</w:t>
      </w:r>
      <w:r>
        <w:t xml:space="preserve">, submission to SWISS-MODEL for structure prediction, and visualization of the resulting 3D model in UCSF </w:t>
      </w:r>
      <w:r>
        <w:t>ChimeraX</w:t>
      </w:r>
      <w:r>
        <w:t xml:space="preserve">. The low GMQE </w:t>
      </w:r>
      <w:r>
        <w:t>score</w:t>
      </w:r>
      <w:r>
        <w:t xml:space="preserve"> and partial template coverage confirmed that no complete experimental structure exists for full-length human BRCA2, validating the application of computational prediction tools. The predicted model revealed a complex multi-domain structure with mixed alpha/beta secondary structure elements, consistent with BRCA2's known biological function in DNA damage repair.</w:t>
      </w:r>
    </w:p>
    <w:p>
      <w:pPr>
        <w:pStyle w:val="style1"/>
        <w:spacing w:before="280" w:after="120" w:lineRule="auto" w:line="480"/>
        <w:rPr>
          <w:color w:val="auto"/>
        </w:rPr>
      </w:pPr>
      <w:r>
        <w:rPr>
          <w:b/>
          <w:bCs/>
          <w:color w:val="auto"/>
          <w:sz w:val="28"/>
          <w:szCs w:val="28"/>
        </w:rPr>
        <w:t>REFERENCES</w:t>
      </w:r>
    </w:p>
    <w:p>
      <w:pPr>
        <w:pStyle w:val="style0"/>
        <w:spacing w:after="120" w:lineRule="auto" w:line="480"/>
        <w:ind w:left="720" w:hanging="720"/>
        <w:rPr/>
      </w:pPr>
      <w:r>
        <w:t xml:space="preserve">Jumper, J., et al. (2021). Highly accurate protein structure prediction with </w:t>
      </w:r>
      <w:r>
        <w:t>AlphaFold</w:t>
      </w:r>
      <w:r>
        <w:t>. Nature, 596, 583–589.</w:t>
      </w:r>
    </w:p>
    <w:p>
      <w:pPr>
        <w:pStyle w:val="style0"/>
        <w:spacing w:after="120" w:lineRule="auto" w:line="480"/>
        <w:ind w:left="720" w:hanging="720"/>
        <w:rPr/>
      </w:pPr>
      <w:r>
        <w:t>Waterhouse, A., et al. (2018). SWISS-MODEL: Homology modelling of protein structures and complexes. Nucleic Acids Research, 46(W1), W296–W303.</w:t>
      </w:r>
    </w:p>
    <w:p>
      <w:pPr>
        <w:pStyle w:val="style0"/>
        <w:spacing w:after="120" w:lineRule="auto" w:line="480"/>
        <w:ind w:left="720" w:hanging="720"/>
        <w:rPr/>
      </w:pPr>
      <w:r>
        <w:t xml:space="preserve">The </w:t>
      </w:r>
      <w:r>
        <w:t>UniProt</w:t>
      </w:r>
      <w:r>
        <w:t xml:space="preserve"> Consortium. (2023). </w:t>
      </w:r>
      <w:r>
        <w:t>UniProt</w:t>
      </w:r>
      <w:r>
        <w:t>: The Universal Protein Knowledgebase. Nucleic Acids Research, 51(D1), D523–D531.</w:t>
      </w:r>
    </w:p>
    <w:p>
      <w:pPr>
        <w:pStyle w:val="style0"/>
        <w:spacing w:after="120" w:lineRule="auto" w:line="480"/>
        <w:ind w:left="720" w:hanging="720"/>
        <w:rPr/>
      </w:pPr>
      <w:r>
        <w:t xml:space="preserve">Goddard, T. D., et al. (2018). UCSF </w:t>
      </w:r>
      <w:r>
        <w:t>ChimeraX</w:t>
      </w:r>
      <w:r>
        <w:t>: Meeting modern challenges in visualization and analysis. Protein Science, 27(1), 14–25.</w:t>
      </w:r>
    </w:p>
    <w:sectPr>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4186B98"/>
    <w:lvl w:ilvl="0" w:tplc="258CCAD0">
      <w:start w:val="1"/>
      <w:numFmt w:val="bullet"/>
      <w:lvlText w:val="●"/>
      <w:lvlJc w:val="left"/>
      <w:pPr>
        <w:ind w:left="720" w:hanging="360"/>
      </w:pPr>
    </w:lvl>
    <w:lvl w:ilvl="1" w:tplc="321CE0CE">
      <w:start w:val="1"/>
      <w:numFmt w:val="bullet"/>
      <w:lvlText w:val="○"/>
      <w:lvlJc w:val="left"/>
      <w:pPr>
        <w:ind w:left="1440" w:hanging="360"/>
      </w:pPr>
    </w:lvl>
    <w:lvl w:ilvl="2" w:tplc="F760E1CA">
      <w:start w:val="1"/>
      <w:numFmt w:val="bullet"/>
      <w:lvlText w:val="■"/>
      <w:lvlJc w:val="left"/>
      <w:pPr>
        <w:ind w:left="2160" w:hanging="360"/>
      </w:pPr>
    </w:lvl>
    <w:lvl w:ilvl="3" w:tplc="94F02C14">
      <w:start w:val="1"/>
      <w:numFmt w:val="bullet"/>
      <w:lvlText w:val="●"/>
      <w:lvlJc w:val="left"/>
      <w:pPr>
        <w:ind w:left="2880" w:hanging="360"/>
      </w:pPr>
    </w:lvl>
    <w:lvl w:ilvl="4" w:tplc="738052C0">
      <w:start w:val="1"/>
      <w:numFmt w:val="bullet"/>
      <w:lvlText w:val="○"/>
      <w:lvlJc w:val="left"/>
      <w:pPr>
        <w:ind w:left="3600" w:hanging="360"/>
      </w:pPr>
    </w:lvl>
    <w:lvl w:ilvl="5" w:tplc="2A1A8F08">
      <w:start w:val="1"/>
      <w:numFmt w:val="bullet"/>
      <w:lvlText w:val="■"/>
      <w:lvlJc w:val="left"/>
      <w:pPr>
        <w:ind w:left="4320" w:hanging="360"/>
      </w:pPr>
    </w:lvl>
    <w:lvl w:ilvl="6" w:tplc="C79C6718">
      <w:start w:val="1"/>
      <w:numFmt w:val="bullet"/>
      <w:lvlText w:val="●"/>
      <w:lvlJc w:val="left"/>
      <w:pPr>
        <w:ind w:left="5040" w:hanging="360"/>
      </w:pPr>
    </w:lvl>
    <w:lvl w:ilvl="7" w:tplc="8E9A4744">
      <w:start w:val="1"/>
      <w:numFmt w:val="bullet"/>
      <w:lvlText w:val="●"/>
      <w:lvlJc w:val="left"/>
      <w:pPr>
        <w:ind w:left="5760" w:hanging="360"/>
      </w:pPr>
    </w:lvl>
    <w:lvl w:ilvl="8" w:tplc="8B26C7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94">
    <w:name w:val="Normal (Web)"/>
    <w:basedOn w:val="style0"/>
    <w:next w:val="style94"/>
    <w:uiPriority w:val="99"/>
    <w:pPr>
      <w:spacing w:before="100" w:beforeAutospacing="true" w:after="100" w:afterAutospacing="true"/>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3.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Words>979</Words>
  <Pages>9</Pages>
  <Characters>6027</Characters>
  <Application>WPS Office</Application>
  <DocSecurity>0</DocSecurity>
  <Paragraphs>76</Paragraphs>
  <ScaleCrop>false</ScaleCrop>
  <LinksUpToDate>false</LinksUpToDate>
  <CharactersWithSpaces>6945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2026-06-23T23:02:00Z</dcterms:created>
  <dc:creator>Un-named</dc:creator>
  <lastModifiedBy>itel S665L</lastModifiedBy>
  <dcterms:modified xsi:type="dcterms:W3CDTF">2026-06-26T19:16:12Z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9275fd9dfb394d3db3894abc9892db88</vt:lpwstr>
  </property>
</Properties>
</file>