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00" w:lineRule="auto" w:line="480"/>
        <w:jc w:val="center"/>
        <w:rPr>
          <w:b/>
          <w:bCs/>
          <w:sz w:val="28"/>
          <w:szCs w:val="28"/>
        </w:rPr>
      </w:pPr>
      <w:r>
        <w:rPr>
          <w:b/>
          <w:bCs/>
          <w:sz w:val="28"/>
          <w:szCs w:val="28"/>
        </w:rPr>
        <w:t>CODEALPHA BIOINFORMATICS INTERNSHIP</w:t>
      </w:r>
    </w:p>
    <w:p>
      <w:pPr>
        <w:pStyle w:val="style0"/>
        <w:spacing w:after="100" w:lineRule="auto" w:line="480"/>
        <w:jc w:val="center"/>
        <w:rPr>
          <w:b/>
          <w:bCs/>
          <w:sz w:val="28"/>
          <w:szCs w:val="28"/>
          <w:lang w:val="en-GB"/>
        </w:rPr>
      </w:pPr>
      <w:r>
        <w:rPr>
          <w:b/>
          <w:bCs/>
          <w:sz w:val="28"/>
          <w:szCs w:val="28"/>
          <w:lang w:val="en-GB"/>
        </w:rPr>
        <w:t>NAME: EZIKPE EMMANUEL LEKWA</w:t>
      </w:r>
    </w:p>
    <w:p>
      <w:pPr>
        <w:pStyle w:val="style0"/>
        <w:spacing w:after="100" w:lineRule="auto" w:line="480"/>
        <w:jc w:val="center"/>
        <w:rPr>
          <w:b/>
          <w:bCs/>
          <w:sz w:val="28"/>
          <w:szCs w:val="28"/>
          <w:lang w:val="en-GB"/>
        </w:rPr>
      </w:pPr>
      <w:r>
        <w:rPr>
          <w:b/>
          <w:bCs/>
          <w:sz w:val="28"/>
          <w:szCs w:val="28"/>
          <w:lang w:val="en-GB"/>
        </w:rPr>
        <w:t>STUDENT ID CA/DF1/141822</w:t>
      </w:r>
    </w:p>
    <w:p>
      <w:pPr>
        <w:pStyle w:val="style0"/>
        <w:spacing w:after="100" w:lineRule="auto" w:line="480"/>
        <w:rPr>
          <w:b/>
          <w:bCs/>
          <w:sz w:val="28"/>
          <w:szCs w:val="28"/>
          <w:lang w:val="en-GB"/>
        </w:rPr>
      </w:pPr>
      <w:r>
        <w:rPr>
          <w:b/>
          <w:bCs/>
          <w:sz w:val="28"/>
          <w:szCs w:val="28"/>
        </w:rPr>
        <w:t xml:space="preserve">TASK 2: MULTIPLE SEQUENCE ALIGNMENT OF BCL-2 FAMILY </w:t>
      </w:r>
      <w:r>
        <w:rPr>
          <w:b/>
          <w:bCs/>
          <w:sz w:val="28"/>
          <w:szCs w:val="28"/>
          <w:lang w:val="en-GB"/>
        </w:rPr>
        <w:t xml:space="preserve">    </w:t>
      </w:r>
      <w:r>
        <w:rPr>
          <w:b/>
          <w:bCs/>
          <w:sz w:val="28"/>
          <w:szCs w:val="28"/>
        </w:rPr>
        <w:t>PROTEINS ACROSS FIVE SPECIES</w:t>
      </w:r>
    </w:p>
    <w:p>
      <w:pPr>
        <w:pStyle w:val="style1"/>
        <w:spacing w:before="280" w:after="120" w:lineRule="auto" w:line="480"/>
        <w:rPr>
          <w:color w:val="auto"/>
        </w:rPr>
      </w:pPr>
      <w:r>
        <w:rPr>
          <w:b/>
          <w:bCs/>
          <w:color w:val="auto"/>
          <w:sz w:val="28"/>
          <w:szCs w:val="28"/>
        </w:rPr>
        <w:t xml:space="preserve"> INTRODUCTION</w:t>
      </w:r>
    </w:p>
    <w:p>
      <w:pPr>
        <w:pStyle w:val="style0"/>
        <w:spacing w:after="200" w:lineRule="auto" w:line="480"/>
        <w:jc w:val="both"/>
        <w:rPr/>
      </w:pPr>
      <w:r>
        <w:t>Multiple Sequence Alignment (MSA) is a fundamental bioinformatics technique used to align three or more biological sequences simultaneously in order to identify regions of similarity, conserved motifs, and evolutionary relationships. By aligning homologous sequences from different species, researchers can identify which regions of a protein have been conserved across evolution</w:t>
      </w:r>
      <w:r>
        <w:rPr>
          <w:lang w:val="en-GB"/>
        </w:rPr>
        <w:t>,</w:t>
      </w:r>
      <w:r>
        <w:t xml:space="preserve"> these conserved regions typically correspond to functionally or structurally important parts of the protein.</w:t>
      </w:r>
    </w:p>
    <w:p>
      <w:pPr>
        <w:pStyle w:val="style0"/>
        <w:spacing w:after="200" w:lineRule="auto" w:line="480"/>
        <w:jc w:val="both"/>
        <w:rPr/>
      </w:pPr>
      <w:r>
        <w:t>The BCL-2 (B-cell lymphoma 2) protein family was selected for this MSA task. BCL-2 is a proto-oncogenic apoptosis regulator that plays a central role in controlling programmed cell death. It functions by preventing the release of cytochrome c from mitochondria, thereby blocking the intrinsic apoptosis pathway. Overexpression of BCL-2 is associated with several cancers, as it allows cancer cells to evade programmed death. The BCL-2 protein is characterised by four conserved Bcl-2 Homology (BH) domains</w:t>
      </w:r>
      <w:r>
        <w:rPr>
          <w:lang w:val="en-GB"/>
        </w:rPr>
        <w:t>:</w:t>
      </w:r>
      <w:r>
        <w:t xml:space="preserve"> BH1, BH2, BH3, and BH</w:t>
      </w:r>
      <w:r>
        <w:t xml:space="preserve">4 </w:t>
      </w:r>
      <w:r>
        <w:rPr>
          <w:lang w:val="en-GB"/>
        </w:rPr>
        <w:t>,</w:t>
      </w:r>
      <w:r>
        <w:rPr>
          <w:lang w:val="en-GB"/>
        </w:rPr>
        <w:t xml:space="preserve"> </w:t>
      </w:r>
      <w:r>
        <w:t xml:space="preserve"> which are essential for its function and interactions with pro-apoptotic proteins. The objective of this task </w:t>
      </w:r>
      <w:r>
        <w:rPr>
          <w:lang w:val="en-GB"/>
        </w:rPr>
        <w:t>is</w:t>
      </w:r>
      <w:r>
        <w:t xml:space="preserve"> to retrieve BCL-2 protein sequences from five different organisms, perform MSA using </w:t>
      </w:r>
      <w:r>
        <w:t>Clustal</w:t>
      </w:r>
      <w:r>
        <w:t xml:space="preserve"> Omega, and identify conserved regions and motifs.</w:t>
      </w:r>
    </w:p>
    <w:p>
      <w:pPr>
        <w:pStyle w:val="style1"/>
        <w:spacing w:before="280" w:after="120" w:lineRule="auto" w:line="480"/>
        <w:rPr>
          <w:color w:val="auto"/>
        </w:rPr>
      </w:pPr>
      <w:r>
        <w:rPr>
          <w:b/>
          <w:bCs/>
          <w:color w:val="auto"/>
          <w:sz w:val="28"/>
          <w:szCs w:val="28"/>
        </w:rPr>
        <w:t>METHODOLOGY</w:t>
      </w:r>
    </w:p>
    <w:p>
      <w:pPr>
        <w:pStyle w:val="style0"/>
        <w:spacing w:after="200" w:lineRule="auto" w:line="480"/>
        <w:jc w:val="both"/>
        <w:rPr/>
      </w:pPr>
      <w:r>
        <w:t xml:space="preserve">BCL-2 protein sequences from five organisms were retrieved from the </w:t>
      </w:r>
      <w:r>
        <w:t>UniProt</w:t>
      </w:r>
      <w:r>
        <w:t xml:space="preserve"> Knowledgebase (</w:t>
      </w:r>
      <w:r>
        <w:t>UniProtKB</w:t>
      </w:r>
      <w:r>
        <w:t>) in FASTA format. The five sequences selected are listed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340"/>
        <w:gridCol w:w="2340"/>
        <w:gridCol w:w="2340"/>
        <w:gridCol w:w="2340"/>
      </w:tblGrid>
      <w:tr>
        <w:trPr/>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UniProt</w:t>
            </w:r>
            <w:r>
              <w:rPr>
                <w:b/>
                <w:bCs/>
                <w:sz w:val="22"/>
                <w:szCs w:val="22"/>
              </w:rPr>
              <w:t xml:space="preserve"> Accession</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Entry Name</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Organism</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Length (aa)</w:t>
            </w:r>
          </w:p>
        </w:tc>
      </w:tr>
      <w:tr>
        <w:tblPrEx/>
        <w:trPr/>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P10415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BCL2_HUMAN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Homo sapiens (Human)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239</w:t>
            </w:r>
          </w:p>
        </w:tc>
      </w:tr>
      <w:tr>
        <w:tblPrEx/>
        <w:trPr/>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P10417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BCL2_MOUSE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Mus musculus (Mouse)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236</w:t>
            </w:r>
          </w:p>
        </w:tc>
      </w:tr>
      <w:tr>
        <w:tblPrEx/>
        <w:trPr/>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P49950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BCL2_RAT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Rattus norvegicus (Rat)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236</w:t>
            </w:r>
          </w:p>
        </w:tc>
      </w:tr>
      <w:tr>
        <w:tblPrEx/>
        <w:trPr/>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Q00709</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BCL2_CHICK</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 xml:space="preserve">Gallus </w:t>
            </w:r>
            <w:r>
              <w:rPr>
                <w:sz w:val="22"/>
                <w:szCs w:val="22"/>
              </w:rPr>
              <w:t>gallus</w:t>
            </w:r>
            <w:r>
              <w:rPr>
                <w:sz w:val="22"/>
                <w:szCs w:val="22"/>
              </w:rPr>
              <w:t xml:space="preserve"> (Chicken)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233</w:t>
            </w:r>
          </w:p>
        </w:tc>
      </w:tr>
      <w:tr>
        <w:tblPrEx/>
        <w:trPr/>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Q6Z2G7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BCL2_ORYSJ</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Oryza sativa (Rice)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361</w:t>
            </w:r>
          </w:p>
        </w:tc>
      </w:tr>
    </w:tbl>
    <w:p>
      <w:pPr>
        <w:pStyle w:val="style0"/>
        <w:spacing w:after="240"/>
        <w:jc w:val="center"/>
        <w:rPr/>
      </w:pPr>
      <w:r>
        <w:rPr>
          <w:i/>
          <w:iCs/>
          <w:sz w:val="20"/>
          <w:szCs w:val="20"/>
        </w:rPr>
        <w:t xml:space="preserve">Table 1: BCL-2 protein sequences retrieved from </w:t>
      </w:r>
      <w:r>
        <w:rPr>
          <w:i/>
          <w:iCs/>
          <w:sz w:val="20"/>
          <w:szCs w:val="20"/>
        </w:rPr>
        <w:t>UniProtKB</w:t>
      </w:r>
      <w:r>
        <w:rPr>
          <w:i/>
          <w:iCs/>
          <w:sz w:val="20"/>
          <w:szCs w:val="20"/>
        </w:rPr>
        <w:t xml:space="preserve"> for multiple sequence alignment.</w:t>
      </w:r>
    </w:p>
    <w:p>
      <w:pPr>
        <w:pStyle w:val="style0"/>
        <w:spacing w:after="200" w:lineRule="auto" w:line="480"/>
        <w:jc w:val="both"/>
        <w:rPr/>
      </w:pPr>
      <w:r>
        <w:t xml:space="preserve">All five FASTA sequences were combined into a single input file and submitted to the </w:t>
      </w:r>
      <w:r>
        <w:t>Clustal</w:t>
      </w:r>
      <w:r>
        <w:t xml:space="preserve"> Omega Multiple Sequence Alignment server hosted by the European Bioinformatics Institute (EBI; https://www.ebi.ac.uk/jdispatcher/msa/clustalo). The sequence type was set to Protein and the output format was set to </w:t>
      </w:r>
      <w:r>
        <w:t>ClustalW</w:t>
      </w:r>
      <w:r>
        <w:t xml:space="preserve"> with character counts. Results were retrieved from the EBI job dispatcher upon completion.</w:t>
      </w:r>
    </w:p>
    <w:p>
      <w:pPr>
        <w:pStyle w:val="style94"/>
        <w:rPr>
          <w:i/>
          <w:iCs/>
          <w:sz w:val="20"/>
          <w:szCs w:val="20"/>
        </w:rPr>
      </w:pPr>
      <w:r>
        <w:rPr>
          <w:noProof/>
        </w:rPr>
        <w:drawing>
          <wp:inline distL="0" distT="0" distB="0" distR="0">
            <wp:extent cx="5943600" cy="2085975"/>
            <wp:effectExtent l="0" t="0" r="0" b="9525"/>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2085975"/>
                    </a:xfrm>
                    <a:prstGeom prst="rect"/>
                    <a:ln>
                      <a:noFill/>
                    </a:ln>
                  </pic:spPr>
                </pic:pic>
              </a:graphicData>
            </a:graphic>
          </wp:inline>
        </w:drawing>
      </w:r>
      <w:r>
        <w:rPr>
          <w:i/>
          <w:iCs/>
          <w:sz w:val="20"/>
          <w:szCs w:val="20"/>
        </w:rPr>
        <w:t xml:space="preserve">Figure 1: </w:t>
      </w:r>
      <w:r>
        <w:rPr>
          <w:i/>
          <w:iCs/>
          <w:sz w:val="20"/>
          <w:szCs w:val="20"/>
        </w:rPr>
        <w:t>UniProt</w:t>
      </w:r>
      <w:r>
        <w:rPr>
          <w:i/>
          <w:iCs/>
          <w:sz w:val="20"/>
          <w:szCs w:val="20"/>
        </w:rPr>
        <w:t xml:space="preserve"> search results for BCL-2, showing the five sequences selected for alignment.</w:t>
      </w:r>
    </w:p>
    <w:p>
      <w:pPr>
        <w:pStyle w:val="style94"/>
        <w:rPr/>
      </w:pPr>
      <w:r>
        <w:rPr>
          <w:noProof/>
          <w:lang w:val="en-GB"/>
        </w:rPr>
        <w:t xml:space="preserve"> </w:t>
      </w:r>
      <w:r>
        <w:rPr>
          <w:noProof/>
        </w:rPr>
        <w:drawing>
          <wp:inline distL="0" distT="0" distB="0" distR="0">
            <wp:extent cx="5943600" cy="2983865"/>
            <wp:effectExtent l="0" t="0" r="0" b="6985"/>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2983865"/>
                    </a:xfrm>
                    <a:prstGeom prst="rect"/>
                    <a:ln>
                      <a:noFill/>
                    </a:ln>
                  </pic:spPr>
                </pic:pic>
              </a:graphicData>
            </a:graphic>
          </wp:inline>
        </w:drawing>
      </w:r>
    </w:p>
    <w:p>
      <w:pPr>
        <w:pStyle w:val="style94"/>
        <w:rPr/>
      </w:pPr>
    </w:p>
    <w:p>
      <w:pPr>
        <w:pStyle w:val="style0"/>
        <w:spacing w:after="240"/>
        <w:jc w:val="center"/>
        <w:rPr>
          <w:i/>
          <w:iCs/>
          <w:sz w:val="20"/>
          <w:szCs w:val="20"/>
        </w:rPr>
      </w:pPr>
      <w:r>
        <w:rPr>
          <w:i/>
          <w:iCs/>
          <w:sz w:val="20"/>
          <w:szCs w:val="20"/>
        </w:rPr>
        <w:t xml:space="preserve">Figure 2: </w:t>
      </w:r>
      <w:r>
        <w:rPr>
          <w:i/>
          <w:iCs/>
          <w:sz w:val="20"/>
          <w:szCs w:val="20"/>
        </w:rPr>
        <w:t>Clustal</w:t>
      </w:r>
      <w:r>
        <w:rPr>
          <w:i/>
          <w:iCs/>
          <w:sz w:val="20"/>
          <w:szCs w:val="20"/>
        </w:rPr>
        <w:t xml:space="preserve"> Omega submission page with all five BCL-2 sequences pasted as input.</w:t>
      </w:r>
    </w:p>
    <w:p>
      <w:pPr>
        <w:pStyle w:val="style0"/>
        <w:spacing w:after="240"/>
        <w:rPr>
          <w:i/>
          <w:iCs/>
          <w:sz w:val="20"/>
          <w:szCs w:val="20"/>
        </w:rPr>
      </w:pPr>
    </w:p>
    <w:p>
      <w:pPr>
        <w:pStyle w:val="style0"/>
        <w:spacing w:after="240"/>
        <w:rPr/>
      </w:pPr>
      <w:r>
        <w:rPr>
          <w:b/>
          <w:bCs/>
          <w:sz w:val="28"/>
          <w:szCs w:val="28"/>
        </w:rPr>
        <w:t xml:space="preserve"> RESULTS</w:t>
      </w:r>
    </w:p>
    <w:p>
      <w:pPr>
        <w:pStyle w:val="style0"/>
        <w:spacing w:after="200" w:lineRule="auto" w:line="480"/>
        <w:jc w:val="both"/>
        <w:rPr/>
      </w:pPr>
      <w:r>
        <w:t xml:space="preserve">The </w:t>
      </w:r>
      <w:r>
        <w:t>Clustal</w:t>
      </w:r>
      <w:r>
        <w:t xml:space="preserve"> Omega MSA was completed successfully, producing a multiple alignment of all five BCL-2 sequences. The alignment output used standard </w:t>
      </w:r>
      <w:r>
        <w:t>ClustalW</w:t>
      </w:r>
      <w:r>
        <w:t xml:space="preserve"> conservation notation: an asterisk (*) denotes a fully conserved residue identical across all five sequences, a colon (:) indicates strongly similar residues, and a period (.) indicates weakly similar residues. Gaps introduced by the algorithm are represented by dashes (-).</w:t>
      </w:r>
    </w:p>
    <w:p>
      <w:pPr>
        <w:pStyle w:val="style0"/>
        <w:spacing w:after="200" w:lineRule="auto" w:line="480"/>
        <w:jc w:val="both"/>
        <w:rPr/>
      </w:pPr>
      <w:r>
        <w:t xml:space="preserve">The alignment revealed high conservation in the central region of the BCL-2 protein, corresponding to the BH1, BH2, and BH3 domains, present across all five species. Mammalian sequences (human, mouse, rat) showed the highest degree of similarity to each other, with very few gaps and high identity across the full alignment length. The chicken sequence showed moderate conservation relative to the mammalian sequences. The rice BCL-2-related sequence </w:t>
      </w:r>
      <w:r>
        <w:t>(BCL2_ORYSJ) was notably longer (361 aa) and showed more divergence, with larger gap regions, reflecting the greater evolutionary distance between plants and animals.</w:t>
      </w:r>
    </w:p>
    <w:p>
      <w:pPr>
        <w:pStyle w:val="style94"/>
        <w:rPr/>
      </w:pPr>
      <w:r>
        <w:rPr>
          <w:noProof/>
        </w:rPr>
        <w:drawing>
          <wp:inline distL="0" distT="0" distB="0" distR="0">
            <wp:extent cx="5943600" cy="297688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2976880"/>
                    </a:xfrm>
                    <a:prstGeom prst="rect"/>
                    <a:ln>
                      <a:noFill/>
                    </a:ln>
                  </pic:spPr>
                </pic:pic>
              </a:graphicData>
            </a:graphic>
          </wp:inline>
        </w:drawing>
      </w:r>
    </w:p>
    <w:p>
      <w:pPr>
        <w:pStyle w:val="style94"/>
        <w:rPr/>
      </w:pPr>
      <w:r>
        <w:rPr>
          <w:noProof/>
        </w:rPr>
        <w:drawing>
          <wp:inline distL="0" distT="0" distB="0" distR="0">
            <wp:extent cx="5943600" cy="306705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3067050"/>
                    </a:xfrm>
                    <a:prstGeom prst="rect"/>
                    <a:ln>
                      <a:noFill/>
                    </a:ln>
                  </pic:spPr>
                </pic:pic>
              </a:graphicData>
            </a:graphic>
          </wp:inline>
        </w:drawing>
      </w:r>
    </w:p>
    <w:p>
      <w:pPr>
        <w:pStyle w:val="style94"/>
        <w:rPr>
          <w:i/>
          <w:iCs/>
          <w:sz w:val="20"/>
          <w:szCs w:val="20"/>
        </w:rPr>
      </w:pPr>
      <w:r>
        <w:rPr>
          <w:noProof/>
        </w:rPr>
        <w:drawing>
          <wp:inline distL="0" distT="0" distB="0" distR="0">
            <wp:extent cx="5943600" cy="3038475"/>
            <wp:effectExtent l="0" t="0" r="0" b="9525"/>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3038475"/>
                    </a:xfrm>
                    <a:prstGeom prst="rect"/>
                    <a:ln>
                      <a:noFill/>
                    </a:ln>
                  </pic:spPr>
                </pic:pic>
              </a:graphicData>
            </a:graphic>
          </wp:inline>
        </w:drawing>
      </w:r>
      <w:r>
        <w:rPr>
          <w:i/>
          <w:iCs/>
          <w:sz w:val="20"/>
          <w:szCs w:val="20"/>
        </w:rPr>
        <w:t xml:space="preserve">Figure 3: </w:t>
      </w:r>
      <w:r>
        <w:rPr>
          <w:i/>
          <w:iCs/>
          <w:sz w:val="20"/>
          <w:szCs w:val="20"/>
        </w:rPr>
        <w:t>Clustal</w:t>
      </w:r>
      <w:r>
        <w:rPr>
          <w:i/>
          <w:iCs/>
          <w:sz w:val="20"/>
          <w:szCs w:val="20"/>
        </w:rPr>
        <w:t xml:space="preserve"> Omega MSA output showing the beginning of the BCL-2 alignment across five species. Conserved positions marked with asterisks (*), strongly similar with colons (:), weakly similar with periods (.).</w:t>
      </w:r>
    </w:p>
    <w:p>
      <w:pPr>
        <w:pStyle w:val="style94"/>
        <w:rPr>
          <w:i/>
          <w:iCs/>
          <w:sz w:val="20"/>
          <w:szCs w:val="20"/>
        </w:rPr>
      </w:pPr>
      <w:r>
        <w:rPr>
          <w:i/>
          <w:iCs/>
          <w:sz w:val="20"/>
          <w:szCs w:val="20"/>
        </w:rPr>
        <w:drawing>
          <wp:inline distL="0" distT="0" distB="0" distR="0">
            <wp:extent cx="5943600" cy="3774439"/>
            <wp:effectExtent l="0" t="0" r="0" b="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943600" cy="3774439"/>
                    </a:xfrm>
                    <a:prstGeom prst="rect"/>
                  </pic:spPr>
                </pic:pic>
              </a:graphicData>
            </a:graphic>
          </wp:inline>
        </w:drawing>
      </w:r>
    </w:p>
    <w:p>
      <w:pPr>
        <w:pStyle w:val="style0"/>
        <w:spacing w:after="240"/>
        <w:jc w:val="center"/>
        <w:rPr>
          <w:i/>
          <w:iCs/>
          <w:sz w:val="20"/>
          <w:szCs w:val="20"/>
        </w:rPr>
      </w:pPr>
      <w:r>
        <w:rPr>
          <w:i/>
          <w:iCs/>
          <w:sz w:val="20"/>
          <w:szCs w:val="20"/>
        </w:rPr>
        <w:t>Figure 5: Phylogenetic tree generated from the BCL-2 MSA, illustrating evolutionary relationships between the five species.</w:t>
      </w:r>
    </w:p>
    <w:p>
      <w:pPr>
        <w:pStyle w:val="style0"/>
        <w:spacing w:after="240"/>
        <w:rPr>
          <w:i/>
          <w:iCs/>
          <w:sz w:val="20"/>
          <w:szCs w:val="20"/>
        </w:rPr>
      </w:pPr>
    </w:p>
    <w:p>
      <w:pPr>
        <w:pStyle w:val="style0"/>
        <w:spacing w:after="240"/>
        <w:rPr/>
      </w:pPr>
      <w:r>
        <w:rPr>
          <w:b/>
          <w:bCs/>
          <w:sz w:val="28"/>
          <w:szCs w:val="28"/>
        </w:rPr>
        <w:t xml:space="preserve"> DISCUSSION</w:t>
      </w:r>
    </w:p>
    <w:p>
      <w:pPr>
        <w:pStyle w:val="style0"/>
        <w:spacing w:after="200" w:lineRule="auto" w:line="480"/>
        <w:jc w:val="both"/>
        <w:rPr/>
      </w:pPr>
      <w:r>
        <w:t>The MSA results demonstrate strong conservation of the BCL-2 protein across vertebrate species, particularly within the BH domain regions. The high sequence similarity between human, mouse, and rat BCL-2 proteins is consistent with their close evolutionary relationship as mammals and confirms that the core apoptosis-regulatory function of BCL-2 has been maintained throughout mammalian evolution. This supports the use of rodent models in studying BCL-2-related cancer biology and drug development.</w:t>
      </w:r>
    </w:p>
    <w:p>
      <w:pPr>
        <w:pStyle w:val="style0"/>
        <w:spacing w:after="200" w:lineRule="auto" w:line="480"/>
        <w:jc w:val="both"/>
        <w:rPr/>
      </w:pPr>
      <w:r>
        <w:t xml:space="preserve">The conserved positions marked by asterisks (*) in the alignment correspond to amino acid residues likely critical for BCL-2's structural integrity and functional activity, particularly </w:t>
      </w:r>
      <w:r>
        <w:t xml:space="preserve">those </w:t>
      </w:r>
      <w:r>
        <w:rPr>
          <w:lang w:val="en-GB"/>
        </w:rPr>
        <w:t xml:space="preserve"> </w:t>
      </w:r>
      <w:r>
        <w:t>involved</w:t>
      </w:r>
      <w:r>
        <w:t xml:space="preserve"> in forming the hydrophobic BH3-binding groove </w:t>
      </w:r>
      <w:r>
        <w:rPr>
          <w:lang w:val="en-GB"/>
        </w:rPr>
        <w:t xml:space="preserve">- </w:t>
      </w:r>
      <w:r>
        <w:t xml:space="preserve">the region targeted by BCL-2 inhibitor drugs such as </w:t>
      </w:r>
      <w:r>
        <w:t>venetoclax</w:t>
      </w:r>
      <w:r>
        <w:t>, used clinically in the treatment of chronic lymphocytic leukaemia and acute myeloid leukaemia.</w:t>
      </w:r>
    </w:p>
    <w:p>
      <w:pPr>
        <w:pStyle w:val="style0"/>
        <w:spacing w:after="200" w:lineRule="auto" w:line="480"/>
        <w:jc w:val="both"/>
        <w:rPr/>
      </w:pPr>
      <w:r>
        <w:t>The divergence observed in the plant BCL-2-related sequence (BCL2_ORYSJ) reflects the greater evolutionary distance between Oryza sativa and vertebrates. While plant BCL-2-related proteins share some structural homology with animal BCL-2, particularly in the BH domain regions, they have undergone significant sequence divergence and functional specialisation, accounting for the increased gaps and lower overall identity in the alignment.</w:t>
      </w:r>
    </w:p>
    <w:p>
      <w:pPr>
        <w:pStyle w:val="style0"/>
        <w:spacing w:after="200" w:lineRule="auto" w:line="480"/>
        <w:jc w:val="both"/>
        <w:rPr/>
      </w:pPr>
    </w:p>
    <w:p>
      <w:pPr>
        <w:pStyle w:val="style0"/>
        <w:spacing w:after="200" w:lineRule="auto" w:line="480"/>
        <w:jc w:val="both"/>
        <w:rPr/>
      </w:pPr>
      <w:r>
        <w:rPr>
          <w:b/>
          <w:bCs/>
          <w:sz w:val="28"/>
          <w:szCs w:val="28"/>
        </w:rPr>
        <w:t>CONCLUSION</w:t>
      </w:r>
    </w:p>
    <w:p>
      <w:pPr>
        <w:pStyle w:val="style0"/>
        <w:spacing w:after="200" w:lineRule="auto" w:line="480"/>
        <w:jc w:val="both"/>
        <w:rPr/>
      </w:pPr>
      <w:r>
        <w:t xml:space="preserve">A multiple sequence alignment of BCL-2 apoptosis regulator proteins from five species </w:t>
      </w:r>
      <w:r>
        <w:rPr>
          <w:lang w:val="en-GB"/>
        </w:rPr>
        <w:t>-</w:t>
      </w:r>
      <w:r>
        <w:t xml:space="preserve"> human, mouse, rat, chicken, and </w:t>
      </w:r>
      <w:r>
        <w:t>rice was</w:t>
      </w:r>
      <w:r>
        <w:t xml:space="preserve"> successfully performed using </w:t>
      </w:r>
      <w:r>
        <w:t>Clustal</w:t>
      </w:r>
      <w:r>
        <w:t xml:space="preserve"> Omega. The results </w:t>
      </w:r>
      <w:r>
        <w:t xml:space="preserve">confirmed strong conservation of the BH domain regions across vertebrate species, with mammalian sequences showing the highest mutual similarity. The conserved residues identified correspond to functionally critical regions of BCL-2 involved in apoptosis regulation and protein-protein interactions. This task demonstrated practical skills in sequence retrieval from </w:t>
      </w:r>
      <w:r>
        <w:t>UniProtKB</w:t>
      </w:r>
      <w:r>
        <w:t>, multi-FASTA preparation, MSA execution, and conserved motif interpretation.</w:t>
      </w:r>
    </w:p>
    <w:p>
      <w:pPr>
        <w:pStyle w:val="style1"/>
        <w:spacing w:before="280" w:after="120" w:lineRule="auto" w:line="480"/>
        <w:rPr>
          <w:b/>
          <w:bCs/>
          <w:color w:val="auto"/>
          <w:sz w:val="28"/>
          <w:szCs w:val="28"/>
        </w:rPr>
      </w:pPr>
    </w:p>
    <w:p>
      <w:pPr>
        <w:pStyle w:val="style1"/>
        <w:spacing w:before="280" w:after="120" w:lineRule="auto" w:line="480"/>
        <w:rPr>
          <w:b/>
          <w:bCs/>
          <w:color w:val="auto"/>
          <w:sz w:val="28"/>
          <w:szCs w:val="28"/>
        </w:rPr>
      </w:pPr>
    </w:p>
    <w:p>
      <w:pPr>
        <w:pStyle w:val="style1"/>
        <w:spacing w:before="280" w:after="120" w:lineRule="auto" w:line="480"/>
        <w:rPr>
          <w:b/>
          <w:bCs/>
          <w:color w:val="auto"/>
          <w:sz w:val="28"/>
          <w:szCs w:val="28"/>
        </w:rPr>
      </w:pPr>
    </w:p>
    <w:p>
      <w:pPr>
        <w:pStyle w:val="style1"/>
        <w:spacing w:before="280" w:after="120" w:lineRule="auto" w:line="480"/>
        <w:rPr>
          <w:color w:val="auto"/>
        </w:rPr>
      </w:pPr>
      <w:r>
        <w:rPr>
          <w:b/>
          <w:bCs/>
          <w:color w:val="auto"/>
          <w:sz w:val="28"/>
          <w:szCs w:val="28"/>
        </w:rPr>
        <w:t>REFERENCES</w:t>
      </w:r>
    </w:p>
    <w:p>
      <w:pPr>
        <w:pStyle w:val="style0"/>
        <w:spacing w:after="120" w:lineRule="auto" w:line="480"/>
        <w:ind w:left="720" w:hanging="720"/>
        <w:rPr/>
      </w:pPr>
      <w:r>
        <w:t xml:space="preserve">Sievers, F., et al. (2011). Fast, scalable generation of high-quality protein multiple sequence alignments using </w:t>
      </w:r>
      <w:r>
        <w:t>Clustal</w:t>
      </w:r>
      <w:r>
        <w:t xml:space="preserve"> Omega. Molecular Systems Biology, 7, 539.</w:t>
      </w:r>
    </w:p>
    <w:p>
      <w:pPr>
        <w:pStyle w:val="style0"/>
        <w:spacing w:after="120" w:lineRule="auto" w:line="480"/>
        <w:ind w:left="720" w:hanging="720"/>
        <w:rPr/>
      </w:pPr>
      <w:r>
        <w:t xml:space="preserve">The </w:t>
      </w:r>
      <w:r>
        <w:t>UniProt</w:t>
      </w:r>
      <w:r>
        <w:t xml:space="preserve"> Consortium. (2023). </w:t>
      </w:r>
      <w:r>
        <w:t>UniProt</w:t>
      </w:r>
      <w:r>
        <w:t>: The Universal Protein Knowledgebase. Nucleic Acids Research, 51(D1), D523–D531.</w:t>
      </w:r>
    </w:p>
    <w:p>
      <w:pPr>
        <w:pStyle w:val="style0"/>
        <w:spacing w:after="120" w:lineRule="auto" w:line="480"/>
        <w:ind w:left="720" w:hanging="720"/>
        <w:rPr/>
      </w:pPr>
      <w:r>
        <w:t>Czabotar</w:t>
      </w:r>
      <w:r>
        <w:t>, P. E., et al. (2014). Control of apoptosis by the BCL-2 protein family. Nature Reviews Molecular Cell Biology, 15(1), 49–63.</w:t>
      </w:r>
    </w:p>
    <w:sectPr>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45EE9E0"/>
    <w:lvl w:ilvl="0" w:tplc="D2885AE0">
      <w:start w:val="1"/>
      <w:numFmt w:val="bullet"/>
      <w:lvlText w:val="●"/>
      <w:lvlJc w:val="left"/>
      <w:pPr>
        <w:ind w:left="720" w:hanging="360"/>
      </w:pPr>
    </w:lvl>
    <w:lvl w:ilvl="1" w:tplc="D130CBA2">
      <w:start w:val="1"/>
      <w:numFmt w:val="bullet"/>
      <w:lvlText w:val="○"/>
      <w:lvlJc w:val="left"/>
      <w:pPr>
        <w:ind w:left="1440" w:hanging="360"/>
      </w:pPr>
    </w:lvl>
    <w:lvl w:ilvl="2" w:tplc="8D380A14">
      <w:start w:val="1"/>
      <w:numFmt w:val="bullet"/>
      <w:lvlText w:val="■"/>
      <w:lvlJc w:val="left"/>
      <w:pPr>
        <w:ind w:left="2160" w:hanging="360"/>
      </w:pPr>
    </w:lvl>
    <w:lvl w:ilvl="3" w:tplc="E7228F98">
      <w:start w:val="1"/>
      <w:numFmt w:val="bullet"/>
      <w:lvlText w:val="●"/>
      <w:lvlJc w:val="left"/>
      <w:pPr>
        <w:ind w:left="2880" w:hanging="360"/>
      </w:pPr>
    </w:lvl>
    <w:lvl w:ilvl="4" w:tplc="3C62DE04">
      <w:start w:val="1"/>
      <w:numFmt w:val="bullet"/>
      <w:lvlText w:val="○"/>
      <w:lvlJc w:val="left"/>
      <w:pPr>
        <w:ind w:left="3600" w:hanging="360"/>
      </w:pPr>
    </w:lvl>
    <w:lvl w:ilvl="5" w:tplc="DB3E6462">
      <w:start w:val="1"/>
      <w:numFmt w:val="bullet"/>
      <w:lvlText w:val="■"/>
      <w:lvlJc w:val="left"/>
      <w:pPr>
        <w:ind w:left="4320" w:hanging="360"/>
      </w:pPr>
    </w:lvl>
    <w:lvl w:ilvl="6" w:tplc="7EDAF2CE">
      <w:start w:val="1"/>
      <w:numFmt w:val="bullet"/>
      <w:lvlText w:val="●"/>
      <w:lvlJc w:val="left"/>
      <w:pPr>
        <w:ind w:left="5040" w:hanging="360"/>
      </w:pPr>
    </w:lvl>
    <w:lvl w:ilvl="7" w:tplc="8F228E1E">
      <w:start w:val="1"/>
      <w:numFmt w:val="bullet"/>
      <w:lvlText w:val="●"/>
      <w:lvlJc w:val="left"/>
      <w:pPr>
        <w:ind w:left="5760" w:hanging="360"/>
      </w:pPr>
    </w:lvl>
    <w:lvl w:ilvl="8" w:tplc="802812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94">
    <w:name w:val="Normal (Web)"/>
    <w:basedOn w:val="style0"/>
    <w:next w:val="style94"/>
    <w:uiPriority w:val="99"/>
    <w:pPr>
      <w:spacing w:before="100" w:beforeAutospacing="true" w:after="100" w:afterAutospacing="true"/>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Words>893</Words>
  <Pages>7</Pages>
  <Characters>5535</Characters>
  <Application>WPS Office</Application>
  <DocSecurity>0</DocSecurity>
  <Paragraphs>69</Paragraphs>
  <ScaleCrop>false</ScaleCrop>
  <LinksUpToDate>false</LinksUpToDate>
  <CharactersWithSpaces>6384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2026-06-24T10:29:00Z</dcterms:created>
  <dc:creator>Un-named</dc:creator>
  <lastModifiedBy>itel S665L</lastModifiedBy>
  <dcterms:modified xsi:type="dcterms:W3CDTF">2026-06-26T19:17:16Z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26f289b38ce84a0dbcb363bad6731af1</vt:lpwstr>
  </property>
</Properties>
</file>