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A9B2" w14:textId="615779EC" w:rsidR="00AA68A7" w:rsidRDefault="00AA68A7" w:rsidP="00AA68A7">
      <w:pPr>
        <w:jc w:val="center"/>
        <w:rPr>
          <w:b/>
          <w:sz w:val="56"/>
          <w:szCs w:val="28"/>
        </w:rPr>
      </w:pPr>
      <w:r w:rsidRPr="00AA68A7">
        <w:rPr>
          <w:b/>
          <w:sz w:val="56"/>
          <w:szCs w:val="28"/>
        </w:rPr>
        <w:t>ATIVIDADE COLABORATIVA</w:t>
      </w:r>
    </w:p>
    <w:p w14:paraId="6F3259C9" w14:textId="31FBF851" w:rsidR="00AA68A7" w:rsidRPr="00AA68A7" w:rsidRDefault="00AA68A7" w:rsidP="00AA68A7">
      <w:pPr>
        <w:jc w:val="center"/>
        <w:rPr>
          <w:b/>
          <w:sz w:val="56"/>
          <w:szCs w:val="28"/>
        </w:rPr>
      </w:pPr>
      <w:r>
        <w:rPr>
          <w:b/>
          <w:sz w:val="56"/>
          <w:szCs w:val="28"/>
        </w:rPr>
        <w:t xml:space="preserve">Estatística e </w:t>
      </w:r>
      <w:r w:rsidR="00D97CC0">
        <w:rPr>
          <w:b/>
          <w:sz w:val="56"/>
          <w:szCs w:val="28"/>
        </w:rPr>
        <w:t>Probabilidade</w:t>
      </w:r>
    </w:p>
    <w:p w14:paraId="21912E76" w14:textId="77777777" w:rsidR="00AA68A7" w:rsidRDefault="00AA68A7">
      <w:pPr>
        <w:rPr>
          <w:b/>
          <w:sz w:val="32"/>
          <w:szCs w:val="14"/>
        </w:rPr>
      </w:pPr>
    </w:p>
    <w:p w14:paraId="721858FF" w14:textId="3400E656" w:rsidR="00501803" w:rsidRDefault="00501803">
      <w:pPr>
        <w:rPr>
          <w:sz w:val="28"/>
        </w:rPr>
      </w:pPr>
      <w:r w:rsidRPr="0029670D">
        <w:rPr>
          <w:b/>
          <w:sz w:val="32"/>
          <w:szCs w:val="14"/>
        </w:rPr>
        <w:t>Perfil do Aluno</w:t>
      </w:r>
      <w:r>
        <w:rPr>
          <w:b/>
          <w:sz w:val="48"/>
        </w:rPr>
        <w:br/>
      </w:r>
      <w:r>
        <w:rPr>
          <w:sz w:val="28"/>
        </w:rPr>
        <w:t xml:space="preserve">Ao analisar dados da tabela, foi observado que a maioria </w:t>
      </w:r>
      <w:r w:rsidR="0029670D">
        <w:rPr>
          <w:sz w:val="28"/>
        </w:rPr>
        <w:t>dos alunos</w:t>
      </w:r>
      <w:r>
        <w:rPr>
          <w:sz w:val="28"/>
        </w:rPr>
        <w:t xml:space="preserve"> optaram por estudar na modalidade EAD, são dos sexos Feminino e Masculino e frequentam o turno Vespertino. Sem informações sobre outros turnos.</w:t>
      </w:r>
    </w:p>
    <w:p w14:paraId="57E03290" w14:textId="5AE1E919" w:rsidR="0029670D" w:rsidRDefault="0029670D">
      <w:pPr>
        <w:rPr>
          <w:sz w:val="28"/>
        </w:rPr>
      </w:pPr>
      <w:r>
        <w:rPr>
          <w:noProof/>
        </w:rPr>
        <w:drawing>
          <wp:inline distT="0" distB="0" distL="0" distR="0" wp14:anchorId="27B84B7C" wp14:editId="58F5D035">
            <wp:extent cx="5867400" cy="5259030"/>
            <wp:effectExtent l="0" t="0" r="0" b="0"/>
            <wp:docPr id="1569473963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73963" name="Imagem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22" cy="527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89EA" w14:textId="7F666E6D" w:rsidR="0029670D" w:rsidRDefault="0029670D">
      <w:pPr>
        <w:rPr>
          <w:sz w:val="28"/>
        </w:rPr>
      </w:pPr>
    </w:p>
    <w:p w14:paraId="51174A85" w14:textId="27558C2F" w:rsidR="0029670D" w:rsidRDefault="0029670D">
      <w:p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CF8D16" wp14:editId="106B3F98">
            <wp:simplePos x="0" y="0"/>
            <wp:positionH relativeFrom="column">
              <wp:posOffset>-661035</wp:posOffset>
            </wp:positionH>
            <wp:positionV relativeFrom="paragraph">
              <wp:posOffset>-747395</wp:posOffset>
            </wp:positionV>
            <wp:extent cx="6838950" cy="6019800"/>
            <wp:effectExtent l="0" t="0" r="0" b="0"/>
            <wp:wrapSquare wrapText="bothSides"/>
            <wp:docPr id="35060115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53B08A3-342F-4929-D833-9108057FCA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 w:type="textWrapping" w:clear="all"/>
      </w:r>
    </w:p>
    <w:p w14:paraId="2B1B1717" w14:textId="77777777" w:rsidR="00501803" w:rsidRPr="0029670D" w:rsidRDefault="00501803">
      <w:pPr>
        <w:rPr>
          <w:b/>
          <w:sz w:val="56"/>
          <w:szCs w:val="28"/>
        </w:rPr>
      </w:pPr>
      <w:r w:rsidRPr="0029670D">
        <w:rPr>
          <w:b/>
          <w:sz w:val="32"/>
          <w:szCs w:val="14"/>
        </w:rPr>
        <w:t>Distribuição</w:t>
      </w:r>
      <w:r w:rsidRPr="0029670D">
        <w:rPr>
          <w:b/>
          <w:sz w:val="56"/>
          <w:szCs w:val="28"/>
        </w:rPr>
        <w:t xml:space="preserve"> </w:t>
      </w:r>
    </w:p>
    <w:p w14:paraId="1EEC1224" w14:textId="77777777" w:rsidR="00A06680" w:rsidRDefault="00A06680" w:rsidP="00A06680">
      <w:pPr>
        <w:pStyle w:val="NormalWeb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06680">
        <w:rPr>
          <w:rFonts w:asciiTheme="minorHAnsi" w:eastAsiaTheme="minorHAnsi" w:hAnsiTheme="minorHAnsi" w:cstheme="minorBidi"/>
          <w:sz w:val="28"/>
          <w:szCs w:val="22"/>
          <w:lang w:eastAsia="en-US"/>
        </w:rPr>
        <w:t>Ao examinar a tabela de contingência que cruza o sexo dos alunos com a categoria administrativa, notamos que as Instituições de Ensino Superior (IES) privadas são mais predominantes do que as públicas.</w:t>
      </w:r>
    </w:p>
    <w:p w14:paraId="69AECDC1" w14:textId="7B1EF00F" w:rsidR="0029670D" w:rsidRDefault="0029670D" w:rsidP="00A06680">
      <w:pPr>
        <w:pStyle w:val="NormalWeb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6CEC62E9" wp14:editId="439B8166">
            <wp:extent cx="4572000" cy="2743200"/>
            <wp:effectExtent l="0" t="0" r="0" b="0"/>
            <wp:docPr id="34791333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C9D264F-B09C-D671-B50E-26C335DBB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F0E348" w14:textId="77777777" w:rsidR="0029670D" w:rsidRPr="00A06680" w:rsidRDefault="0029670D" w:rsidP="00A06680">
      <w:pPr>
        <w:pStyle w:val="NormalWeb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57FEAF15" w14:textId="77777777" w:rsidR="0027707D" w:rsidRPr="0029670D" w:rsidRDefault="0027707D">
      <w:pPr>
        <w:rPr>
          <w:b/>
          <w:sz w:val="32"/>
          <w:szCs w:val="14"/>
        </w:rPr>
      </w:pPr>
      <w:r w:rsidRPr="0029670D">
        <w:rPr>
          <w:b/>
          <w:sz w:val="32"/>
          <w:szCs w:val="14"/>
        </w:rPr>
        <w:t>Pesquisa sobre as Notas</w:t>
      </w:r>
    </w:p>
    <w:p w14:paraId="167A51C1" w14:textId="77777777" w:rsidR="00A06680" w:rsidRPr="00A06680" w:rsidRDefault="00A06680" w:rsidP="00A06680">
      <w:pPr>
        <w:pStyle w:val="NormalWeb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06680">
        <w:rPr>
          <w:rFonts w:asciiTheme="minorHAnsi" w:eastAsiaTheme="minorHAnsi" w:hAnsiTheme="minorHAnsi" w:cstheme="minorBidi"/>
          <w:sz w:val="28"/>
          <w:szCs w:val="22"/>
          <w:lang w:eastAsia="en-US"/>
        </w:rPr>
        <w:t>Claro, aqui está uma versão resumida mantendo os dados mais importantes:</w:t>
      </w:r>
    </w:p>
    <w:p w14:paraId="6D9F16C7" w14:textId="77777777" w:rsidR="00A06680" w:rsidRPr="00A06680" w:rsidRDefault="00A06680" w:rsidP="00A06680">
      <w:pPr>
        <w:pStyle w:val="NormalWeb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06680">
        <w:rPr>
          <w:rFonts w:asciiTheme="minorHAnsi" w:eastAsiaTheme="minorHAnsi" w:hAnsiTheme="minorHAnsi" w:cstheme="minorBidi"/>
          <w:sz w:val="28"/>
          <w:szCs w:val="22"/>
          <w:lang w:eastAsia="en-US"/>
        </w:rPr>
        <w:t>A média geral das notas dos alunos foi de 38.9 pontos, com um desvio padrão de 13. Cerca de 75% dos alunos tiveram uma pontuação acima da média, atingindo 46.7 pontos.</w:t>
      </w:r>
    </w:p>
    <w:p w14:paraId="0B39BCF1" w14:textId="77777777" w:rsidR="00A06680" w:rsidRPr="00A06680" w:rsidRDefault="00A06680" w:rsidP="00A06680">
      <w:pPr>
        <w:pStyle w:val="NormalWeb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0668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No ensino presencial, a média foi ligeiramente superior </w:t>
      </w:r>
      <w:proofErr w:type="gramStart"/>
      <w:r w:rsidRPr="00A06680">
        <w:rPr>
          <w:rFonts w:asciiTheme="minorHAnsi" w:eastAsiaTheme="minorHAnsi" w:hAnsiTheme="minorHAnsi" w:cstheme="minorBidi"/>
          <w:sz w:val="28"/>
          <w:szCs w:val="22"/>
          <w:lang w:eastAsia="en-US"/>
        </w:rPr>
        <w:t>à</w:t>
      </w:r>
      <w:proofErr w:type="gramEnd"/>
      <w:r w:rsidRPr="00A0668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geral, com 41.87 pontos, mas a pontuação do 75º percentil foi menor, com 45.5 pontos e um desvio padrão de 8.</w:t>
      </w:r>
    </w:p>
    <w:p w14:paraId="608FA14D" w14:textId="0967AC8F" w:rsidR="0027707D" w:rsidRDefault="00A06680" w:rsidP="00A06680">
      <w:pPr>
        <w:pStyle w:val="NormalWeb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06680">
        <w:rPr>
          <w:rFonts w:asciiTheme="minorHAnsi" w:eastAsiaTheme="minorHAnsi" w:hAnsiTheme="minorHAnsi" w:cstheme="minorBidi"/>
          <w:sz w:val="28"/>
          <w:szCs w:val="22"/>
          <w:lang w:eastAsia="en-US"/>
        </w:rPr>
        <w:t>Na modalidade EAD, a média das notas foi próxima à geral, com 38.3 pontos. Notavelmente, 75% dos alunos obtiveram uma pontuação de 46.7, similar à visão geral, com um desvio padrão também de 13.</w:t>
      </w:r>
    </w:p>
    <w:p w14:paraId="4FE3E436" w14:textId="0F74B7E7" w:rsidR="0029670D" w:rsidRPr="00A06680" w:rsidRDefault="0029670D" w:rsidP="00A06680">
      <w:pPr>
        <w:pStyle w:val="NormalWeb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012BFDAA" w14:textId="77777777" w:rsidR="0027707D" w:rsidRPr="0029670D" w:rsidRDefault="0027707D">
      <w:pPr>
        <w:rPr>
          <w:b/>
          <w:sz w:val="32"/>
          <w:szCs w:val="14"/>
        </w:rPr>
      </w:pPr>
      <w:r w:rsidRPr="0029670D">
        <w:rPr>
          <w:b/>
          <w:sz w:val="32"/>
          <w:szCs w:val="14"/>
        </w:rPr>
        <w:t>Comparação das Modalidades</w:t>
      </w:r>
    </w:p>
    <w:p w14:paraId="0FAF0B72" w14:textId="77777777" w:rsidR="00501803" w:rsidRDefault="0027707D">
      <w:pPr>
        <w:rPr>
          <w:sz w:val="28"/>
        </w:rPr>
      </w:pPr>
      <w:r>
        <w:rPr>
          <w:sz w:val="28"/>
        </w:rPr>
        <w:t>Noto</w:t>
      </w:r>
      <w:r w:rsidRPr="0027707D">
        <w:rPr>
          <w:sz w:val="28"/>
        </w:rPr>
        <w:t>r</w:t>
      </w:r>
      <w:r>
        <w:rPr>
          <w:sz w:val="28"/>
        </w:rPr>
        <w:t>iamente as notas dos alunos da modalidade</w:t>
      </w:r>
      <w:r w:rsidRPr="0027707D">
        <w:rPr>
          <w:sz w:val="28"/>
        </w:rPr>
        <w:t xml:space="preserve"> presencial tendem a seguir</w:t>
      </w:r>
      <w:r>
        <w:rPr>
          <w:sz w:val="28"/>
        </w:rPr>
        <w:t xml:space="preserve"> um padrão não muito significativo em relação ao EAD</w:t>
      </w:r>
      <w:r w:rsidRPr="0027707D">
        <w:rPr>
          <w:sz w:val="28"/>
        </w:rPr>
        <w:t>. Esta observação sugere que, apesar das diferenças nas modalidades de ensino, o desempenho dos alunos pode ser</w:t>
      </w:r>
      <w:r>
        <w:rPr>
          <w:sz w:val="28"/>
        </w:rPr>
        <w:t xml:space="preserve"> aferido de maneira justa</w:t>
      </w:r>
      <w:r w:rsidRPr="0027707D">
        <w:rPr>
          <w:sz w:val="28"/>
        </w:rPr>
        <w:t>.</w:t>
      </w:r>
    </w:p>
    <w:p w14:paraId="6791C03C" w14:textId="5D889C34" w:rsidR="0029670D" w:rsidRDefault="0029670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CDD71FF" wp14:editId="366B2E30">
            <wp:extent cx="4572000" cy="2743200"/>
            <wp:effectExtent l="0" t="0" r="0" b="0"/>
            <wp:docPr id="151316104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F23D1CB-E1A0-947E-16A5-AB9654717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78600" w14:textId="77777777" w:rsidR="00276162" w:rsidRDefault="00276162">
      <w:pPr>
        <w:rPr>
          <w:sz w:val="28"/>
        </w:rPr>
      </w:pPr>
    </w:p>
    <w:p w14:paraId="47343A23" w14:textId="77777777" w:rsidR="00276162" w:rsidRDefault="00276162">
      <w:pPr>
        <w:rPr>
          <w:sz w:val="28"/>
        </w:rPr>
      </w:pPr>
    </w:p>
    <w:p w14:paraId="5C496491" w14:textId="60CE46D0" w:rsidR="00276162" w:rsidRDefault="00276162">
      <w:pPr>
        <w:rPr>
          <w:sz w:val="28"/>
        </w:rPr>
      </w:pPr>
    </w:p>
    <w:p w14:paraId="0CFDBDC1" w14:textId="77777777" w:rsidR="00D85C6F" w:rsidRDefault="00D85C6F">
      <w:pPr>
        <w:rPr>
          <w:sz w:val="28"/>
        </w:rPr>
      </w:pPr>
    </w:p>
    <w:p w14:paraId="184A7D62" w14:textId="2957F701" w:rsidR="00D85C6F" w:rsidRDefault="00D85C6F" w:rsidP="00D85C6F">
      <w:pPr>
        <w:pStyle w:val="NormalWeb"/>
      </w:pPr>
    </w:p>
    <w:p w14:paraId="348FB8A5" w14:textId="34C6AC3C" w:rsidR="00D85C6F" w:rsidRDefault="00D85C6F">
      <w:pPr>
        <w:rPr>
          <w:sz w:val="28"/>
        </w:rPr>
      </w:pPr>
    </w:p>
    <w:p w14:paraId="68360D80" w14:textId="77777777" w:rsidR="00D85C6F" w:rsidRDefault="00D85C6F">
      <w:pPr>
        <w:rPr>
          <w:sz w:val="28"/>
        </w:rPr>
      </w:pPr>
    </w:p>
    <w:p w14:paraId="24ADF001" w14:textId="0068B041" w:rsidR="00D85C6F" w:rsidRPr="00501803" w:rsidRDefault="00D85C6F">
      <w:pPr>
        <w:rPr>
          <w:sz w:val="28"/>
        </w:rPr>
      </w:pPr>
    </w:p>
    <w:sectPr w:rsidR="00D85C6F" w:rsidRPr="00501803" w:rsidSect="00D06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03"/>
    <w:rsid w:val="00276162"/>
    <w:rsid w:val="0027707D"/>
    <w:rsid w:val="0029670D"/>
    <w:rsid w:val="00501803"/>
    <w:rsid w:val="00A06680"/>
    <w:rsid w:val="00AA68A7"/>
    <w:rsid w:val="00BF11B1"/>
    <w:rsid w:val="00CB542F"/>
    <w:rsid w:val="00D060A5"/>
    <w:rsid w:val="00D85C6F"/>
    <w:rsid w:val="00D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A9C3"/>
  <w15:docId w15:val="{15A6C51F-745E-4F81-9958-23AA09F8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6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eu%20Drive\TRABALHO%20DE%20ESTATISTICA\MEDIA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eu%20Drive\TRABALHO%20DE%20ESTATISTICA\MEDIA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eu%20Drive\TRABALHO%20DE%20ESTATISTICA\MEDIA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Grafico</a:t>
            </a:r>
            <a:r>
              <a:rPr lang="pt-BR" baseline="0"/>
              <a:t> rosca por aluno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CC-483D-8BC4-5B1A0EB824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CC-483D-8BC4-5B1A0EB824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CCC-483D-8BC4-5B1A0EB824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CCC-483D-8BC4-5B1A0EB8240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CCC-483D-8BC4-5B1A0EB8240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CCC-483D-8BC4-5B1A0EB8240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CCC-483D-8BC4-5B1A0EB8240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3CCC-483D-8BC4-5B1A0EB8240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3CCC-483D-8BC4-5B1A0EB8240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3CCC-483D-8BC4-5B1A0EB8240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3CCC-483D-8BC4-5B1A0EB8240B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3CCC-483D-8BC4-5B1A0EB8240B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3CCC-483D-8BC4-5B1A0EB8240B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3CCC-483D-8BC4-5B1A0EB8240B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3CCC-483D-8BC4-5B1A0EB8240B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3CCC-483D-8BC4-5B1A0EB8240B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3CCC-483D-8BC4-5B1A0EB8240B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3CCC-483D-8BC4-5B1A0EB8240B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3CCC-483D-8BC4-5B1A0EB8240B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3CCC-483D-8BC4-5B1A0EB8240B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3CCC-483D-8BC4-5B1A0EB8240B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3CCC-483D-8BC4-5B1A0EB8240B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3CCC-483D-8BC4-5B1A0EB8240B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3CCC-483D-8BC4-5B1A0EB8240B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3CCC-483D-8BC4-5B1A0EB8240B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3CCC-483D-8BC4-5B1A0EB8240B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3CCC-483D-8BC4-5B1A0EB8240B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3CCC-483D-8BC4-5B1A0EB8240B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3CCC-483D-8BC4-5B1A0EB8240B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3CCC-483D-8BC4-5B1A0EB8240B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3CCC-483D-8BC4-5B1A0EB8240B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3CCC-483D-8BC4-5B1A0EB8240B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3CCC-483D-8BC4-5B1A0EB8240B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3CCC-483D-8BC4-5B1A0EB8240B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3CCC-483D-8BC4-5B1A0EB8240B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3CCC-483D-8BC4-5B1A0EB8240B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3CCC-483D-8BC4-5B1A0EB8240B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3CCC-483D-8BC4-5B1A0EB8240B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3CCC-483D-8BC4-5B1A0EB8240B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3CCC-483D-8BC4-5B1A0EB8240B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3CCC-483D-8BC4-5B1A0EB8240B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3CCC-483D-8BC4-5B1A0EB8240B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3CCC-483D-8BC4-5B1A0EB8240B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3CCC-483D-8BC4-5B1A0EB8240B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3CCC-483D-8BC4-5B1A0EB8240B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3CCC-483D-8BC4-5B1A0EB8240B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3CCC-483D-8BC4-5B1A0EB8240B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3CCC-483D-8BC4-5B1A0EB8240B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3CCC-483D-8BC4-5B1A0EB8240B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3CCC-483D-8BC4-5B1A0EB8240B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3CCC-483D-8BC4-5B1A0EB8240B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3CCC-483D-8BC4-5B1A0EB8240B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3CCC-483D-8BC4-5B1A0EB8240B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3CCC-483D-8BC4-5B1A0EB8240B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3CCC-483D-8BC4-5B1A0EB8240B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3CCC-483D-8BC4-5B1A0EB8240B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3CCC-483D-8BC4-5B1A0EB8240B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3CCC-483D-8BC4-5B1A0EB8240B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3CCC-483D-8BC4-5B1A0EB8240B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3CCC-483D-8BC4-5B1A0EB8240B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3CCC-483D-8BC4-5B1A0EB8240B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3CCC-483D-8BC4-5B1A0EB8240B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3CCC-483D-8BC4-5B1A0EB8240B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3CCC-483D-8BC4-5B1A0EB8240B}"/>
              </c:ext>
            </c:extLst>
          </c:dPt>
          <c:dPt>
            <c:idx val="6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1-3CCC-483D-8BC4-5B1A0EB8240B}"/>
              </c:ext>
            </c:extLst>
          </c:dPt>
          <c:dPt>
            <c:idx val="6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3-3CCC-483D-8BC4-5B1A0EB8240B}"/>
              </c:ext>
            </c:extLst>
          </c:dPt>
          <c:dPt>
            <c:idx val="6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5-3CCC-483D-8BC4-5B1A0EB8240B}"/>
              </c:ext>
            </c:extLst>
          </c:dPt>
          <c:dPt>
            <c:idx val="6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7-3CCC-483D-8BC4-5B1A0EB8240B}"/>
              </c:ext>
            </c:extLst>
          </c:dPt>
          <c:dPt>
            <c:idx val="6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9-3CCC-483D-8BC4-5B1A0EB8240B}"/>
              </c:ext>
            </c:extLst>
          </c:dPt>
          <c:dPt>
            <c:idx val="6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B-3CCC-483D-8BC4-5B1A0EB8240B}"/>
              </c:ext>
            </c:extLst>
          </c:dPt>
          <c:dPt>
            <c:idx val="7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D-3CCC-483D-8BC4-5B1A0EB8240B}"/>
              </c:ext>
            </c:extLst>
          </c:dPt>
          <c:dPt>
            <c:idx val="7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F-3CCC-483D-8BC4-5B1A0EB8240B}"/>
              </c:ext>
            </c:extLst>
          </c:dPt>
          <c:dPt>
            <c:idx val="7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1-3CCC-483D-8BC4-5B1A0EB8240B}"/>
              </c:ext>
            </c:extLst>
          </c:dPt>
          <c:dPt>
            <c:idx val="7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3-3CCC-483D-8BC4-5B1A0EB8240B}"/>
              </c:ext>
            </c:extLst>
          </c:dPt>
          <c:dPt>
            <c:idx val="7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5-3CCC-483D-8BC4-5B1A0EB8240B}"/>
              </c:ext>
            </c:extLst>
          </c:dPt>
          <c:dPt>
            <c:idx val="7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7-3CCC-483D-8BC4-5B1A0EB8240B}"/>
              </c:ext>
            </c:extLst>
          </c:dPt>
          <c:dPt>
            <c:idx val="7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9-3CCC-483D-8BC4-5B1A0EB8240B}"/>
              </c:ext>
            </c:extLst>
          </c:dPt>
          <c:dPt>
            <c:idx val="7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B-3CCC-483D-8BC4-5B1A0EB8240B}"/>
              </c:ext>
            </c:extLst>
          </c:dPt>
          <c:dPt>
            <c:idx val="7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D-3CCC-483D-8BC4-5B1A0EB8240B}"/>
              </c:ext>
            </c:extLst>
          </c:dPt>
          <c:dPt>
            <c:idx val="7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F-3CCC-483D-8BC4-5B1A0EB8240B}"/>
              </c:ext>
            </c:extLst>
          </c:dPt>
          <c:dPt>
            <c:idx val="8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1-3CCC-483D-8BC4-5B1A0EB8240B}"/>
              </c:ext>
            </c:extLst>
          </c:dPt>
          <c:dPt>
            <c:idx val="8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3-3CCC-483D-8BC4-5B1A0EB8240B}"/>
              </c:ext>
            </c:extLst>
          </c:dPt>
          <c:dPt>
            <c:idx val="8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5-3CCC-483D-8BC4-5B1A0EB8240B}"/>
              </c:ext>
            </c:extLst>
          </c:dPt>
          <c:dPt>
            <c:idx val="8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7-3CCC-483D-8BC4-5B1A0EB8240B}"/>
              </c:ext>
            </c:extLst>
          </c:dPt>
          <c:dPt>
            <c:idx val="8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9-3CCC-483D-8BC4-5B1A0EB8240B}"/>
              </c:ext>
            </c:extLst>
          </c:dPt>
          <c:dPt>
            <c:idx val="8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B-3CCC-483D-8BC4-5B1A0EB8240B}"/>
              </c:ext>
            </c:extLst>
          </c:dPt>
          <c:dPt>
            <c:idx val="8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D-3CCC-483D-8BC4-5B1A0EB8240B}"/>
              </c:ext>
            </c:extLst>
          </c:dPt>
          <c:dPt>
            <c:idx val="8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F-3CCC-483D-8BC4-5B1A0EB8240B}"/>
              </c:ext>
            </c:extLst>
          </c:dPt>
          <c:dPt>
            <c:idx val="8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1-3CCC-483D-8BC4-5B1A0EB8240B}"/>
              </c:ext>
            </c:extLst>
          </c:dPt>
          <c:dPt>
            <c:idx val="8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3-3CCC-483D-8BC4-5B1A0EB8240B}"/>
              </c:ext>
            </c:extLst>
          </c:dPt>
          <c:dPt>
            <c:idx val="9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5-3CCC-483D-8BC4-5B1A0EB8240B}"/>
              </c:ext>
            </c:extLst>
          </c:dPt>
          <c:dPt>
            <c:idx val="9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7-3CCC-483D-8BC4-5B1A0EB8240B}"/>
              </c:ext>
            </c:extLst>
          </c:dPt>
          <c:dPt>
            <c:idx val="9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9-3CCC-483D-8BC4-5B1A0EB8240B}"/>
              </c:ext>
            </c:extLst>
          </c:dPt>
          <c:dPt>
            <c:idx val="9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B-3CCC-483D-8BC4-5B1A0EB8240B}"/>
              </c:ext>
            </c:extLst>
          </c:dPt>
          <c:dPt>
            <c:idx val="9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D-3CCC-483D-8BC4-5B1A0EB8240B}"/>
              </c:ext>
            </c:extLst>
          </c:dPt>
          <c:dPt>
            <c:idx val="9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F-3CCC-483D-8BC4-5B1A0EB8240B}"/>
              </c:ext>
            </c:extLst>
          </c:dPt>
          <c:dPt>
            <c:idx val="9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1-3CCC-483D-8BC4-5B1A0EB8240B}"/>
              </c:ext>
            </c:extLst>
          </c:dPt>
          <c:dPt>
            <c:idx val="9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3-3CCC-483D-8BC4-5B1A0EB8240B}"/>
              </c:ext>
            </c:extLst>
          </c:dPt>
          <c:dPt>
            <c:idx val="9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5-3CCC-483D-8BC4-5B1A0EB8240B}"/>
              </c:ext>
            </c:extLst>
          </c:dPt>
          <c:dPt>
            <c:idx val="9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7-3CCC-483D-8BC4-5B1A0EB8240B}"/>
              </c:ext>
            </c:extLst>
          </c:dPt>
          <c:dPt>
            <c:idx val="10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9-3CCC-483D-8BC4-5B1A0EB8240B}"/>
              </c:ext>
            </c:extLst>
          </c:dPt>
          <c:dPt>
            <c:idx val="10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B-3CCC-483D-8BC4-5B1A0EB8240B}"/>
              </c:ext>
            </c:extLst>
          </c:dPt>
          <c:dPt>
            <c:idx val="10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D-3CCC-483D-8BC4-5B1A0EB8240B}"/>
              </c:ext>
            </c:extLst>
          </c:dPt>
          <c:dPt>
            <c:idx val="10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F-3CCC-483D-8BC4-5B1A0EB8240B}"/>
              </c:ext>
            </c:extLst>
          </c:dPt>
          <c:dPt>
            <c:idx val="10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1-3CCC-483D-8BC4-5B1A0EB8240B}"/>
              </c:ext>
            </c:extLst>
          </c:dPt>
          <c:dPt>
            <c:idx val="10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3-3CCC-483D-8BC4-5B1A0EB8240B}"/>
              </c:ext>
            </c:extLst>
          </c:dPt>
          <c:dPt>
            <c:idx val="10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5-3CCC-483D-8BC4-5B1A0EB8240B}"/>
              </c:ext>
            </c:extLst>
          </c:dPt>
          <c:dPt>
            <c:idx val="10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7-3CCC-483D-8BC4-5B1A0EB8240B}"/>
              </c:ext>
            </c:extLst>
          </c:dPt>
          <c:dPt>
            <c:idx val="10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9-3CCC-483D-8BC4-5B1A0EB8240B}"/>
              </c:ext>
            </c:extLst>
          </c:dPt>
          <c:dPt>
            <c:idx val="10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B-3CCC-483D-8BC4-5B1A0EB8240B}"/>
              </c:ext>
            </c:extLst>
          </c:dPt>
          <c:dPt>
            <c:idx val="11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D-3CCC-483D-8BC4-5B1A0EB8240B}"/>
              </c:ext>
            </c:extLst>
          </c:dPt>
          <c:dPt>
            <c:idx val="11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F-3CCC-483D-8BC4-5B1A0EB8240B}"/>
              </c:ext>
            </c:extLst>
          </c:dPt>
          <c:dPt>
            <c:idx val="11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1-3CCC-483D-8BC4-5B1A0EB8240B}"/>
              </c:ext>
            </c:extLst>
          </c:dPt>
          <c:dPt>
            <c:idx val="11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3-3CCC-483D-8BC4-5B1A0EB8240B}"/>
              </c:ext>
            </c:extLst>
          </c:dPt>
          <c:dPt>
            <c:idx val="11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5-3CCC-483D-8BC4-5B1A0EB8240B}"/>
              </c:ext>
            </c:extLst>
          </c:dPt>
          <c:dPt>
            <c:idx val="11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7-3CCC-483D-8BC4-5B1A0EB8240B}"/>
              </c:ext>
            </c:extLst>
          </c:dPt>
          <c:dPt>
            <c:idx val="11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9-3CCC-483D-8BC4-5B1A0EB8240B}"/>
              </c:ext>
            </c:extLst>
          </c:dPt>
          <c:dPt>
            <c:idx val="11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B-3CCC-483D-8BC4-5B1A0EB8240B}"/>
              </c:ext>
            </c:extLst>
          </c:dPt>
          <c:dPt>
            <c:idx val="11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D-3CCC-483D-8BC4-5B1A0EB8240B}"/>
              </c:ext>
            </c:extLst>
          </c:dPt>
          <c:dPt>
            <c:idx val="11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F-3CCC-483D-8BC4-5B1A0EB8240B}"/>
              </c:ext>
            </c:extLst>
          </c:dPt>
          <c:dPt>
            <c:idx val="12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1-3CCC-483D-8BC4-5B1A0EB8240B}"/>
              </c:ext>
            </c:extLst>
          </c:dPt>
          <c:dPt>
            <c:idx val="12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3-3CCC-483D-8BC4-5B1A0EB8240B}"/>
              </c:ext>
            </c:extLst>
          </c:dPt>
          <c:dPt>
            <c:idx val="12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5-3CCC-483D-8BC4-5B1A0EB8240B}"/>
              </c:ext>
            </c:extLst>
          </c:dPt>
          <c:dPt>
            <c:idx val="12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7-3CCC-483D-8BC4-5B1A0EB8240B}"/>
              </c:ext>
            </c:extLst>
          </c:dPt>
          <c:dPt>
            <c:idx val="12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9-3CCC-483D-8BC4-5B1A0EB8240B}"/>
              </c:ext>
            </c:extLst>
          </c:dPt>
          <c:val>
            <c:numRef>
              <c:f>baseEnade17_Sistemas!$E$2:$E$126</c:f>
              <c:numCache>
                <c:formatCode>0</c:formatCode>
                <c:ptCount val="125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1</c:v>
                </c:pt>
                <c:pt idx="16">
                  <c:v>4</c:v>
                </c:pt>
                <c:pt idx="17">
                  <c:v>4</c:v>
                </c:pt>
                <c:pt idx="18">
                  <c:v>1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1</c:v>
                </c:pt>
                <c:pt idx="31">
                  <c:v>4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1</c:v>
                </c:pt>
                <c:pt idx="37">
                  <c:v>1</c:v>
                </c:pt>
                <c:pt idx="38">
                  <c:v>4</c:v>
                </c:pt>
                <c:pt idx="39">
                  <c:v>4</c:v>
                </c:pt>
                <c:pt idx="40">
                  <c:v>3</c:v>
                </c:pt>
                <c:pt idx="41">
                  <c:v>4</c:v>
                </c:pt>
                <c:pt idx="42">
                  <c:v>3</c:v>
                </c:pt>
                <c:pt idx="43">
                  <c:v>4</c:v>
                </c:pt>
                <c:pt idx="44">
                  <c:v>1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1</c:v>
                </c:pt>
                <c:pt idx="49">
                  <c:v>4</c:v>
                </c:pt>
                <c:pt idx="50">
                  <c:v>4</c:v>
                </c:pt>
                <c:pt idx="51">
                  <c:v>1</c:v>
                </c:pt>
                <c:pt idx="52">
                  <c:v>3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1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1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1</c:v>
                </c:pt>
                <c:pt idx="76">
                  <c:v>4</c:v>
                </c:pt>
                <c:pt idx="77">
                  <c:v>1</c:v>
                </c:pt>
                <c:pt idx="78">
                  <c:v>3</c:v>
                </c:pt>
                <c:pt idx="79">
                  <c:v>1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1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1</c:v>
                </c:pt>
                <c:pt idx="89">
                  <c:v>4</c:v>
                </c:pt>
                <c:pt idx="90">
                  <c:v>3</c:v>
                </c:pt>
                <c:pt idx="91">
                  <c:v>3</c:v>
                </c:pt>
                <c:pt idx="92">
                  <c:v>4</c:v>
                </c:pt>
                <c:pt idx="93">
                  <c:v>3</c:v>
                </c:pt>
                <c:pt idx="94">
                  <c:v>3</c:v>
                </c:pt>
                <c:pt idx="95">
                  <c:v>1</c:v>
                </c:pt>
                <c:pt idx="96">
                  <c:v>4</c:v>
                </c:pt>
                <c:pt idx="97">
                  <c:v>3</c:v>
                </c:pt>
                <c:pt idx="98">
                  <c:v>3</c:v>
                </c:pt>
                <c:pt idx="99">
                  <c:v>1</c:v>
                </c:pt>
                <c:pt idx="100">
                  <c:v>1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3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1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1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3</c:v>
                </c:pt>
                <c:pt idx="118">
                  <c:v>4</c:v>
                </c:pt>
                <c:pt idx="119">
                  <c:v>1</c:v>
                </c:pt>
                <c:pt idx="120">
                  <c:v>3</c:v>
                </c:pt>
                <c:pt idx="121">
                  <c:v>1</c:v>
                </c:pt>
                <c:pt idx="122">
                  <c:v>1</c:v>
                </c:pt>
                <c:pt idx="123">
                  <c:v>4</c:v>
                </c:pt>
                <c:pt idx="12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A-3CCC-483D-8BC4-5B1A0EB82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Contagem de SEXO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F</c:v>
              </c:pt>
              <c:pt idx="1">
                <c:v>M</c:v>
              </c:pt>
            </c:strLit>
          </c:cat>
          <c:val>
            <c:numLit>
              <c:formatCode>General</c:formatCode>
              <c:ptCount val="2"/>
              <c:pt idx="0">
                <c:v>17</c:v>
              </c:pt>
              <c:pt idx="1">
                <c:v>108</c:v>
              </c:pt>
            </c:numLit>
          </c:val>
          <c:extLst>
            <c:ext xmlns:c16="http://schemas.microsoft.com/office/drawing/2014/chart" uri="{C3380CC4-5D6E-409C-BE32-E72D297353CC}">
              <c16:uniqueId val="{00000000-C799-4EDD-9594-24064EF7B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7520847"/>
        <c:axId val="1287521327"/>
      </c:barChart>
      <c:catAx>
        <c:axId val="1287520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87521327"/>
        <c:crosses val="autoZero"/>
        <c:auto val="1"/>
        <c:lblAlgn val="ctr"/>
        <c:lblOffset val="100"/>
        <c:noMultiLvlLbl val="0"/>
      </c:catAx>
      <c:valAx>
        <c:axId val="128752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87520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Horas</a:t>
            </a:r>
            <a:r>
              <a:rPr lang="pt-BR" baseline="0"/>
              <a:t> de Estudos</a:t>
            </a:r>
            <a:endParaRPr lang="pt-BR"/>
          </a:p>
        </c:rich>
      </c:tx>
      <c:layout>
        <c:manualLayout>
          <c:xMode val="edge"/>
          <c:yMode val="edge"/>
          <c:x val="0.36878455818022748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baseEnade17_Sistemas!$I$2:$I$126</c:f>
              <c:numCache>
                <c:formatCode>0</c:formatCode>
                <c:ptCount val="1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5.5</c:v>
                </c:pt>
                <c:pt idx="49">
                  <c:v>5.5</c:v>
                </c:pt>
                <c:pt idx="50">
                  <c:v>5.5</c:v>
                </c:pt>
                <c:pt idx="51">
                  <c:v>5.5</c:v>
                </c:pt>
                <c:pt idx="52">
                  <c:v>5.5</c:v>
                </c:pt>
                <c:pt idx="53">
                  <c:v>5.5</c:v>
                </c:pt>
                <c:pt idx="54">
                  <c:v>5.5</c:v>
                </c:pt>
                <c:pt idx="55">
                  <c:v>5.5</c:v>
                </c:pt>
                <c:pt idx="56">
                  <c:v>5.5</c:v>
                </c:pt>
                <c:pt idx="57">
                  <c:v>5.5</c:v>
                </c:pt>
                <c:pt idx="58">
                  <c:v>5.5</c:v>
                </c:pt>
                <c:pt idx="59">
                  <c:v>5.5</c:v>
                </c:pt>
                <c:pt idx="60">
                  <c:v>5.5</c:v>
                </c:pt>
                <c:pt idx="61">
                  <c:v>5.5</c:v>
                </c:pt>
                <c:pt idx="62">
                  <c:v>5.5</c:v>
                </c:pt>
                <c:pt idx="63">
                  <c:v>5.5</c:v>
                </c:pt>
                <c:pt idx="64">
                  <c:v>5.5</c:v>
                </c:pt>
                <c:pt idx="65">
                  <c:v>5.5</c:v>
                </c:pt>
                <c:pt idx="66">
                  <c:v>5.5</c:v>
                </c:pt>
                <c:pt idx="67">
                  <c:v>5.5</c:v>
                </c:pt>
                <c:pt idx="68">
                  <c:v>5.5</c:v>
                </c:pt>
                <c:pt idx="69">
                  <c:v>5.5</c:v>
                </c:pt>
                <c:pt idx="70">
                  <c:v>5.5</c:v>
                </c:pt>
                <c:pt idx="71">
                  <c:v>5.5</c:v>
                </c:pt>
                <c:pt idx="72">
                  <c:v>5.5</c:v>
                </c:pt>
                <c:pt idx="73">
                  <c:v>5.5</c:v>
                </c:pt>
                <c:pt idx="74">
                  <c:v>5.5</c:v>
                </c:pt>
                <c:pt idx="75">
                  <c:v>5.5</c:v>
                </c:pt>
                <c:pt idx="76">
                  <c:v>5.5</c:v>
                </c:pt>
                <c:pt idx="77">
                  <c:v>5.5</c:v>
                </c:pt>
                <c:pt idx="78">
                  <c:v>5.5</c:v>
                </c:pt>
                <c:pt idx="79">
                  <c:v>5.5</c:v>
                </c:pt>
                <c:pt idx="80">
                  <c:v>5.5</c:v>
                </c:pt>
                <c:pt idx="81">
                  <c:v>5.5</c:v>
                </c:pt>
                <c:pt idx="82">
                  <c:v>5.5</c:v>
                </c:pt>
                <c:pt idx="83">
                  <c:v>5.5</c:v>
                </c:pt>
                <c:pt idx="84">
                  <c:v>5.5</c:v>
                </c:pt>
                <c:pt idx="85">
                  <c:v>5.5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16</c:v>
                </c:pt>
                <c:pt idx="108">
                  <c:v>16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16</c:v>
                </c:pt>
                <c:pt idx="113">
                  <c:v>16</c:v>
                </c:pt>
                <c:pt idx="114">
                  <c:v>16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16</c:v>
                </c:pt>
                <c:pt idx="119">
                  <c:v>16</c:v>
                </c:pt>
                <c:pt idx="120">
                  <c:v>16</c:v>
                </c:pt>
                <c:pt idx="121">
                  <c:v>16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05-4E7C-B228-425C9F810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3290191"/>
        <c:axId val="1443287311"/>
      </c:lineChart>
      <c:catAx>
        <c:axId val="1443290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3287311"/>
        <c:crosses val="autoZero"/>
        <c:auto val="1"/>
        <c:lblAlgn val="ctr"/>
        <c:lblOffset val="100"/>
        <c:noMultiLvlLbl val="0"/>
      </c:catAx>
      <c:valAx>
        <c:axId val="144328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3290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emmanuel.meireles</dc:creator>
  <cp:lastModifiedBy>emmanuel meireles silva</cp:lastModifiedBy>
  <cp:revision>2</cp:revision>
  <dcterms:created xsi:type="dcterms:W3CDTF">2024-04-19T02:01:00Z</dcterms:created>
  <dcterms:modified xsi:type="dcterms:W3CDTF">2024-04-19T02:01:00Z</dcterms:modified>
</cp:coreProperties>
</file>