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80" w:before="0"/>
      </w:pPr>
      <w:r>
        <w:rPr>
          <w:rFonts w:ascii="Calibri" w:cs="Calibri" w:eastAsia="Calibri" w:hAnsi="Calibri"/>
          <w:b/>
          <w:bCs/>
          <w:color w:val="000000"/>
          <w:sz w:val="24"/>
          <w:szCs w:val="24"/>
        </w:rPr>
        <w:t xml:space="preserve">A. My Entrepreneurial Mindset</w:t>
      </w:r>
    </w:p>
    <w:p>
      <w:pPr>
        <w:spacing w:after="200" w:line="360"/>
        <w:jc w:val="both"/>
      </w:pPr>
      <w:r>
        <w:rPr>
          <w:rFonts w:ascii="Calibri" w:cs="Calibri" w:eastAsia="Calibri" w:hAnsi="Calibri"/>
          <w:sz w:val="24"/>
          <w:szCs w:val="24"/>
        </w:rPr>
        <w:t xml:space="preserve">I did the Personal Creativity Assessment in Week 1 expecting it to flatter me. It didn't. My scores came out Ask 4/6, Look 5/6, Play 4/6, and Learn 2/8, obvious once written down. Sawyer (2013) says creativity comes down to eight behaviours you can practise, not a talent you have or don't. So I read it as a list of habits, which helped. The three higher scores all point outwards. Look means I notice what other people walk past, Ask means I rarely accept the first answer, and Play means I test things before I am sure. Useful habits for entrepreneurship, where nobody hands you a defined problem.</w:t>
      </w:r>
    </w:p>
    <w:p>
      <w:pPr>
        <w:spacing w:after="200" w:line="360"/>
        <w:jc w:val="both"/>
      </w:pPr>
      <w:r>
        <w:rPr>
          <w:rFonts w:ascii="Calibri" w:cs="Calibri" w:eastAsia="Calibri" w:hAnsi="Calibri"/>
          <w:sz w:val="24"/>
          <w:szCs w:val="24"/>
        </w:rPr>
        <w:t xml:space="preserve">The Learn score is the interesting one, because I had been treating a weakness as a strength. Baron and Hmieleski (2018) put pattern recognition and personal experience at the centre of opportunity recognition. But you only recognise a pattern if you know enough to see one. Amabile (1996) argues similarly through domain-relevant skills, where knowledge is what stops imagination producing quantity without quality. A high Look score on top of a low Learn score is probably a bad combination. I produce ideas faster than I can judge them. Sawyer's answer is deliberate practice, working just past what you can do. Duller than it sounds. I have started narrow, reading into charity retail in order to get somewhere specific.</w:t>
      </w:r>
    </w:p>
    <w:p>
      <w:pPr>
        <w:spacing w:after="200" w:line="360"/>
        <w:jc w:val="both"/>
      </w:pPr>
      <w:r>
        <w:rPr>
          <w:rFonts w:ascii="Calibri" w:cs="Calibri" w:eastAsia="Calibri" w:hAnsi="Calibri"/>
          <w:sz w:val="24"/>
          <w:szCs w:val="24"/>
        </w:rPr>
        <w:t xml:space="preserve">The seminars worried me about the same gap. In the Week 2 TIPS exercise I put together two things I care about, playing team sport and the fact that I will talk about careers with anyone, and got an app connecting entrepreneurs through sport. Slow to arrive at, but mine, and I could argue for every part of it. Then we used AI to generate more, and the count went up while the quality went down. The new ideas were fine. I just did not care about any of them. What bothers me is why that mattered, since I could not have defended one of them. Mollick (2024) calls large language models connection machines, unusually good at remote associations, which explains the volume. However, he also warns about confabulation, and about anchoring on whatever the model drafts first. That second warning matches what happened. The outputs were hard to disagree with and hard to build on.</w:t>
      </w:r>
    </w:p>
    <w:p>
      <w:pPr>
        <w:spacing w:after="200" w:line="360"/>
        <w:jc w:val="both"/>
      </w:pPr>
      <w:r>
        <w:rPr>
          <w:rFonts w:ascii="Calibri" w:cs="Calibri" w:eastAsia="Calibri" w:hAnsi="Calibri"/>
          <w:sz w:val="24"/>
          <w:szCs w:val="24"/>
        </w:rPr>
        <w:t xml:space="preserve">What made the difference was how I prompted it. Feeding in my own reasoning, and not a cold instruction, got me something that extended my thinking. Boussioux et al. (2024) found differentiated human-AI search beat independent search, and Sun et al. (2025) found the gain only appeared for people who monitored their own thinking. Which leaves an awkward conclusion. AI helps least the people who need it most, and my Learn score is exactly what would stop me evaluating what it gives me.</w:t>
      </w:r>
    </w:p>
    <w:p>
      <w:pPr>
        <w:spacing w:after="200" w:line="360"/>
        <w:jc w:val="both"/>
      </w:pPr>
      <w:r>
        <w:rPr>
          <w:rFonts w:ascii="Calibri" w:cs="Calibri" w:eastAsia="Calibri" w:hAnsi="Calibri"/>
          <w:sz w:val="24"/>
          <w:szCs w:val="24"/>
        </w:rPr>
        <w:t xml:space="preserve">Week 4 turned this towards people. Jordan et al. (2016) separate empathy from concern and describe the mental leap needed to feel someone else's situation. Parker and Axtell (2001) treat perspective-taking as its cognitive half. The practical effect is that my Look habit has somewhere to point. At people, not trends, where I would drift by default. I am wary of taking it too far, though. King and Pucker (2021) argue win-win framing lets organisations dodge hard trade-offs, and Chalmers (2021) writes about social entrepreneurship's solutionism problem. Both challenge the approach I have just said I admire. Empathy establishes that a problem hurts. It says nothing about whether it can be fixed, or whether I should be the one fixing it. I finish confident about noticing and questioning, and clearer that what I lack is patience to learn before acting.</w:t>
      </w:r>
    </w:p>
    <w:p>
      <w:pPr>
        <w:pStyle w:val="Heading1"/>
        <w:keepNext/>
        <w:spacing w:after="180" w:before="360"/>
      </w:pPr>
      <w:r>
        <w:rPr>
          <w:rFonts w:ascii="Calibri" w:cs="Calibri" w:eastAsia="Calibri" w:hAnsi="Calibri"/>
          <w:b/>
          <w:bCs/>
          <w:color w:val="000000"/>
          <w:sz w:val="24"/>
          <w:szCs w:val="24"/>
        </w:rPr>
        <w:t xml:space="preserve">B. My Resources for Entrepreneurship</w:t>
      </w:r>
    </w:p>
    <w:p>
      <w:pPr>
        <w:spacing w:after="200" w:line="360"/>
        <w:jc w:val="both"/>
      </w:pPr>
      <w:r>
        <w:rPr>
          <w:rFonts w:ascii="Calibri" w:cs="Calibri" w:eastAsia="Calibri" w:hAnsi="Calibri"/>
          <w:sz w:val="24"/>
          <w:szCs w:val="24"/>
        </w:rPr>
        <w:t xml:space="preserve">My idea is a platform where charity shops trade surplus stock with each other, so a shop drowning in one category can pass it to a shop that has none. It takes a fee on each match, plus subscriptions for the larger charity chains.</w:t>
      </w:r>
    </w:p>
    <w:p>
      <w:pPr>
        <w:spacing w:after="200" w:line="360"/>
        <w:jc w:val="both"/>
      </w:pPr>
      <w:r>
        <w:rPr>
          <w:rFonts w:ascii="Calibri" w:cs="Calibri" w:eastAsia="Calibri" w:hAnsi="Calibri"/>
          <w:sz w:val="24"/>
          <w:szCs w:val="24"/>
        </w:rPr>
        <w:t xml:space="preserve">The idea comes out of my own background more than any seminar. Giving back is something my family treats as ordinary, not admirable, and through that I have spent a lot of time in and around charity shops and hospices. I have watched the same stock sit unsold in one shop while another had none at all. It took me a while to see that as a business problem and not just a waste, and I am still uneasy about turning something people do out of goodwill into something with a transaction fee attached.</w:t>
      </w:r>
    </w:p>
    <w:p>
      <w:pPr>
        <w:spacing w:after="200" w:line="360"/>
        <w:jc w:val="both"/>
      </w:pPr>
      <w:r>
        <w:rPr>
          <w:rFonts w:ascii="Calibri" w:cs="Calibri" w:eastAsia="Calibri" w:hAnsi="Calibri"/>
          <w:sz w:val="24"/>
          <w:szCs w:val="24"/>
        </w:rPr>
        <w:t xml:space="preserve">The resource I am most confident about, then, is knowing the problem. Artem Yaremchuk (2026) said in Week 7 that you start with the problem and walk backwards, and his harder line, build a resilient business and not a startup, only means anything if the problem is real. Beyond that, I am good at getting people to talk to me, which matters when you are a student asking a charity manager to trust an untested idea. I am also comfortable enough with numbers to work through fees, subscriptions and delivery costs.</w:t>
      </w:r>
    </w:p>
    <w:p>
      <w:pPr>
        <w:spacing w:after="200" w:line="360"/>
        <w:jc w:val="both"/>
      </w:pPr>
      <w:r>
        <w:rPr>
          <w:rFonts w:ascii="Calibri" w:cs="Calibri" w:eastAsia="Calibri" w:hAnsi="Calibri"/>
          <w:sz w:val="24"/>
          <w:szCs w:val="24"/>
        </w:rPr>
        <w:t xml:space="preserve">What I do not have is a longer list. I cannot build the platform. I have never worked in logistics, which is awkward given that is the whole value proposition. I do not know enough charities to create the density the matching needs, and I have no money. Writing that out was useful. There is clearly a version of this idea that works at scale, and it is not the one I could start.</w:t>
      </w:r>
    </w:p>
    <w:p>
      <w:pPr>
        <w:spacing w:after="200" w:line="360"/>
        <w:jc w:val="both"/>
      </w:pPr>
      <w:r>
        <w:rPr>
          <w:rFonts w:ascii="Calibri" w:cs="Calibri" w:eastAsia="Calibri" w:hAnsi="Calibri"/>
          <w:sz w:val="24"/>
          <w:szCs w:val="24"/>
        </w:rPr>
        <w:t xml:space="preserve">Bootstrapping is the obvious route. Winborg and Landström (2001) show it is standard practice in small firms, not a consolation prize. Sarasvathy (2001) points the same way with effectuation: begin from the means in front of you. So I would build nothing at all. I would run the matching by hand on a spreadsheet across maybe five local shops, roughly the minimum viable product Ries (2011) has in mind, and see whether the imbalance annoys anyone enough to act. Deliveries would go through couriers or volunteers. Access I would get through local organisations and family contacts, which Jones and Jayawarna (2010) tie directly to bootstrapping. That argument has a weakness, though. Mollick (2020) warns that money from family makes founders too cautious, and goodwill probably does the same, since the people who like you are least likely to tell you the idea is bad.</w:t>
      </w:r>
    </w:p>
    <w:p>
      <w:pPr>
        <w:spacing w:after="200" w:line="360"/>
        <w:jc w:val="both"/>
      </w:pPr>
      <w:r>
        <w:rPr>
          <w:rFonts w:ascii="Calibri" w:cs="Calibri" w:eastAsia="Calibri" w:hAnsi="Calibri"/>
          <w:sz w:val="24"/>
          <w:szCs w:val="24"/>
        </w:rPr>
        <w:t xml:space="preserve">The AI tool I would use is ChatGPT, for validation and not for building. It can draft interview guides for charity managers, get me up to speed on the sector far quicker than reading would, and sort what I hear across interviews to see whether the same complaint recurs. The impact is that it partly covers what I am shortest on, time and background knowledge. Sun et al. (2025) describe this as AI providing cognitive job resources, a fair description of what a student founder needs. The limits are serious though. Mollick (2024) shows these models state things confidently without foundation, so any sector figure would need checking against a real source before a pitch. And in a venture whose only real asset is charities trusting each other, handing the relationship work to a machine would wreck what I am building. Research and drafting, then. Never the conversations.</w:t>
      </w:r>
    </w:p>
    <w:p>
      <w:pPr>
        <w:pStyle w:val="Heading1"/>
        <w:keepNext/>
        <w:spacing w:after="180" w:before="360"/>
      </w:pPr>
      <w:r>
        <w:rPr>
          <w:rFonts w:ascii="Calibri" w:cs="Calibri" w:eastAsia="Calibri" w:hAnsi="Calibri"/>
          <w:b/>
          <w:bCs/>
          <w:color w:val="000000"/>
          <w:sz w:val="24"/>
          <w:szCs w:val="24"/>
        </w:rPr>
        <w:t xml:space="preserve">C. My Entrepreneurial Mindset (Learnings from the Module)</w:t>
      </w:r>
    </w:p>
    <w:p>
      <w:pPr>
        <w:spacing w:after="200" w:line="360"/>
        <w:jc w:val="both"/>
      </w:pPr>
      <w:r>
        <w:rPr>
          <w:rFonts w:ascii="Calibri" w:cs="Calibri" w:eastAsia="Calibri" w:hAnsi="Calibri"/>
          <w:sz w:val="24"/>
          <w:szCs w:val="24"/>
        </w:rPr>
        <w:t xml:space="preserve">Chris Wilkinson was the guest speaker who stuck with me, and probably the best hour of the module. His line that people are not persuaded by what you say but by what they understand (Wilkinson, 2026) ran straight into my assumption that a good idea mostly sells itself. The session was useful and not just encouraging, because there was a real structure behind it. A problem slide has to establish what the problem is, who it hits, and what it costs to leave it alone, with numbers behind all three. Neck (2015) argues something similar about entrepreneurial storytelling, that its job is to let an audience understand, connect and act. That reading landed harder than it might have because my sister is at Babson and I met Heidi Neck at a convention earlier this year. My reservation is that clarity can tip into oversimplifying, though Wilkinson's insistence on evidence is what guards against that. For my platform it means leading with the imbalance and the numbers before I say the word platform at all. More generally, I have kept all of his four questions, who am I presenting to, why, where, and how long have I got, as a checklist for anything that matters.</w:t>
      </w:r>
    </w:p>
    <w:p>
      <w:pPr>
        <w:spacing w:after="200" w:line="360"/>
        <w:jc w:val="both"/>
      </w:pPr>
      <w:r>
        <w:rPr>
          <w:rFonts w:ascii="Calibri" w:cs="Calibri" w:eastAsia="Calibri" w:hAnsi="Calibri"/>
          <w:sz w:val="24"/>
          <w:szCs w:val="24"/>
        </w:rPr>
        <w:t xml:space="preserve">The second thing is that networks are a resource and not a marketing channel. I had been counting resources as money, skills and assets. Week 7 reframed relationships as social capital that can be mobilised for information, referrals and support (Baron and Markman, 2003), and Pentland's TEDx talk pushed further, arguing groups get smarter when information flows better between them (Pentland, n.d.). That is structurally true of my idea. The platform is worthless unless charities actually tell each other what they are sitting on. Gallucci (2019), however, is the useful corrective, arguing that digital connection is often shallow and performative, which I think is fair. So user numbers would be the wrong measure of success for me. Eight charities posting honest stock lists beats eighty posting occasionally, which means depth first and breadth later. That is a slower business than the one I first described, and I am not sure I have the patience for it. The personal version is that networks have to exist before you need them, so I am treating the people I meet through my course and Warwick Enterprise as relationships to keep, and not contacts to use.</w:t>
      </w:r>
    </w:p>
    <w:p>
      <w:pPr>
        <w:spacing w:after="200" w:line="360"/>
        <w:jc w:val="both"/>
      </w:pPr>
      <w:r>
        <w:rPr>
          <w:rFonts w:ascii="Calibri" w:cs="Calibri" w:eastAsia="Calibri" w:hAnsi="Calibri"/>
          <w:sz w:val="24"/>
          <w:szCs w:val="24"/>
        </w:rPr>
        <w:t xml:space="preserve">Third is choosing a revenue model and being able to defend the choice. Week 9 separated revenue models from pricing and laid out the different logics, broker, subscription, freemium and the rest (Smolka, 2026a). That exposed something I had skipped, because I had assumed a fee structure without ever deciding on one. Broker with a subscription layer still looks right, but the exercise threw up a tension I had been ignoring: charging cash-poor charities per transaction might suppress the redistribution the venture exists to increase. I still do not have a good answer to that. Osterwalder et al. (2010) get at the same problem in defining a business model as the logic of how value is created, delivered and captured. Week 10 stretched it across time, through stewardship and transgenerational entrepreneurship, firms that keep renewing value across generations and do not simply launch and stop (Jaskiewicz et al., 2015; Smolka, 2026b). That sits close to why I picked this idea. In future I will do what Week 9 asked, name two or three plausible models, argue the trade-offs out loud, and then choose. Copying whoever is nearest is the lazy version, and I have done it before.</w:t>
      </w:r>
    </w:p>
    <w:p>
      <w:pPr>
        <w:pStyle w:val="Heading1"/>
        <w:keepNext/>
        <w:spacing w:after="180" w:before="360"/>
      </w:pPr>
      <w:r>
        <w:rPr>
          <w:rFonts w:ascii="Calibri" w:cs="Calibri" w:eastAsia="Calibri" w:hAnsi="Calibri"/>
          <w:b/>
          <w:bCs/>
          <w:color w:val="000000"/>
          <w:sz w:val="24"/>
          <w:szCs w:val="24"/>
        </w:rPr>
        <w:t xml:space="preserve">D. Teamwork Reflection</w:t>
      </w:r>
    </w:p>
    <w:p>
      <w:pPr>
        <w:spacing w:after="200" w:line="360"/>
        <w:jc w:val="both"/>
      </w:pPr>
      <w:r>
        <w:rPr>
          <w:rFonts w:ascii="Calibri" w:cs="Calibri" w:eastAsia="Calibri" w:hAnsi="Calibri"/>
          <w:sz w:val="24"/>
          <w:szCs w:val="24"/>
        </w:rPr>
        <w:t xml:space="preserve">The module's tools turned out to be useful at very different points, mostly not the ones I expected. Design Thinking gave us our opening shape and kept us on the user, which Micheli et al. (2019) identify as its main contribution. Its weakness, however, is that it offers no defence against a deadline. Under time pressure we jumped to a solution before understanding the problem, and the framework did not stop us. The Customer Empathy Map was the tool that changed our output. Having to write down what our users actually felt and did, and not what we assumed, is what moved us from a vague idea to a specific problem. It also turned the distinction Jordan et al. (2016) and Parker and Axtell (2001) draw, between imagining a user and taking their position, into something I could feel.</w:t>
      </w:r>
    </w:p>
    <w:p>
      <w:pPr>
        <w:spacing w:after="200" w:line="360"/>
        <w:jc w:val="both"/>
      </w:pPr>
      <w:r>
        <w:rPr>
          <w:rFonts w:ascii="Calibri" w:cs="Calibri" w:eastAsia="Calibri" w:hAnsi="Calibri"/>
          <w:sz w:val="24"/>
          <w:szCs w:val="24"/>
        </w:rPr>
        <w:t xml:space="preserve">SCAMPER worked least well for us. It produced angles I would not have reached alone, but gave us nothing once the job changed from opening options to closing them, and we drifted for a session or two. In Sawyer's (2013) terms SCAMPER serves playing and fusing, and what we needed by then was choosing. That is a limit of the tool and not of us. The Idea Canvas fixed that by making us state our assumptions about problem, solution, first users and revenue in writing. The Social Lean Canvas then forced us to face how few had been tested, which is what these canvases exist for (Neck et al., 2019). The survey was the best thing we did. It turned two assumptions into evidence and proved one wrong, and that is where build-measure-learn (Ries, 2011) stopped being a diagram and became a habit. Rebuilding the deck against Wilkinson's (2026) structure was uncomfortable in a useful way. Our problem slide made claims it never evidenced, and fixing it improved everything downstream.</w:t>
      </w:r>
    </w:p>
    <w:p>
      <w:pPr>
        <w:spacing w:after="200" w:line="360"/>
        <w:jc w:val="both"/>
      </w:pPr>
      <w:r>
        <w:rPr>
          <w:rFonts w:ascii="Calibri" w:cs="Calibri" w:eastAsia="Calibri" w:hAnsi="Calibri"/>
          <w:sz w:val="24"/>
          <w:szCs w:val="24"/>
        </w:rPr>
        <w:t xml:space="preserve">On the team side, there were two things that worked. The charter did more work than I gave it credit for at the time. Agreeing strengths, ground rules and responsibilities in week one gave us the cohesion Wheelan (2013) associates with teams that function, and moved us through Tuckman's (1965) forming and storming faster than drifting would have. Matching tasks to strengths worked too. I took the business model and revenue side because finance interests me, and that made the contribution feel mine. The second thing was asking, after every stage, what we would do better next time. Small, repeated, and close to kaizen (Berger, 1997).</w:t>
      </w:r>
    </w:p>
    <w:p>
      <w:pPr>
        <w:spacing w:after="200" w:line="360"/>
        <w:jc w:val="both"/>
      </w:pPr>
      <w:r>
        <w:rPr>
          <w:rFonts w:ascii="Calibri" w:cs="Calibri" w:eastAsia="Calibri" w:hAnsi="Calibri"/>
          <w:sz w:val="24"/>
          <w:szCs w:val="24"/>
        </w:rPr>
        <w:t xml:space="preserve">Consistency is where we fell down. We never agreed a slide style, so half the deck was dense and half sparse, and it read as several documents stapled together. That is the mutual performance monitoring gap Salas et al. (2005) describe, and the fix costs nothing. Agree formatting in week one, and look at each other's slides as well as your own. We should also have set a checkpoint for validating assumptions before anyone was allowed to design anything, which would have caught the rush to a solution I mentioned earlier.</w:t>
      </w:r>
    </w:p>
    <w:p>
      <w:pPr>
        <w:spacing w:after="200" w:line="360"/>
        <w:jc w:val="both"/>
      </w:pPr>
      <w:r>
        <w:rPr>
          <w:rFonts w:ascii="Calibri" w:cs="Calibri" w:eastAsia="Calibri" w:hAnsi="Calibri"/>
          <w:sz w:val="24"/>
          <w:szCs w:val="24"/>
        </w:rPr>
        <w:t xml:space="preserve">My own thing to work on is how I put ideas forward. I found it hard to push a suggestion without feeling like I was steamrolling someone, so on a few decisions I had views about, I said nothing. That is not neutral. It just moves the disagreement somewhere later and worse. What I have not worked out is whether that reluctance is about protecting other people, or about not wanting to be the one who was wrong in front of them. I suspect the second. De Dreu and Weingart (2003) find relationship conflict damages team performance while task conflict does far less harm, which tells me the aim is a group that keeps its disagreements about the work, not one that never disagrees at all. In practice I want to offer things as options for the group to build on, and not as positions I have to defend. The wider lesson is that none of these tools rescue a weak process. The canvases only worked because somebody had sorted out who was filling them in, and by when.
References</w:t>
      </w:r>
    </w:p>
    <w:p>
      <w:pPr>
        <w:spacing w:after="200" w:line="360"/>
        <w:jc w:val="both"/>
      </w:pPr>
      <w:r>
        <w:rPr>
          <w:rFonts w:ascii="Calibri" w:cs="Calibri" w:eastAsia="Calibri" w:hAnsi="Calibri"/>
          <w:sz w:val="24"/>
          <w:szCs w:val="24"/>
        </w:rPr>
        <w:t xml:space="preserve">Amabile, T.M. (1996) Creativity in Context. Boulder, CO: Westview Press.</w:t>
      </w:r>
    </w:p>
    <w:p>
      <w:pPr>
        <w:spacing w:after="200" w:line="360"/>
        <w:jc w:val="both"/>
      </w:pPr>
      <w:r>
        <w:rPr>
          <w:rFonts w:ascii="Calibri" w:cs="Calibri" w:eastAsia="Calibri" w:hAnsi="Calibri"/>
          <w:sz w:val="24"/>
          <w:szCs w:val="24"/>
        </w:rPr>
        <w:t xml:space="preserve">Baron, R.A. and Hmieleski, K.M. (2018) Essentials of Entrepreneurship: Changing the World, One Idea at a Time. 2nd edn. Cheltenham: Edward Elgar Publishing.</w:t>
      </w:r>
    </w:p>
    <w:p>
      <w:pPr>
        <w:spacing w:after="200" w:line="360"/>
        <w:jc w:val="both"/>
      </w:pPr>
      <w:r>
        <w:rPr>
          <w:rFonts w:ascii="Calibri" w:cs="Calibri" w:eastAsia="Calibri" w:hAnsi="Calibri"/>
          <w:sz w:val="24"/>
          <w:szCs w:val="24"/>
        </w:rPr>
        <w:t xml:space="preserve">Baron, R.A. and Markman, G.D. (2003) 'Beyond social capital: the role of entrepreneurs' social competence in their financial success', Journal of Business Venturing, 18(1), pp. 41-60.</w:t>
      </w:r>
    </w:p>
    <w:p>
      <w:pPr>
        <w:spacing w:after="200" w:line="360"/>
        <w:jc w:val="both"/>
      </w:pPr>
      <w:r>
        <w:rPr>
          <w:rFonts w:ascii="Calibri" w:cs="Calibri" w:eastAsia="Calibri" w:hAnsi="Calibri"/>
          <w:sz w:val="24"/>
          <w:szCs w:val="24"/>
        </w:rPr>
        <w:t xml:space="preserve">Berger, A. (1997) 'Continuous improvement and kaizen: standardisation and organizational designs', Integrated Manufacturing Systems, 8(2), pp. 110-117.</w:t>
      </w:r>
    </w:p>
    <w:p>
      <w:pPr>
        <w:spacing w:after="200" w:line="360"/>
        <w:jc w:val="both"/>
      </w:pPr>
      <w:r>
        <w:rPr>
          <w:rFonts w:ascii="Calibri" w:cs="Calibri" w:eastAsia="Calibri" w:hAnsi="Calibri"/>
          <w:sz w:val="24"/>
          <w:szCs w:val="24"/>
        </w:rPr>
        <w:t xml:space="preserve">Boussioux, L., Lane, J.N., Zhang, M., Jacimovic, V. and Lakhani, K.R. (2024) 'The crowdless future? Generative AI and creative problem-solving', Organization Science, 35(5), pp. 1589-1607.</w:t>
      </w:r>
    </w:p>
    <w:p>
      <w:pPr>
        <w:spacing w:after="200" w:line="360"/>
        <w:jc w:val="both"/>
      </w:pPr>
      <w:r>
        <w:rPr>
          <w:rFonts w:ascii="Calibri" w:cs="Calibri" w:eastAsia="Calibri" w:hAnsi="Calibri"/>
          <w:sz w:val="24"/>
          <w:szCs w:val="24"/>
        </w:rPr>
        <w:t xml:space="preserve">Chalmers, D. (2021) 'Social entrepreneurship's solutionism problem', Journal of Management Studies, 58(5), pp. 1363-1370.</w:t>
      </w:r>
    </w:p>
    <w:p>
      <w:pPr>
        <w:spacing w:after="200" w:line="360"/>
        <w:jc w:val="both"/>
      </w:pPr>
      <w:r>
        <w:rPr>
          <w:rFonts w:ascii="Calibri" w:cs="Calibri" w:eastAsia="Calibri" w:hAnsi="Calibri"/>
          <w:sz w:val="24"/>
          <w:szCs w:val="24"/>
        </w:rPr>
        <w:t xml:space="preserve">De Dreu, C.K.W. and Weingart, L.R. (2003) 'Task versus relationship conflict, team performance, and team member satisfaction: a meta-analysis', Journal of Applied Psychology, 88(4), pp. 741-749.</w:t>
      </w:r>
    </w:p>
    <w:p>
      <w:pPr>
        <w:spacing w:after="200" w:line="360"/>
        <w:jc w:val="both"/>
      </w:pPr>
      <w:r>
        <w:rPr>
          <w:rFonts w:ascii="Calibri" w:cs="Calibri" w:eastAsia="Calibri" w:hAnsi="Calibri"/>
          <w:sz w:val="24"/>
          <w:szCs w:val="24"/>
        </w:rPr>
        <w:t xml:space="preserve">Gallucci, K. (2019) Social Media is Making Us Unsocial. TEDxBocaRaton. Available at: https://www.ted.com/talks/kristin_gallucci_social_media_is_making_us_unsocial (Accessed: 20 April 2026).</w:t>
      </w:r>
    </w:p>
    <w:p>
      <w:pPr>
        <w:spacing w:after="200" w:line="360"/>
        <w:jc w:val="both"/>
      </w:pPr>
      <w:r>
        <w:rPr>
          <w:rFonts w:ascii="Calibri" w:cs="Calibri" w:eastAsia="Calibri" w:hAnsi="Calibri"/>
          <w:sz w:val="24"/>
          <w:szCs w:val="24"/>
        </w:rPr>
        <w:t xml:space="preserve">Jaskiewicz, P., Combs, J.G. and Rau, S.B. (2015) 'Entrepreneurial legacy: toward a theory of how some family firms nurture transgenerational entrepreneurship', Journal of Business Venturing, 30(1), pp. 29-49.</w:t>
      </w:r>
    </w:p>
    <w:p>
      <w:pPr>
        <w:spacing w:after="200" w:line="360"/>
        <w:jc w:val="both"/>
      </w:pPr>
      <w:r>
        <w:rPr>
          <w:rFonts w:ascii="Calibri" w:cs="Calibri" w:eastAsia="Calibri" w:hAnsi="Calibri"/>
          <w:sz w:val="24"/>
          <w:szCs w:val="24"/>
        </w:rPr>
        <w:t xml:space="preserve">Jones, O. and Jayawarna, D. (2010) 'Resourcing new businesses: social networks, bootstrapping and firm performance', Venture Capital, 12(2), pp. 127-152.</w:t>
      </w:r>
    </w:p>
    <w:p>
      <w:pPr>
        <w:spacing w:after="200" w:line="360"/>
        <w:jc w:val="both"/>
      </w:pPr>
      <w:r>
        <w:rPr>
          <w:rFonts w:ascii="Calibri" w:cs="Calibri" w:eastAsia="Calibri" w:hAnsi="Calibri"/>
          <w:sz w:val="24"/>
          <w:szCs w:val="24"/>
        </w:rPr>
        <w:t xml:space="preserve">Jordan, M.R., Amir, D. and Bloom, P. (2016) 'Are empathy and concern psychologically distinct?', Emotion, 16(8), pp. 1107-1116.</w:t>
      </w:r>
    </w:p>
    <w:p>
      <w:pPr>
        <w:spacing w:after="200" w:line="360"/>
        <w:jc w:val="both"/>
      </w:pPr>
      <w:r>
        <w:rPr>
          <w:rFonts w:ascii="Calibri" w:cs="Calibri" w:eastAsia="Calibri" w:hAnsi="Calibri"/>
          <w:sz w:val="24"/>
          <w:szCs w:val="24"/>
        </w:rPr>
        <w:t xml:space="preserve">King, A.A. and Pucker, K.P. (2021) 'The dangerous allure of win-win strategies', Stanford Social Innovation Review, 19(1), pp. 34-39.</w:t>
      </w:r>
    </w:p>
    <w:p>
      <w:pPr>
        <w:spacing w:after="200" w:line="360"/>
        <w:jc w:val="both"/>
      </w:pPr>
      <w:r>
        <w:rPr>
          <w:rFonts w:ascii="Calibri" w:cs="Calibri" w:eastAsia="Calibri" w:hAnsi="Calibri"/>
          <w:sz w:val="24"/>
          <w:szCs w:val="24"/>
        </w:rPr>
        <w:t xml:space="preserve">Micheli, P., Wilner, S.J.S., Bhatti, S.H., Mura, M. and Beverland, M.B. (2019) 'Doing design thinking: conceptual review, synthesis, and research agenda', Journal of Product Innovation Management, 36(2), pp. 124-148.</w:t>
      </w:r>
    </w:p>
    <w:p>
      <w:pPr>
        <w:spacing w:after="200" w:line="360"/>
        <w:jc w:val="both"/>
      </w:pPr>
      <w:r>
        <w:rPr>
          <w:rFonts w:ascii="Calibri" w:cs="Calibri" w:eastAsia="Calibri" w:hAnsi="Calibri"/>
          <w:sz w:val="24"/>
          <w:szCs w:val="24"/>
        </w:rPr>
        <w:t xml:space="preserve">Mollick, E. (2020) The Unicorn's Shadow: Combating the Dangerous Myths That Hold Back Startups, Founders, and Investors. Philadelphia, PA: Wharton Digital Press.</w:t>
      </w:r>
    </w:p>
    <w:p>
      <w:pPr>
        <w:spacing w:after="200" w:line="360"/>
        <w:jc w:val="both"/>
      </w:pPr>
      <w:r>
        <w:rPr>
          <w:rFonts w:ascii="Calibri" w:cs="Calibri" w:eastAsia="Calibri" w:hAnsi="Calibri"/>
          <w:sz w:val="24"/>
          <w:szCs w:val="24"/>
        </w:rPr>
        <w:t xml:space="preserve">Mollick, E. (2024) Co-Intelligence: Living and Working with AI. London: Penguin.</w:t>
      </w:r>
    </w:p>
    <w:p>
      <w:pPr>
        <w:spacing w:after="200" w:line="360"/>
        <w:jc w:val="both"/>
      </w:pPr>
      <w:r>
        <w:rPr>
          <w:rFonts w:ascii="Calibri" w:cs="Calibri" w:eastAsia="Calibri" w:hAnsi="Calibri"/>
          <w:sz w:val="24"/>
          <w:szCs w:val="24"/>
        </w:rPr>
        <w:t xml:space="preserve">Neck, H.M. (2015) 'The entrepreneurial skillset of storytelling', Forbes, 14 July. Available at: https://www.forbes.com/sites/babson/2015/07/14/the-entrepreneurial-skillset-of-storytelling/ (Accessed: 20 April 2026).</w:t>
      </w:r>
    </w:p>
    <w:p>
      <w:pPr>
        <w:spacing w:after="200" w:line="360"/>
        <w:jc w:val="both"/>
      </w:pPr>
      <w:r>
        <w:rPr>
          <w:rFonts w:ascii="Calibri" w:cs="Calibri" w:eastAsia="Calibri" w:hAnsi="Calibri"/>
          <w:sz w:val="24"/>
          <w:szCs w:val="24"/>
        </w:rPr>
        <w:t xml:space="preserve">Neck, H.M., Neck, C.P. and Murray, E.L. (2019) Entrepreneurship: The Practice and Mindset. 2nd edn. Thousand Oaks, CA: SAGE.</w:t>
      </w:r>
    </w:p>
    <w:p>
      <w:pPr>
        <w:spacing w:after="200" w:line="360"/>
        <w:jc w:val="both"/>
      </w:pPr>
      <w:r>
        <w:rPr>
          <w:rFonts w:ascii="Calibri" w:cs="Calibri" w:eastAsia="Calibri" w:hAnsi="Calibri"/>
          <w:sz w:val="24"/>
          <w:szCs w:val="24"/>
        </w:rPr>
        <w:t xml:space="preserve">Osterwalder, A., Pigneur, Y. and Clark, T. (2010) Business Model Generation: A Handbook for Visionaries, Game Changers, and Challengers. Hoboken, NJ: Wiley.</w:t>
      </w:r>
    </w:p>
    <w:p>
      <w:pPr>
        <w:spacing w:after="200" w:line="360"/>
        <w:jc w:val="both"/>
      </w:pPr>
      <w:r>
        <w:rPr>
          <w:rFonts w:ascii="Calibri" w:cs="Calibri" w:eastAsia="Calibri" w:hAnsi="Calibri"/>
          <w:sz w:val="24"/>
          <w:szCs w:val="24"/>
        </w:rPr>
        <w:t xml:space="preserve">Parker, S.K. and Axtell, C.M. (2001) 'Seeing another viewpoint: antecedents and outcomes of employee perspective taking', Academy of Management Journal, 44(6), pp. 1085-1100.</w:t>
      </w:r>
    </w:p>
    <w:p>
      <w:pPr>
        <w:spacing w:after="200" w:line="360"/>
        <w:jc w:val="both"/>
      </w:pPr>
      <w:r>
        <w:rPr>
          <w:rFonts w:ascii="Calibri" w:cs="Calibri" w:eastAsia="Calibri" w:hAnsi="Calibri"/>
          <w:sz w:val="24"/>
          <w:szCs w:val="24"/>
        </w:rPr>
        <w:t xml:space="preserve">Pentland, A. (n.d.) Social Physics: How Social Networks Can Make Us Smarter. TEDx Talk.</w:t>
      </w:r>
    </w:p>
    <w:p>
      <w:pPr>
        <w:spacing w:after="200" w:line="360"/>
        <w:jc w:val="both"/>
      </w:pPr>
      <w:r>
        <w:rPr>
          <w:rFonts w:ascii="Calibri" w:cs="Calibri" w:eastAsia="Calibri" w:hAnsi="Calibri"/>
          <w:sz w:val="24"/>
          <w:szCs w:val="24"/>
        </w:rPr>
        <w:t xml:space="preserve">Ries, E. (2011) The Lean Startup: How Today's Entrepreneurs Use Continuous Innovation to Create Radically Successful Businesses. New York: Crown Business.</w:t>
      </w:r>
    </w:p>
    <w:p>
      <w:pPr>
        <w:spacing w:after="200" w:line="360"/>
        <w:jc w:val="both"/>
      </w:pPr>
      <w:r>
        <w:rPr>
          <w:rFonts w:ascii="Calibri" w:cs="Calibri" w:eastAsia="Calibri" w:hAnsi="Calibri"/>
          <w:sz w:val="24"/>
          <w:szCs w:val="24"/>
        </w:rPr>
        <w:t xml:space="preserve">Salas, E., Sims, D.E. and Burke, C.S. (2005) 'Is there a "Big Five" in teamwork?', Small Group Research, 36(5), pp. 555-599.</w:t>
      </w:r>
    </w:p>
    <w:p>
      <w:pPr>
        <w:spacing w:after="200" w:line="360"/>
        <w:jc w:val="both"/>
      </w:pPr>
      <w:r>
        <w:rPr>
          <w:rFonts w:ascii="Calibri" w:cs="Calibri" w:eastAsia="Calibri" w:hAnsi="Calibri"/>
          <w:sz w:val="24"/>
          <w:szCs w:val="24"/>
        </w:rPr>
        <w:t xml:space="preserve">Sarasvathy, S.D. (2001) 'Causation and effectuation: toward a theoretical shift from economic inevitability to entrepreneurial contingency', Academy of Management Review, 26(2), pp. 243-263.</w:t>
      </w:r>
    </w:p>
    <w:p>
      <w:pPr>
        <w:spacing w:after="200" w:line="360"/>
        <w:jc w:val="both"/>
      </w:pPr>
      <w:r>
        <w:rPr>
          <w:rFonts w:ascii="Calibri" w:cs="Calibri" w:eastAsia="Calibri" w:hAnsi="Calibri"/>
          <w:sz w:val="24"/>
          <w:szCs w:val="24"/>
        </w:rPr>
        <w:t xml:space="preserve">Sawyer, R.K. (2013) Zig Zag: The Surprising Path to Greater Creativity. San Francisco, CA: Jossey-Bass.</w:t>
      </w:r>
    </w:p>
    <w:p>
      <w:pPr>
        <w:spacing w:after="200" w:line="360"/>
        <w:jc w:val="both"/>
      </w:pPr>
      <w:r>
        <w:rPr>
          <w:rFonts w:ascii="Calibri" w:cs="Calibri" w:eastAsia="Calibri" w:hAnsi="Calibri"/>
          <w:sz w:val="24"/>
          <w:szCs w:val="24"/>
        </w:rPr>
        <w:t xml:space="preserve">Smolka, K. (2026a) Week 9 Lecture: Revenue Models, IB2B10: CORE Entrepreneurial Mindset, University of Warwick, delivered 10 March 2026.</w:t>
      </w:r>
    </w:p>
    <w:p>
      <w:pPr>
        <w:spacing w:after="200" w:line="360"/>
        <w:jc w:val="both"/>
      </w:pPr>
      <w:r>
        <w:rPr>
          <w:rFonts w:ascii="Calibri" w:cs="Calibri" w:eastAsia="Calibri" w:hAnsi="Calibri"/>
          <w:sz w:val="24"/>
          <w:szCs w:val="24"/>
        </w:rPr>
        <w:t xml:space="preserve">Smolka, K. (2026b) Week 10 Lecture: Family Business and Module Wrap Up, IB2B10: CORE Entrepreneurial Mindset, University of Warwick, delivered 17 March 2026.</w:t>
      </w:r>
    </w:p>
    <w:p>
      <w:pPr>
        <w:spacing w:after="200" w:line="360"/>
        <w:jc w:val="both"/>
      </w:pPr>
      <w:r>
        <w:rPr>
          <w:rFonts w:ascii="Calibri" w:cs="Calibri" w:eastAsia="Calibri" w:hAnsi="Calibri"/>
          <w:sz w:val="24"/>
          <w:szCs w:val="24"/>
        </w:rPr>
        <w:t xml:space="preserve">Sun, S., Li, Z.A., Foo, M.-D., Zhou, J. and Lu, J.G. (2025) 'How and for whom using generative AI affects creativity: a field experiment', Journal of Applied Psychology, 110(12), pp. 1561-1573.</w:t>
      </w:r>
    </w:p>
    <w:p>
      <w:pPr>
        <w:spacing w:after="200" w:line="360"/>
        <w:jc w:val="both"/>
      </w:pPr>
      <w:r>
        <w:rPr>
          <w:rFonts w:ascii="Calibri" w:cs="Calibri" w:eastAsia="Calibri" w:hAnsi="Calibri"/>
          <w:sz w:val="24"/>
          <w:szCs w:val="24"/>
        </w:rPr>
        <w:t xml:space="preserve">Tuckman, B.W. (1965) 'Developmental sequence in small groups', Psychological Bulletin, 63(6), pp. 384-399.</w:t>
      </w:r>
    </w:p>
    <w:p>
      <w:pPr>
        <w:spacing w:after="200" w:line="360"/>
        <w:jc w:val="both"/>
      </w:pPr>
      <w:r>
        <w:rPr>
          <w:rFonts w:ascii="Calibri" w:cs="Calibri" w:eastAsia="Calibri" w:hAnsi="Calibri"/>
          <w:sz w:val="24"/>
          <w:szCs w:val="24"/>
        </w:rPr>
        <w:t xml:space="preserve">Wheelan, S.A. (2013) Creating Effective Teams: A Guide for Members and Leaders. 4th edn. Thousand Oaks, CA: SAGE.</w:t>
      </w:r>
    </w:p>
    <w:p>
      <w:pPr>
        <w:spacing w:after="200" w:line="360"/>
        <w:jc w:val="both"/>
      </w:pPr>
      <w:r>
        <w:rPr>
          <w:rFonts w:ascii="Calibri" w:cs="Calibri" w:eastAsia="Calibri" w:hAnsi="Calibri"/>
          <w:sz w:val="24"/>
          <w:szCs w:val="24"/>
        </w:rPr>
        <w:t xml:space="preserve">Wilkinson, C. (2026) Pitch with Purpose. Guest lecture to IB2B10: CORE Entrepreneurial Mindset, University of Warwick, 3 March 2026.</w:t>
      </w:r>
    </w:p>
    <w:p>
      <w:pPr>
        <w:spacing w:after="200" w:line="360"/>
        <w:jc w:val="both"/>
      </w:pPr>
      <w:r>
        <w:rPr>
          <w:rFonts w:ascii="Calibri" w:cs="Calibri" w:eastAsia="Calibri" w:hAnsi="Calibri"/>
          <w:sz w:val="24"/>
          <w:szCs w:val="24"/>
        </w:rPr>
        <w:t xml:space="preserve">Winborg, J. and Landström, H. (2001) 'Financial bootstrapping in small businesses: examining small business managers' resource acquisition behaviours', Journal of Business Venturing, 16(3), pp. 235-254.</w:t>
      </w:r>
    </w:p>
    <w:p>
      <w:pPr>
        <w:spacing w:after="200" w:line="360"/>
        <w:jc w:val="both"/>
      </w:pPr>
      <w:r>
        <w:rPr>
          <w:rFonts w:ascii="Calibri" w:cs="Calibri" w:eastAsia="Calibri" w:hAnsi="Calibri"/>
          <w:sz w:val="24"/>
          <w:szCs w:val="24"/>
        </w:rPr>
        <w:t xml:space="preserve">Yaremchuk, A. (2026) Fundraising in Practice. Guest lecture to IB2B10: CORE Entrepreneurial Mindset, University of Warwick, 24 February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IB2B10 Individual Assessment</dc:title>
  <cp:lastModifiedBy>Un-named</cp:lastModifiedBy>
  <cp:revision>1</cp:revision>
  <dcterms:created xsi:type="dcterms:W3CDTF">2026-08-19T14:20:24.319Z</dcterms:created>
  <dcterms:modified xsi:type="dcterms:W3CDTF">2026-08-19T14:20:24.320Z</dcterms:modified>
</cp:coreProperties>
</file>

<file path=docProps/custom.xml><?xml version="1.0" encoding="utf-8"?>
<Properties xmlns="http://schemas.openxmlformats.org/officeDocument/2006/custom-properties" xmlns:vt="http://schemas.openxmlformats.org/officeDocument/2006/docPropsVTypes"/>
</file>