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Leadership, Change and Innovation in the Telecommunications Sector: Mergers, Human Resource Strategy and the IBM–Virgin Data Partnership</w:t>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A Report on Leadership, Human Resource Management and Innovation</w:t>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Student Name</w:t>
      </w:r>
    </w:p>
    <w:p>
      <w:pPr>
        <w:spacing w:line="480" w:lineRule="auto"/>
        <w:jc w:val="center"/>
      </w:pPr>
      <w:r>
        <w:rPr>
          <w:rFonts w:ascii="Times New Roman" w:cs="Times New Roman" w:eastAsia="Times New Roman" w:hAnsi="Times New Roman"/>
          <w:sz w:val="24"/>
          <w:szCs w:val="24"/>
        </w:rPr>
        <w:t xml:space="preserve">Student Number</w:t>
      </w:r>
    </w:p>
    <w:p>
      <w:pPr>
        <w:spacing w:line="480" w:lineRule="auto"/>
        <w:jc w:val="center"/>
      </w:pPr>
      <w:r>
        <w:rPr>
          <w:rFonts w:ascii="Times New Roman" w:cs="Times New Roman" w:eastAsia="Times New Roman" w:hAnsi="Times New Roman"/>
          <w:sz w:val="24"/>
          <w:szCs w:val="24"/>
        </w:rPr>
        <w:t xml:space="preserve">Module/Course Title</w:t>
      </w:r>
    </w:p>
    <w:p>
      <w:pPr>
        <w:spacing w:line="480" w:lineRule="auto"/>
        <w:jc w:val="center"/>
      </w:pPr>
      <w:r>
        <w:rPr>
          <w:rFonts w:ascii="Times New Roman" w:cs="Times New Roman" w:eastAsia="Times New Roman" w:hAnsi="Times New Roman"/>
          <w:sz w:val="24"/>
          <w:szCs w:val="24"/>
        </w:rPr>
        <w:t xml:space="preserve">Instructor Name</w:t>
      </w:r>
    </w:p>
    <w:p>
      <w:pPr>
        <w:spacing w:line="480" w:lineRule="auto"/>
        <w:jc w:val="center"/>
      </w:pPr>
      <w:r>
        <w:rPr>
          <w:rFonts w:ascii="Times New Roman" w:cs="Times New Roman" w:eastAsia="Times New Roman" w:hAnsi="Times New Roman"/>
          <w:sz w:val="24"/>
          <w:szCs w:val="24"/>
        </w:rPr>
        <w:t xml:space="preserve">Institution Name</w:t>
      </w:r>
    </w:p>
    <w:p>
      <w:pPr>
        <w:spacing w:line="480" w:lineRule="auto"/>
        <w:jc w:val="center"/>
      </w:pPr>
      <w:r>
        <w:rPr>
          <w:rFonts w:ascii="Times New Roman" w:cs="Times New Roman" w:eastAsia="Times New Roman" w:hAnsi="Times New Roman"/>
          <w:sz w:val="24"/>
          <w:szCs w:val="24"/>
        </w:rPr>
        <w:t xml:space="preserve">Date of Submission</w:t>
      </w:r>
    </w:p>
    <w:p>
      <w:pPr>
        <w:spacing w:line="480" w:lineRule="auto"/>
        <w:jc w:val="center"/>
      </w:pPr>
      <w:r>
        <w:rPr>
          <w:rFonts w:ascii="Times New Roman" w:cs="Times New Roman" w:eastAsia="Times New Roman" w:hAnsi="Times New Roman"/>
          <w:sz w:val="24"/>
          <w:szCs w:val="24"/>
        </w:rPr>
        <w:t xml:space="preserve">Word Count: 5,500 (excluding references)</w:t>
      </w:r>
    </w:p>
    <w:p>
      <w:r>
        <w:br w:type="page"/>
      </w:r>
    </w:p>
    <w:p>
      <w:pPr>
        <w:spacing w:line="480" w:lineRule="auto"/>
        <w:jc w:val="center"/>
      </w:pPr>
      <w:r>
        <w:rPr>
          <w:rFonts w:ascii="Times New Roman" w:cs="Times New Roman" w:eastAsia="Times New Roman" w:hAnsi="Times New Roman"/>
          <w:b/>
          <w:bCs/>
          <w:sz w:val="24"/>
          <w:szCs w:val="24"/>
        </w:rPr>
        <w:t xml:space="preserve">Leadership, Change and Innovation in the Telecommunications Sector: Mergers, Human Resource Strategy and the IBM–Virgin Data Partnership</w:t>
      </w:r>
    </w:p>
    <w:p>
      <w:pPr>
        <w:spacing w:before="240" w:line="480" w:lineRule="auto"/>
        <w:jc w:val="left"/>
      </w:pPr>
      <w:r>
        <w:rPr>
          <w:rFonts w:ascii="Times New Roman" w:cs="Times New Roman" w:eastAsia="Times New Roman" w:hAnsi="Times New Roman"/>
          <w:b/>
          <w:bCs/>
          <w:sz w:val="28"/>
          <w:szCs w:val="28"/>
        </w:rPr>
        <w:t xml:space="preserve">Section 1: Mergers in the Telecoms Sector</w:t>
      </w:r>
    </w:p>
    <w:p>
      <w:pPr>
        <w:spacing w:before="200" w:line="480" w:lineRule="auto"/>
        <w:jc w:val="left"/>
      </w:pPr>
      <w:r>
        <w:rPr>
          <w:rFonts w:ascii="Times New Roman" w:cs="Times New Roman" w:eastAsia="Times New Roman" w:hAnsi="Times New Roman"/>
          <w:b/>
          <w:bCs/>
          <w:sz w:val="24"/>
          <w:szCs w:val="24"/>
        </w:rPr>
        <w:t xml:space="preserve">1.1 Leadership Traits and Styles in the Telecommunications Industry</w:t>
      </w:r>
    </w:p>
    <w:p>
      <w:pPr>
        <w:spacing w:line="480" w:lineRule="auto"/>
        <w:ind w:firstLine="720"/>
        <w:jc w:val="both"/>
      </w:pPr>
      <w:r>
        <w:rPr>
          <w:rFonts w:ascii="Times New Roman" w:cs="Times New Roman" w:eastAsia="Times New Roman" w:hAnsi="Times New Roman"/>
          <w:sz w:val="24"/>
          <w:szCs w:val="24"/>
        </w:rPr>
        <w:t xml:space="preserve">The telecommunications sector has undergone a prolonged period of consolidation, with mergers and takeovers reshaping the competitive landscape and, increasingly, blurring the boundary between telecommunications and adjacent industries, as illustrated by proposals such as the partial merger of BT's interests with EE. Activity of this kind places an unusual burden on leadership, because leaders are simultaneously expected to sustain day-to-day operational performance and to guide the organisation through fundamental structural change. Pettinger (2010) identifies a cluster of traits and behaviours that recur among effective leaders in complex, fast-moving industries such as telecommunications, and these provide a useful starting point for understanding what is required.</w:t>
      </w:r>
    </w:p>
    <w:p>
      <w:pPr>
        <w:spacing w:line="480" w:lineRule="auto"/>
        <w:ind w:firstLine="720"/>
        <w:jc w:val="both"/>
      </w:pPr>
      <w:r>
        <w:rPr>
          <w:rFonts w:ascii="Times New Roman" w:cs="Times New Roman" w:eastAsia="Times New Roman" w:hAnsi="Times New Roman"/>
          <w:sz w:val="24"/>
          <w:szCs w:val="24"/>
        </w:rPr>
        <w:t xml:space="preserve">The first of these is communication. A leader in a telecommunications business is in continual contact with people across engineering, commercial, regulatory and customer-facing functions, and the ability to share information clearly, to listen, and to respond constructively is what allows decisions taken at the top of the organisation to be understood and acted upon further down it. Closely related is decision-making capability. Telecommunications leaders are routinely required to weigh multiple, sometimes conflicting, criteria under considerable time pressure, and effective decision-making depends on the ability to take a holistic view of a situation, to weigh the short-term tactical consequences of a decision against its longer-term strategic implications, and to commit to a course of action once the analysis has been done.</w:t>
      </w:r>
    </w:p>
    <w:p>
      <w:pPr>
        <w:spacing w:line="480" w:lineRule="auto"/>
        <w:ind w:firstLine="720"/>
        <w:jc w:val="both"/>
      </w:pPr>
      <w:r>
        <w:rPr>
          <w:rFonts w:ascii="Times New Roman" w:cs="Times New Roman" w:eastAsia="Times New Roman" w:hAnsi="Times New Roman"/>
          <w:sz w:val="24"/>
          <w:szCs w:val="24"/>
        </w:rPr>
        <w:t xml:space="preserve">Commitment is a third recurring trait. Leaders who bring high energy and sustained focus to their role are better placed to build teams capable of delivering consistent performance despite the operational and competitive constraints that characterise the sector. This is reinforced by a genuine concern for staff: because the strength of any team lies in the collective effort of its individual members, leaders who invest in collaboration and trust are able to motivate their teams to a level of performance that command-and-control management styles rarely achieve. A commitment to quality follows naturally from this, since a leader who insists on high standards, both in the products and services the organisation delivers and in its internal processes, sets a benchmark that the rest of the organisation is more likely to follow.</w:t>
      </w:r>
    </w:p>
    <w:p>
      <w:pPr>
        <w:spacing w:line="480" w:lineRule="auto"/>
        <w:ind w:firstLine="720"/>
        <w:jc w:val="both"/>
      </w:pPr>
      <w:r>
        <w:rPr>
          <w:rFonts w:ascii="Times New Roman" w:cs="Times New Roman" w:eastAsia="Times New Roman" w:hAnsi="Times New Roman"/>
          <w:sz w:val="24"/>
          <w:szCs w:val="24"/>
        </w:rPr>
        <w:t xml:space="preserve">Beyond these operational traits, Pettinger (2010) also emphasises the importance of business values, personal integrity and a positive attitude. Business values that are visibly people-centred and oriented towards a triple-bottom-line view of performance, covering financial, social and environmental outcomes, help to position an organisation as ethical and responsive to the needs of its stakeholders. Personal integrity matters because employees look to their leaders as a reference point for acceptable behaviour, and a leader who is seen to act with honesty and consistency earns a form of trust that cannot easily be replicated through policy alone. A positive attitude, meanwhile, becomes particularly important during periods of adversity, since the tone set by senior leadership is transmitted, often quite directly, through the rest of the organisation. Finally, mutuality and interdependency, the recognition that team members bring different strengths and weaknesses and that the whole team benefits when those differences are understood and accommodated, underpins effective collaboration at every level.</w:t>
      </w:r>
    </w:p>
    <w:p>
      <w:pPr>
        <w:spacing w:line="480" w:lineRule="auto"/>
        <w:ind w:firstLine="720"/>
        <w:jc w:val="both"/>
      </w:pPr>
      <w:r>
        <w:rPr>
          <w:rFonts w:ascii="Times New Roman" w:cs="Times New Roman" w:eastAsia="Times New Roman" w:hAnsi="Times New Roman"/>
          <w:sz w:val="24"/>
          <w:szCs w:val="24"/>
        </w:rPr>
        <w:t xml:space="preserve">Traits, however, only explain part of how leadership is exercised; the style in which those traits are applied is equally important. Johnson (2015) sets out five leadership styles that recur across organisations of many kinds, and each has particular implications for the telecommunications sector. Laissez-faire leadership, in which senior or experienced employees are given a high degree of autonomy and minimal supervision, can work well with mid- to senior-level technical staff who are capable of managing their own workload, but it is poorly suited to employees who need more active guidance. Autocratic leadership concentrates decision-making authority with the leader alone; while this can produce fast decisions in a crisis, it tends to perform poorly where employees are creative or where innovative thinking beyond a fixed directive is required, which is increasingly the case in a technology-driven industry. Participative leadership, by contrast, encourages continuous discussion and input from the wider team while retaining final decision-making authority with the leader; this approach helps employees feel that their views are valued, which can be a significant advantage in a sector reliant on technical expertise distributed across many specialist teams. Transactional leadership, structured around a clear system of reward and consequence tied to the achievement of specific goals, works well where performance can be measured objectively, provided that it is paired with genuine developmental support rather than reward alone. Transformational leadership, finally, engages the whole organisation around a long-term vision, using high visibility and clear communication to align individual objectives with that vision; this style is often the most effective where an organisation needs to sustain momentum through a period of substantial change.</w:t>
      </w:r>
    </w:p>
    <w:p>
      <w:pPr>
        <w:spacing w:line="480" w:lineRule="auto"/>
        <w:ind w:firstLine="720"/>
        <w:jc w:val="both"/>
      </w:pPr>
      <w:r>
        <w:rPr>
          <w:rFonts w:ascii="Times New Roman" w:cs="Times New Roman" w:eastAsia="Times New Roman" w:hAnsi="Times New Roman"/>
          <w:sz w:val="24"/>
          <w:szCs w:val="24"/>
        </w:rPr>
        <w:t xml:space="preserve">Several further factors shape which traits and styles prove most valuable in the telecommunications sector specifically. The geographical context of operations matters, because the regulatory environment, infrastructure maturity and competitive dynamics of the telecommunications industry vary considerably between countries and regions. The competitive landscape is equally significant, since it determines the addressable market size, the prevailing revenue models and the profit margins available to a given operator, all of which influence what kind of leadership behaviour is rewarded. The specific culture of the country in which the business operates also needs to be understood and reflected in how leadership is exercised, since a style that works well in one market may translate poorly into another. A leader who has built a track record of success in a mature, saturated market, for instance, may find that the same playbook does not transfer cleanly to a market where infrastructure is still being built out and where the regulatory relationship with government is far more central to commercial success.</w:t>
      </w:r>
    </w:p>
    <w:p>
      <w:pPr>
        <w:spacing w:line="480" w:lineRule="auto"/>
        <w:ind w:firstLine="720"/>
        <w:jc w:val="both"/>
      </w:pPr>
      <w:r>
        <w:rPr>
          <w:rFonts w:ascii="Times New Roman" w:cs="Times New Roman" w:eastAsia="Times New Roman" w:hAnsi="Times New Roman"/>
          <w:sz w:val="24"/>
          <w:szCs w:val="24"/>
        </w:rPr>
        <w:t xml:space="preserve">While the literature does not identify a single trait or style that guarantees superior performance in every circumstance, three factors stand out as particularly important given the competitive intensity of the telecommunications industry worldwide. The first is vision: leaders need a clear understanding of technical developments and competitive offerings in order to position their organisation effectively for the future. The second is flexibility, since the sector is characterised by rapid technological change and evolving service offerings, and an organisation that cannot adapt quickly risks being overtaken by competitors that can. The third, reiterated because of its particular significance in an industry where margins are frequently thin, is communication, since sustaining motivation and a shared sense of direction among employees depends on leaders being able to articulate the organisation's goals clearly and consistently.</w:t>
      </w:r>
    </w:p>
    <w:p>
      <w:pPr>
        <w:spacing w:before="200" w:line="480" w:lineRule="auto"/>
        <w:jc w:val="left"/>
      </w:pPr>
      <w:r>
        <w:rPr>
          <w:rFonts w:ascii="Times New Roman" w:cs="Times New Roman" w:eastAsia="Times New Roman" w:hAnsi="Times New Roman"/>
          <w:b/>
          <w:bCs/>
          <w:sz w:val="24"/>
          <w:szCs w:val="24"/>
        </w:rPr>
        <w:t xml:space="preserve">1.2 Key Leadership Attributes for Successful Mergers and Takeovers</w:t>
      </w:r>
    </w:p>
    <w:p>
      <w:pPr>
        <w:spacing w:line="480" w:lineRule="auto"/>
        <w:ind w:firstLine="720"/>
        <w:jc w:val="both"/>
      </w:pPr>
      <w:r>
        <w:rPr>
          <w:rFonts w:ascii="Times New Roman" w:cs="Times New Roman" w:eastAsia="Times New Roman" w:hAnsi="Times New Roman"/>
          <w:sz w:val="24"/>
          <w:szCs w:val="24"/>
        </w:rPr>
        <w:t xml:space="preserve">Implementing a merger or takeover successfully calls for a somewhat different, though overlapping, set of leadership attributes from those required for ongoing operational leadership. The first is drive. Organisations undertaking a merger need to identify and empower leaders who are capable of driving the change process through every level of the organisation, rather than treating integration as an activity that can be delegated entirely to a project management office; the leader's own visible commitment to the change signals its importance to the rest of the workforce.</w:t>
      </w:r>
    </w:p>
    <w:p>
      <w:pPr>
        <w:spacing w:line="480" w:lineRule="auto"/>
        <w:ind w:firstLine="720"/>
        <w:jc w:val="both"/>
      </w:pPr>
      <w:r>
        <w:rPr>
          <w:rFonts w:ascii="Times New Roman" w:cs="Times New Roman" w:eastAsia="Times New Roman" w:hAnsi="Times New Roman"/>
          <w:sz w:val="24"/>
          <w:szCs w:val="24"/>
        </w:rPr>
        <w:t xml:space="preserve">The second attribute is leadership motivation. Employees look to their leaders for cues about how to respond to uncertainty, and a leader who visibly goes beyond the minimum requirements of the role, leading by example rather than by instruction, is more likely to secure the discretionary effort that a successful merger requires. Third, honesty and integrity take on particular importance in a merger context, because mergers and acquisitions frequently involve difficult organisational consequences, including redundancies, role changes, and both promotions and demotions. A leader who communicates these changes honestly, and who is seen to handle them with a genuine commitment to fairness, is far more likely to retain the trust of the workforce than one who obscures or delays difficult news.</w:t>
      </w:r>
    </w:p>
    <w:p>
      <w:pPr>
        <w:spacing w:line="480" w:lineRule="auto"/>
        <w:ind w:firstLine="720"/>
        <w:jc w:val="both"/>
      </w:pPr>
      <w:r>
        <w:rPr>
          <w:rFonts w:ascii="Times New Roman" w:cs="Times New Roman" w:eastAsia="Times New Roman" w:hAnsi="Times New Roman"/>
          <w:sz w:val="24"/>
          <w:szCs w:val="24"/>
        </w:rPr>
        <w:t xml:space="preserve">Fourth, cognitive ability, understood here as the capacity to look beyond what is explicitly said and to read the underlying mood and concerns of employees, allows a leader to anticipate problems before they become disruptive. The pulse of an organisation during a merger often carries more information than can be captured through formal reporting channels alone, and a leader who can read that pulse is better placed to intervene early. Fifth, and finally, a leader driving a merger needs a strong and current knowledge of the business, since it is essential to remain closely connected to the operational reality of the newly combining organisation rather than relying solely on reports prepared by others.</w:t>
      </w:r>
    </w:p>
    <w:p>
      <w:pPr>
        <w:spacing w:line="480" w:lineRule="auto"/>
        <w:ind w:firstLine="720"/>
        <w:jc w:val="both"/>
      </w:pPr>
      <w:r>
        <w:rPr>
          <w:rFonts w:ascii="Times New Roman" w:cs="Times New Roman" w:eastAsia="Times New Roman" w:hAnsi="Times New Roman"/>
          <w:sz w:val="24"/>
          <w:szCs w:val="24"/>
        </w:rPr>
        <w:t xml:space="preserve">Beyond these five attributes, successful merger leadership requires the ability to hold both a strategic and a tactical view simultaneously, weighing the short-term disruption a particular action might cause against its longer-term benefits for the combined organisation. At times, this also requires a degree of resolve that can appear uncomfortable, since overcoming entrenched resistance to a newly appointed leadership team is rarely achieved through consensus alone, and a leader may need to make and defend unpopular decisions in the wider interest of the merger's success.</w:t>
      </w:r>
    </w:p>
    <w:p>
      <w:pPr>
        <w:spacing w:before="200" w:line="480" w:lineRule="auto"/>
        <w:jc w:val="left"/>
      </w:pPr>
      <w:r>
        <w:rPr>
          <w:rFonts w:ascii="Times New Roman" w:cs="Times New Roman" w:eastAsia="Times New Roman" w:hAnsi="Times New Roman"/>
          <w:b/>
          <w:bCs/>
          <w:sz w:val="24"/>
          <w:szCs w:val="24"/>
        </w:rPr>
        <w:t xml:space="preserve">1.3 Establishing a New Organisational Identity Post-Merger</w:t>
      </w:r>
    </w:p>
    <w:p>
      <w:pPr>
        <w:spacing w:line="480" w:lineRule="auto"/>
        <w:ind w:firstLine="720"/>
        <w:jc w:val="both"/>
      </w:pPr>
      <w:r>
        <w:rPr>
          <w:rFonts w:ascii="Times New Roman" w:cs="Times New Roman" w:eastAsia="Times New Roman" w:hAnsi="Times New Roman"/>
          <w:sz w:val="24"/>
          <w:szCs w:val="24"/>
        </w:rPr>
        <w:t xml:space="preserve">A recurring theme in merger literature is that a merger is rarely a union of equals, and the resulting organisation must be actively shaped into something more capable than either predecessor organisation on its own, rather than being allowed to default into an uneasy combination of the two. Drawing on the experience of firms that specialise in advising on global mergers, several actions stand out as central to achieving this quickly.</w:t>
      </w:r>
    </w:p>
    <w:p>
      <w:pPr>
        <w:spacing w:line="480" w:lineRule="auto"/>
        <w:ind w:firstLine="720"/>
        <w:jc w:val="both"/>
      </w:pPr>
      <w:r>
        <w:rPr>
          <w:rFonts w:ascii="Times New Roman" w:cs="Times New Roman" w:eastAsia="Times New Roman" w:hAnsi="Times New Roman"/>
          <w:sz w:val="24"/>
          <w:szCs w:val="24"/>
        </w:rPr>
        <w:t xml:space="preserve">The first is capturing synergy deliberately. An appropriate synergy framework helps an organisation identify where the combination of the two businesses can generate value that neither could achieve alone, whether through cost savings, expanded market reach, or complementary capabilities. It is important, however, to build a firm operational foundation before attempting to capture more ambitious synergies; organisations that try to move too quickly up what might be described as a synergy staircase, without first stabilising core processes, often find that the anticipated benefits fail to materialise.</w:t>
      </w:r>
    </w:p>
    <w:p>
      <w:pPr>
        <w:spacing w:line="480" w:lineRule="auto"/>
        <w:ind w:firstLine="720"/>
        <w:jc w:val="both"/>
      </w:pPr>
      <w:r>
        <w:rPr>
          <w:rFonts w:ascii="Times New Roman" w:cs="Times New Roman" w:eastAsia="Times New Roman" w:hAnsi="Times New Roman"/>
          <w:sz w:val="24"/>
          <w:szCs w:val="24"/>
        </w:rPr>
        <w:t xml:space="preserve">The second is the deliberate creation of cultural bonding between the two organisations. A significant proportion of merger failures can be traced to a lack of cultural compatibility that was never properly addressed, and it is therefore important for the combined leadership to understand the distinct cultural characteristics of both predecessor organisations and to identify explicitly how those characteristics can be leveraged, rather than assuming that one culture will simply absorb the other.</w:t>
      </w:r>
    </w:p>
    <w:p>
      <w:pPr>
        <w:spacing w:line="480" w:lineRule="auto"/>
        <w:ind w:firstLine="720"/>
        <w:jc w:val="both"/>
      </w:pPr>
      <w:r>
        <w:rPr>
          <w:rFonts w:ascii="Times New Roman" w:cs="Times New Roman" w:eastAsia="Times New Roman" w:hAnsi="Times New Roman"/>
          <w:sz w:val="24"/>
          <w:szCs w:val="24"/>
        </w:rPr>
        <w:t xml:space="preserve">The third is speed of integration. Where the integration process is well planned, with clear deliverables and milestones set out across a realistic but disciplined schedule, the new organisation is able to begin functioning as a coherent whole more quickly, which in turn reduces the period of uncertainty during which employees, customers and suppliers are unsure of what to expect. Beyond these specific actions, leadership needs to remain genuinely open to understanding the distinct story and value that each division, team and individual employee brings to the newly combined organisation, incorporating that understanding into how the business is run after the merger rather than treating post-merger integration as a purely structural exercise.</w:t>
      </w:r>
    </w:p>
    <w:p>
      <w:pPr>
        <w:spacing w:line="480" w:lineRule="auto"/>
        <w:ind w:firstLine="720"/>
        <w:jc w:val="both"/>
      </w:pPr>
      <w:r>
        <w:rPr>
          <w:rFonts w:ascii="Times New Roman" w:cs="Times New Roman" w:eastAsia="Times New Roman" w:hAnsi="Times New Roman"/>
          <w:sz w:val="24"/>
          <w:szCs w:val="24"/>
        </w:rPr>
        <w:t xml:space="preserve">It should also be recognised that post-merger organisational restructuring does not always succeed. Some organisations thrive under a particular leadership style precisely because that style suits their existing culture, and a merger inevitably introduces a new leadership dynamic that may not be immediately compatible with either predecessor culture. The eventual identity of the merged organisation, and the extent to which it succeeds, will therefore depend heavily on how well the new cultural and leadership approach is matched to the realities of the combined workforce. Where leadership fails to recognise this and instead imposes a single, uniform approach on both predecessor organisations without adapting it to local circumstances, the resulting friction can slow integration considerably and, in some documented cases, has led to the loss of key staff and institutional knowledge that the merger was intended to preserve.</w:t>
      </w:r>
    </w:p>
    <w:p>
      <w:pPr>
        <w:spacing w:before="200" w:line="480" w:lineRule="auto"/>
        <w:jc w:val="left"/>
      </w:pPr>
      <w:r>
        <w:rPr>
          <w:rFonts w:ascii="Times New Roman" w:cs="Times New Roman" w:eastAsia="Times New Roman" w:hAnsi="Times New Roman"/>
          <w:b/>
          <w:bCs/>
          <w:sz w:val="24"/>
          <w:szCs w:val="24"/>
        </w:rPr>
        <w:t xml:space="preserve">1.4 Sources and Management of Resistance to Change</w:t>
      </w:r>
    </w:p>
    <w:p>
      <w:pPr>
        <w:spacing w:line="480" w:lineRule="auto"/>
        <w:ind w:firstLine="720"/>
        <w:jc w:val="both"/>
      </w:pPr>
      <w:r>
        <w:rPr>
          <w:rFonts w:ascii="Times New Roman" w:cs="Times New Roman" w:eastAsia="Times New Roman" w:hAnsi="Times New Roman"/>
          <w:sz w:val="24"/>
          <w:szCs w:val="24"/>
        </w:rPr>
        <w:t xml:space="preserve">Resistance to organisational change is a natural and predictable phenomenon rather than an aberration, and it can usefully be divided into two broad categories. Individual resistance arises from factors such as economic uncertainty, established habits, a desire for security, selective processing of information that confirms existing views, and a more general fear of the unknown. Organisational resistance, by contrast, arises at the level of the collective and includes a limited institutional focus on change, group and structural inertia, perceived threats to established expertise, and perceived threats to existing patterns of resource allocation and power (Robbins, Judge and Vohra, 2012).</w:t>
      </w:r>
    </w:p>
    <w:p>
      <w:pPr>
        <w:spacing w:line="480" w:lineRule="auto"/>
        <w:ind w:firstLine="720"/>
        <w:jc w:val="both"/>
      </w:pPr>
      <w:r>
        <w:rPr>
          <w:rFonts w:ascii="Times New Roman" w:cs="Times New Roman" w:eastAsia="Times New Roman" w:hAnsi="Times New Roman"/>
          <w:sz w:val="24"/>
          <w:szCs w:val="24"/>
        </w:rPr>
        <w:t xml:space="preserve">Robbins, Judge and Vohra (2012) further distinguish between two forms that resistance can take. Overt and immediate resistance is visible and easy to identify, manifesting as voiced complaints, formal grievances, or deliberate job actions intended to slow or disrupt the change process. Implicit and deferred resistance is considerably harder to detect, since it manifests through subtler signals such as declining motivation, increased errors, or a gradual disengagement from work that may not be linked explicitly to the change itself, even though it is a direct consequence of it.</w:t>
      </w:r>
    </w:p>
    <w:p>
      <w:pPr>
        <w:spacing w:line="480" w:lineRule="auto"/>
        <w:ind w:firstLine="720"/>
        <w:jc w:val="both"/>
      </w:pPr>
      <w:r>
        <w:rPr>
          <w:rFonts w:ascii="Times New Roman" w:cs="Times New Roman" w:eastAsia="Times New Roman" w:hAnsi="Times New Roman"/>
          <w:sz w:val="24"/>
          <w:szCs w:val="24"/>
        </w:rPr>
        <w:t xml:space="preserve">Addressing this resistance effectively is often best approached through Lewin's three-step model of change, supported by four underlying strategies for managing the change process. The first strategy is education and communication, ensuring that the rationale and intended goal of the change is communicated clearly to the wider workforce, in a way that acknowledges rather than dismisses their existing point of view. The second is participation: involving employees and team members directly in the decision-making process substantially reduces resistance, because people are generally more willing to support outcomes they have had a hand in shaping. The third is building support and commitment through skill-building and training initiatives that directly address employees' underlying concerns, particularly fears about job security, competence in a new role, or the erosion of established ways of working. The fourth is selecting for change readiness, adjusting recruitment and promotion criteria over time so that the organisation increasingly attracts and retains people who are comfortable with, and even energised by, ongoing change.</w:t>
      </w:r>
    </w:p>
    <w:p>
      <w:pPr>
        <w:spacing w:line="480" w:lineRule="auto"/>
        <w:ind w:firstLine="720"/>
        <w:jc w:val="both"/>
      </w:pPr>
      <w:r>
        <w:rPr>
          <w:rFonts w:ascii="Times New Roman" w:cs="Times New Roman" w:eastAsia="Times New Roman" w:hAnsi="Times New Roman"/>
          <w:sz w:val="24"/>
          <w:szCs w:val="24"/>
        </w:rPr>
        <w:t xml:space="preserve">Lewin's model itself describes how these strategies are sequenced in practice. The first stage, unfreezing, recognises that resistance to change is typically at its highest at the outset of a change programme, and that the organisation must deliberately work to reduce the pressure exerted by individual and group non-conformity before any substantive change can be introduced. The second stage, moving, begins once that initial inertia has been sufficiently reduced, and involves actively implementing the change process towards its intended end state. The third and final stage, refreezing, involves establishing a new equilibrium between the forces driving the change and the forces resisting it, so that the change becomes embedded in the organisation's normal way of operating rather than remaining a fragile, temporary state that could easily revert. Only once this final stage has been achieved can the organisation reasonably move on to establishing new processes and policies built on top of the change that has been implemented.</w:t>
      </w:r>
    </w:p>
    <w:p>
      <w:pPr>
        <w:spacing w:before="240" w:line="480" w:lineRule="auto"/>
        <w:jc w:val="left"/>
      </w:pPr>
      <w:r>
        <w:rPr>
          <w:rFonts w:ascii="Times New Roman" w:cs="Times New Roman" w:eastAsia="Times New Roman" w:hAnsi="Times New Roman"/>
          <w:b/>
          <w:bCs/>
          <w:sz w:val="28"/>
          <w:szCs w:val="28"/>
        </w:rPr>
        <w:t xml:space="preserve">Section 2: Human Resource Management</w:t>
      </w:r>
    </w:p>
    <w:p>
      <w:pPr>
        <w:spacing w:before="200" w:line="480" w:lineRule="auto"/>
        <w:jc w:val="left"/>
      </w:pPr>
      <w:r>
        <w:rPr>
          <w:rFonts w:ascii="Times New Roman" w:cs="Times New Roman" w:eastAsia="Times New Roman" w:hAnsi="Times New Roman"/>
          <w:b/>
          <w:bCs/>
          <w:sz w:val="24"/>
          <w:szCs w:val="24"/>
        </w:rPr>
        <w:t xml:space="preserve">2.1 The Belbin Approach to Team Restructuring</w:t>
      </w:r>
    </w:p>
    <w:p>
      <w:pPr>
        <w:spacing w:line="480" w:lineRule="auto"/>
        <w:ind w:firstLine="720"/>
        <w:jc w:val="both"/>
      </w:pPr>
      <w:r>
        <w:rPr>
          <w:rFonts w:ascii="Times New Roman" w:cs="Times New Roman" w:eastAsia="Times New Roman" w:hAnsi="Times New Roman"/>
          <w:sz w:val="24"/>
          <w:szCs w:val="24"/>
        </w:rPr>
        <w:t xml:space="preserve">Because staffing costs can represent as much as seventy-five per cent of an organisation's working capital, decisions about how teams are structured and staffed have a disproportionate influence on the overall return an organisation earns on its investment in people. The Belbin approach offers one well-established framework for thinking about this problem. Belbin (1985) argues that a genuinely effective team is composed of individuals drawn from three broad clusters of roles: action-oriented roles, people-oriented roles, and cerebral or thinking-oriented roles, with nine specific roles distributed across these three clusters.</w:t>
      </w:r>
    </w:p>
    <w:p>
      <w:pPr>
        <w:spacing w:line="480" w:lineRule="auto"/>
        <w:ind w:firstLine="720"/>
        <w:jc w:val="both"/>
      </w:pPr>
      <w:r>
        <w:rPr>
          <w:rFonts w:ascii="Times New Roman" w:cs="Times New Roman" w:eastAsia="Times New Roman" w:hAnsi="Times New Roman"/>
          <w:sz w:val="24"/>
          <w:szCs w:val="24"/>
        </w:rPr>
        <w:t xml:space="preserve">The success of a team, in this framework, needs to be assessed at two distinct levels: the individual success of each team member in fulfilling their particular role, and the overall success of the team as a collective unit. Applying the Belbin approach effectively therefore depends on the deliberate and considered composition of teams, rather than on staffing decisions driven purely by availability or by narrow technical qualifications. This creates several distinct challenges when an organisation is restructured with the Belbin model in mind.</w:t>
      </w:r>
    </w:p>
    <w:p>
      <w:pPr>
        <w:spacing w:line="480" w:lineRule="auto"/>
        <w:ind w:firstLine="720"/>
        <w:jc w:val="both"/>
      </w:pPr>
      <w:r>
        <w:rPr>
          <w:rFonts w:ascii="Times New Roman" w:cs="Times New Roman" w:eastAsia="Times New Roman" w:hAnsi="Times New Roman"/>
          <w:sz w:val="24"/>
          <w:szCs w:val="24"/>
        </w:rPr>
        <w:t xml:space="preserve">The first challenge arises where the organisation's underlying staffing policy is not aligned with Belbin's principles, for example where recruitment and internal transfer decisions continue to be made on the basis of technical skill alone, without regard to the balance of roles within a team. The second arises where the specific Belbin roles being asked of individual employees are not made explicit to them, leaving people uncertain about what is expected of them beyond their formal job description. A further consideration concerns reward design: a compensation and recognition policy needs to be structured so that it honours the contribution of each individual role rather than rewarding the team as an undifferentiated whole, since not all team members perform comparable activities and a flat, team-level reward scheme risks disproportionately benefiting some roles at the expense of others. The incentive structure instead needs to motivate each individual to perform beyond their own personal baseline, rather than simply matching the average contribution of the team.</w:t>
      </w:r>
    </w:p>
    <w:p>
      <w:pPr>
        <w:spacing w:line="480" w:lineRule="auto"/>
        <w:ind w:firstLine="720"/>
        <w:jc w:val="both"/>
      </w:pPr>
      <w:r>
        <w:rPr>
          <w:rFonts w:ascii="Times New Roman" w:cs="Times New Roman" w:eastAsia="Times New Roman" w:hAnsi="Times New Roman"/>
          <w:sz w:val="24"/>
          <w:szCs w:val="24"/>
        </w:rPr>
        <w:t xml:space="preserve">A further practical issue arises where a team is missing one of the nine Belbin roles altogether. In such cases, a team leader, sometimes described in the Belbin literature as the chairman role, can assign the associated responsibilities to one or two existing team members, which has the secondary benefit of broadening those individuals' role and, appropriately, their reward. This reallocation needs to be undertaken carefully, however, since assigning responsibilities that do not suit an individual's natural working style risks reducing rather than enhancing team performance. Restructuring an existing organisation around the Belbin model therefore tends to work best as a gradual process, in which roles are reassessed and rebalanced over successive review cycles rather than through a single, disruptive reorganisation, since abrupt changes to established team composition can themselves generate the kind of resistance to change discussed in Section 1.</w:t>
      </w:r>
    </w:p>
    <w:p>
      <w:pPr>
        <w:spacing w:before="200" w:line="480" w:lineRule="auto"/>
        <w:jc w:val="left"/>
      </w:pPr>
      <w:r>
        <w:rPr>
          <w:rFonts w:ascii="Times New Roman" w:cs="Times New Roman" w:eastAsia="Times New Roman" w:hAnsi="Times New Roman"/>
          <w:b/>
          <w:bCs/>
          <w:sz w:val="24"/>
          <w:szCs w:val="24"/>
        </w:rPr>
        <w:t xml:space="preserve">2.2 Costs and Benefits of Strategic HR Development</w:t>
      </w:r>
    </w:p>
    <w:p>
      <w:pPr>
        <w:spacing w:line="480" w:lineRule="auto"/>
        <w:ind w:firstLine="720"/>
        <w:jc w:val="both"/>
      </w:pPr>
      <w:r>
        <w:rPr>
          <w:rFonts w:ascii="Times New Roman" w:cs="Times New Roman" w:eastAsia="Times New Roman" w:hAnsi="Times New Roman"/>
          <w:sz w:val="24"/>
          <w:szCs w:val="24"/>
        </w:rPr>
        <w:t xml:space="preserve">A genuinely strategic approach to HR development involves a distinct set of costs and benefits across several areas of activity, each operating on a different timescale.</w:t>
      </w:r>
    </w:p>
    <w:p>
      <w:pPr>
        <w:spacing w:line="480" w:lineRule="auto"/>
        <w:ind w:firstLine="720"/>
        <w:jc w:val="both"/>
      </w:pPr>
      <w:r>
        <w:rPr>
          <w:rFonts w:ascii="Times New Roman" w:cs="Times New Roman" w:eastAsia="Times New Roman" w:hAnsi="Times New Roman"/>
          <w:sz w:val="24"/>
          <w:szCs w:val="24"/>
        </w:rPr>
        <w:t xml:space="preserve">Strategic hiring is the first of these areas. In the short term, organisations typically develop a defined plan to recruit experienced professionals into top and middle management positions, in order to attract and retain the strongest available talent in the industry; this approach tends to deliver measurable results within roughly six to twelve months, visible in both revenue and cost performance. In parallel, organisations increasingly develop longer-term strategies to recruit and develop early-career talent who are expected to lead the business over a much longer horizon, often eight to ten years before the full benefits of this investment become apparent. Although the immediate cost of this longer-term approach is high, since it involves sustained investment in graduates and junior staff well before they reach positions of significant responsibility, it delivers benefits that are difficult to replicate through lateral hiring alone: a broader, more horizontal understanding of the business built up over years of exposure to different functions, a genuinely diverse range of perspectives on business problems, and a closer working familiarity with front-line stakeholders and operational realities. Many organisations formalise this through leadership development programmes that can span a decade or more, often in partnership with leading business schools, accepting a high upfront cost in exchange for a stronger and more capable leadership pipeline over time.</w:t>
      </w:r>
    </w:p>
    <w:p>
      <w:pPr>
        <w:spacing w:line="480" w:lineRule="auto"/>
        <w:ind w:firstLine="720"/>
        <w:jc w:val="both"/>
      </w:pPr>
      <w:r>
        <w:rPr>
          <w:rFonts w:ascii="Times New Roman" w:cs="Times New Roman" w:eastAsia="Times New Roman" w:hAnsi="Times New Roman"/>
          <w:sz w:val="24"/>
          <w:szCs w:val="24"/>
        </w:rPr>
        <w:t xml:space="preserve">Rewards and recognition form the second area of strategic HR investment. Because a modern workforce is diverse, both demographically and in terms of career stage, an effective rewards strategy needs to be similarly differentiated. Entry-level employees, for example, tend to place greater weight on direct cash compensation, while middle managers more often prioritise flexibility and work-life balance. Delivering that flexibility typically requires investment in a more adaptable workforce structure or in developing parallel skill sets across the organisation, so that flexible working arrangements do not come at the cost of operational continuity. Where this investment is made well, strategic HR practice can meaningfully reduce staff attrition, which in turn lowers the ongoing cost of recruitment, while also motivating existing employees to extend themselves further. These policies tend to be more medium-term in nature, generally requiring around two to three years before their full benefits, particularly reduced attrition and improved engagement, become clearly visible in organisational metrics.</w:t>
      </w:r>
    </w:p>
    <w:p>
      <w:pPr>
        <w:spacing w:line="480" w:lineRule="auto"/>
        <w:ind w:firstLine="720"/>
        <w:jc w:val="both"/>
      </w:pPr>
      <w:r>
        <w:rPr>
          <w:rFonts w:ascii="Times New Roman" w:cs="Times New Roman" w:eastAsia="Times New Roman" w:hAnsi="Times New Roman"/>
          <w:sz w:val="24"/>
          <w:szCs w:val="24"/>
        </w:rPr>
        <w:t xml:space="preserve">Learning and development is the third area. Many organisations now maintain a dedicated function responsible for learning and development across business units, with the underlying objective of raising employees' understanding of the wider business and encouraging them to contribute beyond the narrow scope of their formal role. Learning and development activity effectively provides a structured pathway for employees to progress within the organisation through a combination of knowledge acquisition and personal development. Because organisations frequently rely on external specialists to design and deliver this training, it represents a genuine financial investment, and the resulting benefits are rarely visible immediately; a minimum of around a year is typically required for employees to absorb new learning and to integrate it meaningfully into their day-to-day work.</w:t>
      </w:r>
    </w:p>
    <w:p>
      <w:pPr>
        <w:spacing w:before="240" w:line="480" w:lineRule="auto"/>
        <w:jc w:val="left"/>
      </w:pPr>
      <w:r>
        <w:rPr>
          <w:rFonts w:ascii="Times New Roman" w:cs="Times New Roman" w:eastAsia="Times New Roman" w:hAnsi="Times New Roman"/>
          <w:b/>
          <w:bCs/>
          <w:sz w:val="28"/>
          <w:szCs w:val="28"/>
        </w:rPr>
        <w:t xml:space="preserve">Section 3: IBM, Virgin Telecommunications and Data Management Developments</w:t>
      </w:r>
    </w:p>
    <w:p>
      <w:pPr>
        <w:spacing w:before="200" w:line="480" w:lineRule="auto"/>
        <w:jc w:val="left"/>
      </w:pPr>
      <w:r>
        <w:rPr>
          <w:rFonts w:ascii="Times New Roman" w:cs="Times New Roman" w:eastAsia="Times New Roman" w:hAnsi="Times New Roman"/>
          <w:b/>
          <w:bCs/>
          <w:sz w:val="24"/>
          <w:szCs w:val="24"/>
        </w:rPr>
        <w:t xml:space="preserve">3.1 Classifying the Innovation Using Tidd's Model</w:t>
      </w:r>
    </w:p>
    <w:p>
      <w:pPr>
        <w:spacing w:line="480" w:lineRule="auto"/>
        <w:ind w:firstLine="720"/>
        <w:jc w:val="both"/>
      </w:pPr>
      <w:r>
        <w:rPr>
          <w:rFonts w:ascii="Times New Roman" w:cs="Times New Roman" w:eastAsia="Times New Roman" w:hAnsi="Times New Roman"/>
          <w:sz w:val="24"/>
          <w:szCs w:val="24"/>
        </w:rPr>
        <w:t xml:space="preserve">The proposed collaboration between IBM and Virgin Telecommunications, intended to allow Virgin to use IBM's data and technology capabilities to promote healthcare-related products such as pedometers, diet management applications, calorie counters and blood pressure monitoring tools to its existing telecommunications customers, can usefully be examined through the innovation framework developed by Tidd, Bessant and Pavitt. Their work identifies six broad forms of inter-organisational collaboration through which innovation can be pursued (Tidd, Bessant and Pavitt, 2005).</w:t>
      </w:r>
    </w:p>
    <w:p>
      <w:pPr>
        <w:spacing w:line="480" w:lineRule="auto"/>
        <w:ind w:firstLine="720"/>
        <w:jc w:val="both"/>
      </w:pPr>
      <w:r>
        <w:rPr>
          <w:rFonts w:ascii="Times New Roman" w:cs="Times New Roman" w:eastAsia="Times New Roman" w:hAnsi="Times New Roman"/>
          <w:sz w:val="24"/>
          <w:szCs w:val="24"/>
        </w:rPr>
        <w:t xml:space="preserve">Considered against this framework, the IBM-Virgin arrangement is best understood as a strategic alliance rather than as a joint venture or a collaborative network. It offers Virgin a clear opportunity to expand into the healthcare space by drawing on IBM's existing technological capability, but it does not appear to offer a comparably significant or symmetrical benefit to IBM; a genuine joint venture or network arrangement would typically be characterised by complementary know-how flowing in both directions and by a substantial mutual learning opportunity, neither of which is clearly present here. The terms of the arrangement also appear to allow for flexibility, in that the collaboration could plausibly be structured around either a short-term commercial goal or a longer-term strategic ambition, depending on how the two organisations choose to develop the relationship over time.</w:t>
      </w:r>
    </w:p>
    <w:p>
      <w:pPr>
        <w:spacing w:line="480" w:lineRule="auto"/>
        <w:ind w:firstLine="720"/>
        <w:jc w:val="both"/>
      </w:pPr>
      <w:r>
        <w:rPr>
          <w:rFonts w:ascii="Times New Roman" w:cs="Times New Roman" w:eastAsia="Times New Roman" w:hAnsi="Times New Roman"/>
          <w:sz w:val="24"/>
          <w:szCs w:val="24"/>
        </w:rPr>
        <w:t xml:space="preserve">Turning to Tidd's separate framework of four core innovation types, the initiative is most accurately classified as incremental innovation rather than radical innovation. Virgin Telecommunications remains fundamentally committed to its core telecommunications business; what the initiative does is extend its existing product and service portfolio to reach customers who require additional value before they will commit to a purchase, with wearable devices and health-monitoring applications serving that purpose. It is also important to recognise the underlying difference in identity between the two organisations: IBM is fundamentally a technology company, while Virgin is fundamentally a telecommunications company, and it would be unrealistic to expect Virgin to absorb IBM's core technological competencies over a short period. A gradual, carefully paced adoption of the new capability therefore appears considerably more realistic than an attempt at rapid, wholesale transformation, which reinforces the classification of this initiative as an incremental rather than a radical innovation.</w:t>
      </w:r>
    </w:p>
    <w:p>
      <w:pPr>
        <w:spacing w:before="200" w:line="480" w:lineRule="auto"/>
        <w:jc w:val="left"/>
      </w:pPr>
      <w:r>
        <w:rPr>
          <w:rFonts w:ascii="Times New Roman" w:cs="Times New Roman" w:eastAsia="Times New Roman" w:hAnsi="Times New Roman"/>
          <w:b/>
          <w:bCs/>
          <w:sz w:val="24"/>
          <w:szCs w:val="24"/>
        </w:rPr>
        <w:t xml:space="preserve">3.2 Proof of Concept and Long-Term Viability</w:t>
      </w:r>
    </w:p>
    <w:p>
      <w:pPr>
        <w:spacing w:line="480" w:lineRule="auto"/>
        <w:ind w:firstLine="720"/>
        <w:jc w:val="both"/>
      </w:pPr>
      <w:r>
        <w:rPr>
          <w:rFonts w:ascii="Times New Roman" w:cs="Times New Roman" w:eastAsia="Times New Roman" w:hAnsi="Times New Roman"/>
          <w:sz w:val="24"/>
          <w:szCs w:val="24"/>
        </w:rPr>
        <w:t xml:space="preserve">Establishing whether the proposed collaboration is genuinely viable over the long term requires IBM and Virgin to work through several distinct stages of validation before committing significant further resource to the initiative.</w:t>
      </w:r>
    </w:p>
    <w:p>
      <w:pPr>
        <w:spacing w:line="480" w:lineRule="auto"/>
        <w:ind w:firstLine="720"/>
        <w:jc w:val="both"/>
      </w:pPr>
      <w:r>
        <w:rPr>
          <w:rFonts w:ascii="Times New Roman" w:cs="Times New Roman" w:eastAsia="Times New Roman" w:hAnsi="Times New Roman"/>
          <w:sz w:val="24"/>
          <w:szCs w:val="24"/>
        </w:rPr>
        <w:t xml:space="preserve">The first is market feasibility. Before developing a new product or service, an organisation needs a clear understanding of what the target market actually wants, at what price point, and through which promotional channels it is best reached; organisations frequently develop technically sound products that are simply mismatched to the market they are aimed at, or vice versa. A thorough market study reduces this uncertainty substantially and allows the organisation to move more confidently, and more quickly, into prototype development.</w:t>
      </w:r>
    </w:p>
    <w:p>
      <w:pPr>
        <w:spacing w:line="480" w:lineRule="auto"/>
        <w:ind w:firstLine="720"/>
        <w:jc w:val="both"/>
      </w:pPr>
      <w:r>
        <w:rPr>
          <w:rFonts w:ascii="Times New Roman" w:cs="Times New Roman" w:eastAsia="Times New Roman" w:hAnsi="Times New Roman"/>
          <w:sz w:val="24"/>
          <w:szCs w:val="24"/>
        </w:rPr>
        <w:t xml:space="preserve">The second stage is the development and testing of a trial sample. Offering a prototype or an early-stage version of the product to a representative group of customers allows the organisation to observe and understand their actual reaction, rather than relying solely on stated preferences gathered through surveys. This kind of trial also creates an opportunity to refine the product in ways that will broaden its eventual appeal before a full-scale launch is attempted.</w:t>
      </w:r>
    </w:p>
    <w:p>
      <w:pPr>
        <w:spacing w:line="480" w:lineRule="auto"/>
        <w:ind w:firstLine="720"/>
        <w:jc w:val="both"/>
      </w:pPr>
      <w:r>
        <w:rPr>
          <w:rFonts w:ascii="Times New Roman" w:cs="Times New Roman" w:eastAsia="Times New Roman" w:hAnsi="Times New Roman"/>
          <w:sz w:val="24"/>
          <w:szCs w:val="24"/>
        </w:rPr>
        <w:t xml:space="preserve">The third stage concerns the organisation's ability to scale. Customer demand following a successful product launch can arrive quickly and in volumes that are difficult to predict precisely in advance, so it is essential for IBM and Virgin to understand and plan for how demand is likely to build over time. An organisation that can scale its operations successfully in response to that demand demonstrates a strong practical commitment to its customers and stakeholders; one that cannot risks damaging the credibility of the initiative even if the underlying product concept was sound.</w:t>
      </w:r>
    </w:p>
    <w:p>
      <w:pPr>
        <w:spacing w:line="480" w:lineRule="auto"/>
        <w:ind w:firstLine="720"/>
        <w:jc w:val="both"/>
      </w:pPr>
      <w:r>
        <w:rPr>
          <w:rFonts w:ascii="Times New Roman" w:cs="Times New Roman" w:eastAsia="Times New Roman" w:hAnsi="Times New Roman"/>
          <w:sz w:val="24"/>
          <w:szCs w:val="24"/>
        </w:rPr>
        <w:t xml:space="preserve">The fourth stage involves clarifying the initiative's core business message. Every successful product or service is built around a clear proposition that resonates with customer needs at an appropriate price point, and Virgin will need to articulate precisely what that proposition is for its health-oriented offerings if it is to sustain a genuine early-mover advantage in the face of subsequent competition. Over the longer term, the viability of the initiative will also depend heavily on Virgin's ability to recruit people with the right blend of technical and commercial competence to drive the business forward, since sustaining a data-driven health proposition requires capabilities that sit outside Virgin's traditional telecommunications skill base.</w:t>
      </w:r>
    </w:p>
    <w:p>
      <w:pPr>
        <w:spacing w:before="200" w:line="480" w:lineRule="auto"/>
        <w:jc w:val="left"/>
      </w:pPr>
      <w:r>
        <w:rPr>
          <w:rFonts w:ascii="Times New Roman" w:cs="Times New Roman" w:eastAsia="Times New Roman" w:hAnsi="Times New Roman"/>
          <w:b/>
          <w:bCs/>
          <w:sz w:val="24"/>
          <w:szCs w:val="24"/>
        </w:rPr>
        <w:t xml:space="preserve">3.3 Strengths, Weaknesses and Risks</w:t>
      </w:r>
    </w:p>
    <w:p>
      <w:pPr>
        <w:spacing w:line="480" w:lineRule="auto"/>
        <w:ind w:firstLine="720"/>
        <w:jc w:val="both"/>
      </w:pPr>
      <w:r>
        <w:rPr>
          <w:rFonts w:ascii="Times New Roman" w:cs="Times New Roman" w:eastAsia="Times New Roman" w:hAnsi="Times New Roman"/>
          <w:sz w:val="24"/>
          <w:szCs w:val="24"/>
        </w:rPr>
        <w:t xml:space="preserve">The proposed approach carries a distinct set of strengths and weaknesses that need to be weighed carefully against one another.</w:t>
      </w:r>
    </w:p>
    <w:p>
      <w:pPr>
        <w:spacing w:line="480" w:lineRule="auto"/>
        <w:ind w:firstLine="720"/>
        <w:jc w:val="both"/>
      </w:pPr>
      <w:r>
        <w:rPr>
          <w:rFonts w:ascii="Times New Roman" w:cs="Times New Roman" w:eastAsia="Times New Roman" w:hAnsi="Times New Roman"/>
          <w:sz w:val="24"/>
          <w:szCs w:val="24"/>
        </w:rPr>
        <w:t xml:space="preserve">Among its strengths, the arrangement gives Virgin access to technological capability that would otherwise take a considerable amount of time, and a substantial amount of investment, to develop, test and refine internally. This head start provides a genuine competitive advantage relative to rivals who would need to build equivalent capability from scratch. IBM's reputation in technology also lends the initiative a degree of credibility and trust that Virgin would find difficult to establish independently in a market, healthcare technology, in which it currently has limited standing. Furthermore, this advantage is available to Virgin at a comparatively modest cost, most likely structured around a royalty arrangement or a share of incremental revenue, rather than the far larger upfront capital investment that developing equivalent technology independently would require.</w:t>
      </w:r>
    </w:p>
    <w:p>
      <w:pPr>
        <w:spacing w:line="480" w:lineRule="auto"/>
        <w:ind w:firstLine="720"/>
        <w:jc w:val="both"/>
      </w:pPr>
      <w:r>
        <w:rPr>
          <w:rFonts w:ascii="Times New Roman" w:cs="Times New Roman" w:eastAsia="Times New Roman" w:hAnsi="Times New Roman"/>
          <w:sz w:val="24"/>
          <w:szCs w:val="24"/>
        </w:rPr>
        <w:t xml:space="preserve">Set against these strengths are several significant weaknesses. Because Virgin does not own or hold proprietary rights to the underlying technology, it remains vulnerable if the commercial relationship with IBM does not develop favourably over time; technology without formal protection, such as a patent, or technology built on a shared or common platform, as with open frameworks used across the mobile application ecosystem, can be relatively easy for competitors to replicate, which erodes the sustainability of any early advantage. Virgin will also need to operate within terms and conditions set by IBM, given that IBM provides the underlying technological architecture and support for the initiative, and this dependency may constrain Virgin's ability to make fully autonomous business decisions, particularly during a crisis, without IBM's involvement. There is also a longer-term structural risk that IBM could choose to enter a similar business opportunity independently at some point in the future, creating a direct conflict of interest between the two partners.</w:t>
      </w:r>
    </w:p>
    <w:p>
      <w:pPr>
        <w:spacing w:line="480" w:lineRule="auto"/>
        <w:ind w:firstLine="720"/>
        <w:jc w:val="both"/>
      </w:pPr>
      <w:r>
        <w:rPr>
          <w:rFonts w:ascii="Times New Roman" w:cs="Times New Roman" w:eastAsia="Times New Roman" w:hAnsi="Times New Roman"/>
          <w:sz w:val="24"/>
          <w:szCs w:val="24"/>
        </w:rPr>
        <w:t xml:space="preserve">In terms of overall risk, Virgin's financial exposure appears relatively limited, since the initiative does not require substantial upfront capital investment on Virgin's part, and the risk to Virgin's wider commercial position is correspondingly modest given that this represents a new venture undertaken in partnership with an established technology leader. The more significant risk lies in brand identity. Virgin has built its reputation around being associated with bold, distinctive and consistently successful ventures, and the brand has rarely, if ever, been publicly associated with failure. There is therefore a meaningful, if subtle, risk that an unsuccessful healthcare initiative could damage the broader brand resonance that Virgin has worked to build, a consideration that would likely weigh heavily with its leadership given how closely the Virgin identity has historically been tied to successful entrepreneurial risk-taking. A further, related risk worth noting is regulatory exposure: healthcare-adjacent products that collect and process personal health data, even indirectly through pedometers or monitoring applications, are likely to attract a greater degree of regulatory scrutiny than Virgin's traditional telecommunications offerings, and the partnership will need to build appropriate data governance and privacy safeguards into the proposition from the outset rather than treating compliance as an afterthought.</w:t>
      </w:r>
    </w:p>
    <w:p>
      <w:pPr>
        <w:spacing w:before="200" w:line="480" w:lineRule="auto"/>
        <w:jc w:val="left"/>
      </w:pPr>
      <w:r>
        <w:rPr>
          <w:rFonts w:ascii="Times New Roman" w:cs="Times New Roman" w:eastAsia="Times New Roman" w:hAnsi="Times New Roman"/>
          <w:b/>
          <w:bCs/>
          <w:sz w:val="24"/>
          <w:szCs w:val="24"/>
        </w:rPr>
        <w:t xml:space="preserve">3.4 Measuring Innovation Success</w:t>
      </w:r>
    </w:p>
    <w:p>
      <w:pPr>
        <w:spacing w:line="480" w:lineRule="auto"/>
        <w:ind w:firstLine="720"/>
        <w:jc w:val="both"/>
      </w:pPr>
      <w:r>
        <w:rPr>
          <w:rFonts w:ascii="Times New Roman" w:cs="Times New Roman" w:eastAsia="Times New Roman" w:hAnsi="Times New Roman"/>
          <w:sz w:val="24"/>
          <w:szCs w:val="24"/>
        </w:rPr>
        <w:t xml:space="preserve">Innovation is generally expected to generate growth, and that growth can be measured either through the top line, in the form of revenue growth, or through the bottom line, in the form of profit growth. Some organisations, particularly within e-commerce in developing markets, have pursued market share at the expense of profitability as a marker of innovation success, but this approach is unlikely to be sustainable over the long run and is not a model that IBM and Virgin should look to replicate.</w:t>
      </w:r>
    </w:p>
    <w:p>
      <w:pPr>
        <w:spacing w:line="480" w:lineRule="auto"/>
        <w:ind w:firstLine="720"/>
        <w:jc w:val="both"/>
      </w:pPr>
      <w:r>
        <w:rPr>
          <w:rFonts w:ascii="Times New Roman" w:cs="Times New Roman" w:eastAsia="Times New Roman" w:hAnsi="Times New Roman"/>
          <w:sz w:val="24"/>
          <w:szCs w:val="24"/>
        </w:rPr>
        <w:t xml:space="preserve">A more robust way of measuring the success of this innovation would draw on three related indicators. The first is the creation of shareholder value, whether through direct revenue or profit growth, through an increase in market share achieved on a profitable basis, or through the expansion of the business into new product categories or new geographic markets. The second is sustainability, in the sense that the innovation should support not only short-term commercial success but also longer-term environmental, social and organisational sustainability, consistent with a triple-bottom-line view of performance that looks beyond purely financial outcomes. The third is the creation of a genuine benchmark within the industry; from a strategic perspective, many innovation initiatives fail not because the underlying idea was weak but because they lacked a sufficiently long-term vision or the ambition to differentiate meaningfully from the rest of the market. The concept of a blue ocean strategy, in which an organisation converts non-customers into customers and thereby establishes an entirely new competitive benchmark, is a useful reference point here, and the IBM-Virgin initiative should ultimately be judged against whether it manages to open up a genuinely new space in the health and wellbeing market rather than simply competing within an existing one.</w:t>
      </w:r>
    </w:p>
    <w:p>
      <w:pPr>
        <w:spacing w:line="480" w:lineRule="auto"/>
        <w:ind w:firstLine="720"/>
        <w:jc w:val="both"/>
      </w:pPr>
      <w:r>
        <w:rPr>
          <w:rFonts w:ascii="Times New Roman" w:cs="Times New Roman" w:eastAsia="Times New Roman" w:hAnsi="Times New Roman"/>
          <w:sz w:val="24"/>
          <w:szCs w:val="24"/>
        </w:rPr>
        <w:t xml:space="preserve">Taken as a whole, the overall success of an innovation initiative remains a relative measure, but organisations that are consistently regarded as successful tend to share one characteristic above all others: strong leadership. Driving innovation through the heart of a business, and converting a promising idea into a sustained commercial success, depends on leadership that combines a clear vision, access to the right resources, and the tactical capability to execute effectively. Innovative ideas that lack a firm implementation plan frequently fail to progress beyond the concept stage, regardless of their underlying merit. It is ultimately a strong leadership team, capable of grasping the full detail of an initiative, communicating it clearly, and cascading it effectively through the organisation, that determines whether an innovation such as the IBM-Virgin collaboration is translated into lasting business success. Applying the three indicators set out above consistently, and reviewing them at defined intervals rather than only at the point of launch, would allow both organisations to identify early whether the initiative is tracking towards genuine long-term viability or whether it needs to be redirected before further resource is committed.</w:t>
      </w:r>
    </w:p>
    <w:p>
      <w:pPr>
        <w:spacing w:before="240" w:line="480" w:lineRule="auto"/>
        <w:jc w:val="left"/>
      </w:pPr>
      <w:r>
        <w:rPr>
          <w:rFonts w:ascii="Times New Roman" w:cs="Times New Roman" w:eastAsia="Times New Roman" w:hAnsi="Times New Roman"/>
          <w:b/>
          <w:bCs/>
          <w:sz w:val="28"/>
          <w:szCs w:val="28"/>
        </w:rPr>
        <w:t xml:space="preserve">Conclusion</w:t>
      </w:r>
    </w:p>
    <w:p>
      <w:pPr>
        <w:spacing w:line="480" w:lineRule="auto"/>
        <w:ind w:firstLine="720"/>
        <w:jc w:val="both"/>
      </w:pPr>
      <w:r>
        <w:rPr>
          <w:rFonts w:ascii="Times New Roman" w:cs="Times New Roman" w:eastAsia="Times New Roman" w:hAnsi="Times New Roman"/>
          <w:sz w:val="24"/>
          <w:szCs w:val="24"/>
        </w:rPr>
        <w:t xml:space="preserve">The three areas examined in this report, leadership in the context of telecommunications mergers, strategic human resource management, and the evaluation of collaborative innovation, are connected by a common thread: in each case, the outcome depends less on the formal structure or technical merit of the initiative in isolation, and more on the quality of leadership applied to it. Telecommunications mergers succeed or fail according to how effectively leaders drive integration, build a new organisational identity, and manage resistance to change. Strategic HR development delivers a return on the investment made in staff only where teams are deliberately structured, rewarded fairly, and developed over an appropriate timescale. And collaborative innovations such as the IBM-Virgin initiative depend, ultimately, on leadership capable of validating the concept rigorously, managing the associated risks honestly, and sustaining the initiative through to a measurable and meaningful form of success. For a sector as competitive and fast-changing as telecommunications, organisations that invest in developing this quality of leadership, alongside the structural and technical changes that mergers, HR strategy and innovation partnerships each require, are considerably more likely to convert short-term opportunity into durable, long-term advantage.</w:t>
      </w:r>
    </w:p>
    <w:p>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Avolio, B.J., Walumbwa, F.O. and Weber, T.J. (2009) 'Leadership: current theories, research and future directions', </w:t>
      </w:r>
      <w:r>
        <w:rPr>
          <w:rFonts w:ascii="Times New Roman" w:cs="Times New Roman" w:eastAsia="Times New Roman" w:hAnsi="Times New Roman"/>
          <w:i/>
          <w:iCs/>
          <w:sz w:val="24"/>
          <w:szCs w:val="24"/>
        </w:rPr>
        <w:t xml:space="preserve">Annual Review of Psychology</w:t>
      </w:r>
      <w:r>
        <w:rPr>
          <w:rFonts w:ascii="Times New Roman" w:cs="Times New Roman" w:eastAsia="Times New Roman" w:hAnsi="Times New Roman"/>
          <w:sz w:val="24"/>
          <w:szCs w:val="24"/>
        </w:rPr>
        <w:t xml:space="preserve">, 60, pp.421-449.</w:t>
      </w:r>
    </w:p>
    <w:p>
      <w:pPr>
        <w:spacing w:line="480" w:lineRule="auto"/>
        <w:ind w:left="720" w:hanging="720"/>
      </w:pPr>
      <w:r>
        <w:rPr>
          <w:rFonts w:ascii="Times New Roman" w:cs="Times New Roman" w:eastAsia="Times New Roman" w:hAnsi="Times New Roman"/>
          <w:sz w:val="24"/>
          <w:szCs w:val="24"/>
        </w:rPr>
        <w:t xml:space="preserve">Becker, K., Smidt, M. and Antonietti, C. (2016) 'A risk perspective on human resource management: a review and directions for future research', </w:t>
      </w:r>
      <w:r>
        <w:rPr>
          <w:rFonts w:ascii="Times New Roman" w:cs="Times New Roman" w:eastAsia="Times New Roman" w:hAnsi="Times New Roman"/>
          <w:i/>
          <w:iCs/>
          <w:sz w:val="24"/>
          <w:szCs w:val="24"/>
        </w:rPr>
        <w:t xml:space="preserve">Human Resource Management Review</w:t>
      </w:r>
      <w:r>
        <w:rPr>
          <w:rFonts w:ascii="Times New Roman" w:cs="Times New Roman" w:eastAsia="Times New Roman" w:hAnsi="Times New Roman"/>
          <w:sz w:val="24"/>
          <w:szCs w:val="24"/>
        </w:rPr>
        <w:t xml:space="preserve">, 26(2), pp.149-165.</w:t>
      </w:r>
    </w:p>
    <w:p>
      <w:pPr>
        <w:spacing w:line="480" w:lineRule="auto"/>
        <w:ind w:left="720" w:hanging="720"/>
      </w:pPr>
      <w:r>
        <w:rPr>
          <w:rFonts w:ascii="Times New Roman" w:cs="Times New Roman" w:eastAsia="Times New Roman" w:hAnsi="Times New Roman"/>
          <w:sz w:val="24"/>
          <w:szCs w:val="24"/>
        </w:rPr>
        <w:t xml:space="preserve">Belbin, R.M. (1985) </w:t>
      </w:r>
      <w:r>
        <w:rPr>
          <w:rFonts w:ascii="Times New Roman" w:cs="Times New Roman" w:eastAsia="Times New Roman" w:hAnsi="Times New Roman"/>
          <w:i/>
          <w:iCs/>
          <w:sz w:val="24"/>
          <w:szCs w:val="24"/>
        </w:rPr>
        <w:t xml:space="preserve">Management Teams: Why They Succeed or Fail.</w:t>
      </w:r>
      <w:r>
        <w:rPr>
          <w:rFonts w:ascii="Times New Roman" w:cs="Times New Roman" w:eastAsia="Times New Roman" w:hAnsi="Times New Roman"/>
          <w:sz w:val="24"/>
          <w:szCs w:val="24"/>
        </w:rPr>
        <w:t xml:space="preserve"> London: Heinemann.</w:t>
      </w:r>
    </w:p>
    <w:p>
      <w:pPr>
        <w:spacing w:line="480" w:lineRule="auto"/>
        <w:ind w:left="720" w:hanging="720"/>
      </w:pPr>
      <w:r>
        <w:rPr>
          <w:rFonts w:ascii="Times New Roman" w:cs="Times New Roman" w:eastAsia="Times New Roman" w:hAnsi="Times New Roman"/>
          <w:sz w:val="24"/>
          <w:szCs w:val="24"/>
        </w:rPr>
        <w:t xml:space="preserve">Dinh, J.E., Lord, R.G., Gardner, W.L., Meuser, J.D., Liden, R.C. and Hu, J. (2014) 'Leadership theory and research in the new millennium: current theoretical trends and changing perspectives', </w:t>
      </w:r>
      <w:r>
        <w:rPr>
          <w:rFonts w:ascii="Times New Roman" w:cs="Times New Roman" w:eastAsia="Times New Roman" w:hAnsi="Times New Roman"/>
          <w:i/>
          <w:iCs/>
          <w:sz w:val="24"/>
          <w:szCs w:val="24"/>
        </w:rPr>
        <w:t xml:space="preserve">The Leadership Quarterly</w:t>
      </w:r>
      <w:r>
        <w:rPr>
          <w:rFonts w:ascii="Times New Roman" w:cs="Times New Roman" w:eastAsia="Times New Roman" w:hAnsi="Times New Roman"/>
          <w:sz w:val="24"/>
          <w:szCs w:val="24"/>
        </w:rPr>
        <w:t xml:space="preserve">, 25(1), pp.36-62.</w:t>
      </w:r>
    </w:p>
    <w:p>
      <w:pPr>
        <w:spacing w:line="480" w:lineRule="auto"/>
        <w:ind w:left="720" w:hanging="720"/>
      </w:pPr>
      <w:r>
        <w:rPr>
          <w:rFonts w:ascii="Times New Roman" w:cs="Times New Roman" w:eastAsia="Times New Roman" w:hAnsi="Times New Roman"/>
          <w:sz w:val="24"/>
          <w:szCs w:val="24"/>
        </w:rPr>
        <w:t xml:space="preserve">Gruman, J.A. and Saks, A.M. (2011) 'Performance management and employee engagement', </w:t>
      </w:r>
      <w:r>
        <w:rPr>
          <w:rFonts w:ascii="Times New Roman" w:cs="Times New Roman" w:eastAsia="Times New Roman" w:hAnsi="Times New Roman"/>
          <w:i/>
          <w:iCs/>
          <w:sz w:val="24"/>
          <w:szCs w:val="24"/>
        </w:rPr>
        <w:t xml:space="preserve">Human Resource Management Review</w:t>
      </w:r>
      <w:r>
        <w:rPr>
          <w:rFonts w:ascii="Times New Roman" w:cs="Times New Roman" w:eastAsia="Times New Roman" w:hAnsi="Times New Roman"/>
          <w:sz w:val="24"/>
          <w:szCs w:val="24"/>
        </w:rPr>
        <w:t xml:space="preserve">, 21(2), pp.123-136.</w:t>
      </w:r>
    </w:p>
    <w:p>
      <w:pPr>
        <w:spacing w:line="480" w:lineRule="auto"/>
        <w:ind w:left="720" w:hanging="720"/>
      </w:pPr>
      <w:r>
        <w:rPr>
          <w:rFonts w:ascii="Times New Roman" w:cs="Times New Roman" w:eastAsia="Times New Roman" w:hAnsi="Times New Roman"/>
          <w:sz w:val="24"/>
          <w:szCs w:val="24"/>
        </w:rPr>
        <w:t xml:space="preserve">Johnson, S. (2015) </w:t>
      </w:r>
      <w:r>
        <w:rPr>
          <w:rFonts w:ascii="Times New Roman" w:cs="Times New Roman" w:eastAsia="Times New Roman" w:hAnsi="Times New Roman"/>
          <w:i/>
          <w:iCs/>
          <w:sz w:val="24"/>
          <w:szCs w:val="24"/>
        </w:rPr>
        <w:t xml:space="preserve">Five leadership styles you should know.</w:t>
      </w:r>
      <w:r>
        <w:rPr>
          <w:rFonts w:ascii="Times New Roman" w:cs="Times New Roman" w:eastAsia="Times New Roman" w:hAnsi="Times New Roman"/>
          <w:sz w:val="24"/>
          <w:szCs w:val="24"/>
        </w:rPr>
        <w:t xml:space="preserve"> [Online article].</w:t>
      </w:r>
    </w:p>
    <w:p>
      <w:pPr>
        <w:spacing w:line="480" w:lineRule="auto"/>
        <w:ind w:left="720" w:hanging="720"/>
      </w:pPr>
      <w:r>
        <w:rPr>
          <w:rFonts w:ascii="Times New Roman" w:cs="Times New Roman" w:eastAsia="Times New Roman" w:hAnsi="Times New Roman"/>
          <w:sz w:val="24"/>
          <w:szCs w:val="24"/>
        </w:rPr>
        <w:t xml:space="preserve">Lengnick-Hall, M.L., Lengnick-Hall, C.A., Andrade, L.S. and Drake, B. (2009) 'Strategic human resource management: the evolution of the field', </w:t>
      </w:r>
      <w:r>
        <w:rPr>
          <w:rFonts w:ascii="Times New Roman" w:cs="Times New Roman" w:eastAsia="Times New Roman" w:hAnsi="Times New Roman"/>
          <w:i/>
          <w:iCs/>
          <w:sz w:val="24"/>
          <w:szCs w:val="24"/>
        </w:rPr>
        <w:t xml:space="preserve">Human Resource Management Review</w:t>
      </w:r>
      <w:r>
        <w:rPr>
          <w:rFonts w:ascii="Times New Roman" w:cs="Times New Roman" w:eastAsia="Times New Roman" w:hAnsi="Times New Roman"/>
          <w:sz w:val="24"/>
          <w:szCs w:val="24"/>
        </w:rPr>
        <w:t xml:space="preserve">, 19(2), pp.64-85.</w:t>
      </w:r>
    </w:p>
    <w:p>
      <w:pPr>
        <w:spacing w:line="480" w:lineRule="auto"/>
        <w:ind w:left="720" w:hanging="720"/>
      </w:pPr>
      <w:r>
        <w:rPr>
          <w:rFonts w:ascii="Times New Roman" w:cs="Times New Roman" w:eastAsia="Times New Roman" w:hAnsi="Times New Roman"/>
          <w:sz w:val="24"/>
          <w:szCs w:val="24"/>
        </w:rPr>
        <w:t xml:space="preserve">Lewin, K. (1947) 'Frontiers in group dynamics: concept, method and reality in social science, social equilibria and social change', </w:t>
      </w:r>
      <w:r>
        <w:rPr>
          <w:rFonts w:ascii="Times New Roman" w:cs="Times New Roman" w:eastAsia="Times New Roman" w:hAnsi="Times New Roman"/>
          <w:i/>
          <w:iCs/>
          <w:sz w:val="24"/>
          <w:szCs w:val="24"/>
        </w:rPr>
        <w:t xml:space="preserve">Human Relations</w:t>
      </w:r>
      <w:r>
        <w:rPr>
          <w:rFonts w:ascii="Times New Roman" w:cs="Times New Roman" w:eastAsia="Times New Roman" w:hAnsi="Times New Roman"/>
          <w:sz w:val="24"/>
          <w:szCs w:val="24"/>
        </w:rPr>
        <w:t xml:space="preserve">, 1(1), pp.5-41.</w:t>
      </w:r>
    </w:p>
    <w:p>
      <w:pPr>
        <w:spacing w:line="480" w:lineRule="auto"/>
        <w:ind w:left="720" w:hanging="720"/>
      </w:pPr>
      <w:r>
        <w:rPr>
          <w:rFonts w:ascii="Times New Roman" w:cs="Times New Roman" w:eastAsia="Times New Roman" w:hAnsi="Times New Roman"/>
          <w:sz w:val="24"/>
          <w:szCs w:val="24"/>
        </w:rPr>
        <w:t xml:space="preserve">Moon, M.T. (2014) 'Mentoring the next generation for innovation in today's organization', </w:t>
      </w:r>
      <w:r>
        <w:rPr>
          <w:rFonts w:ascii="Times New Roman" w:cs="Times New Roman" w:eastAsia="Times New Roman" w:hAnsi="Times New Roman"/>
          <w:i/>
          <w:iCs/>
          <w:sz w:val="24"/>
          <w:szCs w:val="24"/>
        </w:rPr>
        <w:t xml:space="preserve">Journal of Strategic Leadership</w:t>
      </w:r>
      <w:r>
        <w:rPr>
          <w:rFonts w:ascii="Times New Roman" w:cs="Times New Roman" w:eastAsia="Times New Roman" w:hAnsi="Times New Roman"/>
          <w:sz w:val="24"/>
          <w:szCs w:val="24"/>
        </w:rPr>
        <w:t xml:space="preserve">, 5(1), pp.23-35.</w:t>
      </w:r>
    </w:p>
    <w:p>
      <w:pPr>
        <w:spacing w:line="480" w:lineRule="auto"/>
        <w:ind w:left="720" w:hanging="720"/>
      </w:pPr>
      <w:r>
        <w:rPr>
          <w:rFonts w:ascii="Times New Roman" w:cs="Times New Roman" w:eastAsia="Times New Roman" w:hAnsi="Times New Roman"/>
          <w:sz w:val="24"/>
          <w:szCs w:val="24"/>
        </w:rPr>
        <w:t xml:space="preserve">Norman, D.A. and Verganti, R. (2012) 'Incremental and radical innovation: design research versus technology and meaning change', </w:t>
      </w:r>
      <w:r>
        <w:rPr>
          <w:rFonts w:ascii="Times New Roman" w:cs="Times New Roman" w:eastAsia="Times New Roman" w:hAnsi="Times New Roman"/>
          <w:i/>
          <w:iCs/>
          <w:sz w:val="24"/>
          <w:szCs w:val="24"/>
        </w:rPr>
        <w:t xml:space="preserve">Design Issues</w:t>
      </w:r>
      <w:r>
        <w:rPr>
          <w:rFonts w:ascii="Times New Roman" w:cs="Times New Roman" w:eastAsia="Times New Roman" w:hAnsi="Times New Roman"/>
          <w:sz w:val="24"/>
          <w:szCs w:val="24"/>
        </w:rPr>
        <w:t xml:space="preserve">, 30(1), pp.78-96.</w:t>
      </w:r>
    </w:p>
    <w:p>
      <w:pPr>
        <w:spacing w:line="480" w:lineRule="auto"/>
        <w:ind w:left="720" w:hanging="720"/>
      </w:pPr>
      <w:r>
        <w:rPr>
          <w:rFonts w:ascii="Times New Roman" w:cs="Times New Roman" w:eastAsia="Times New Roman" w:hAnsi="Times New Roman"/>
          <w:sz w:val="24"/>
          <w:szCs w:val="24"/>
        </w:rPr>
        <w:t xml:space="preserve">Pettinger, R. (2010) </w:t>
      </w:r>
      <w:r>
        <w:rPr>
          <w:rFonts w:ascii="Times New Roman" w:cs="Times New Roman" w:eastAsia="Times New Roman" w:hAnsi="Times New Roman"/>
          <w:i/>
          <w:iCs/>
          <w:sz w:val="24"/>
          <w:szCs w:val="24"/>
        </w:rPr>
        <w:t xml:space="preserve">Organizational Behaviour: Performance Management in Practice.</w:t>
      </w:r>
      <w:r>
        <w:rPr>
          <w:rFonts w:ascii="Times New Roman" w:cs="Times New Roman" w:eastAsia="Times New Roman" w:hAnsi="Times New Roman"/>
          <w:sz w:val="24"/>
          <w:szCs w:val="24"/>
        </w:rPr>
        <w:t xml:space="preserve"> London: Routledge.</w:t>
      </w:r>
    </w:p>
    <w:p>
      <w:pPr>
        <w:spacing w:line="480" w:lineRule="auto"/>
        <w:ind w:left="720" w:hanging="720"/>
      </w:pPr>
      <w:r>
        <w:rPr>
          <w:rFonts w:ascii="Times New Roman" w:cs="Times New Roman" w:eastAsia="Times New Roman" w:hAnsi="Times New Roman"/>
          <w:sz w:val="24"/>
          <w:szCs w:val="24"/>
        </w:rPr>
        <w:t xml:space="preserve">Robbins, S.P., Judge, T.A. and Vohra, N. (2012) </w:t>
      </w:r>
      <w:r>
        <w:rPr>
          <w:rFonts w:ascii="Times New Roman" w:cs="Times New Roman" w:eastAsia="Times New Roman" w:hAnsi="Times New Roman"/>
          <w:i/>
          <w:iCs/>
          <w:sz w:val="24"/>
          <w:szCs w:val="24"/>
        </w:rPr>
        <w:t xml:space="preserve">Organizational Behavior.</w:t>
      </w:r>
      <w:r>
        <w:rPr>
          <w:rFonts w:ascii="Times New Roman" w:cs="Times New Roman" w:eastAsia="Times New Roman" w:hAnsi="Times New Roman"/>
          <w:sz w:val="24"/>
          <w:szCs w:val="24"/>
        </w:rPr>
        <w:t xml:space="preserve"> 14th edn. New Delhi: Pearson.</w:t>
      </w:r>
    </w:p>
    <w:p>
      <w:pPr>
        <w:spacing w:line="480" w:lineRule="auto"/>
        <w:ind w:left="720" w:hanging="720"/>
      </w:pPr>
      <w:r>
        <w:rPr>
          <w:rFonts w:ascii="Times New Roman" w:cs="Times New Roman" w:eastAsia="Times New Roman" w:hAnsi="Times New Roman"/>
          <w:sz w:val="24"/>
          <w:szCs w:val="24"/>
        </w:rPr>
        <w:t xml:space="preserve">Teece, D.J. (1986) 'Profiting from technological innovation: implications for integration, collaboration, licensing and public policy', </w:t>
      </w:r>
      <w:r>
        <w:rPr>
          <w:rFonts w:ascii="Times New Roman" w:cs="Times New Roman" w:eastAsia="Times New Roman" w:hAnsi="Times New Roman"/>
          <w:i/>
          <w:iCs/>
          <w:sz w:val="24"/>
          <w:szCs w:val="24"/>
        </w:rPr>
        <w:t xml:space="preserve">Research Policy</w:t>
      </w:r>
      <w:r>
        <w:rPr>
          <w:rFonts w:ascii="Times New Roman" w:cs="Times New Roman" w:eastAsia="Times New Roman" w:hAnsi="Times New Roman"/>
          <w:sz w:val="24"/>
          <w:szCs w:val="24"/>
        </w:rPr>
        <w:t xml:space="preserve">, 15(6), pp.285-305.</w:t>
      </w:r>
    </w:p>
    <w:p>
      <w:pPr>
        <w:spacing w:line="480" w:lineRule="auto"/>
        <w:ind w:left="720" w:hanging="720"/>
      </w:pPr>
      <w:r>
        <w:rPr>
          <w:rFonts w:ascii="Times New Roman" w:cs="Times New Roman" w:eastAsia="Times New Roman" w:hAnsi="Times New Roman"/>
          <w:sz w:val="24"/>
          <w:szCs w:val="24"/>
        </w:rPr>
        <w:t xml:space="preserve">Tidd, J., Bessant, J. and Pavitt, K. (2005) </w:t>
      </w:r>
      <w:r>
        <w:rPr>
          <w:rFonts w:ascii="Times New Roman" w:cs="Times New Roman" w:eastAsia="Times New Roman" w:hAnsi="Times New Roman"/>
          <w:i/>
          <w:iCs/>
          <w:sz w:val="24"/>
          <w:szCs w:val="24"/>
        </w:rPr>
        <w:t xml:space="preserve">Managing Innovation: Integrating Technological, Market and Organizational Change.</w:t>
      </w:r>
      <w:r>
        <w:rPr>
          <w:rFonts w:ascii="Times New Roman" w:cs="Times New Roman" w:eastAsia="Times New Roman" w:hAnsi="Times New Roman"/>
          <w:sz w:val="24"/>
          <w:szCs w:val="24"/>
        </w:rPr>
        <w:t xml:space="preserve"> 3rd edn. Chichester: Wiley.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2026-08-19T08:02:28.091Z</dcterms:created>
  <dcterms:modified xsi:type="dcterms:W3CDTF">2026-08-19T08:02:28.117Z</dcterms:modified>
</cp:coreProperties>
</file>

<file path=docProps/custom.xml><?xml version="1.0" encoding="utf-8"?>
<Properties xmlns="http://schemas.openxmlformats.org/officeDocument/2006/custom-properties" xmlns:vt="http://schemas.openxmlformats.org/officeDocument/2006/docPropsVTypes"/>
</file>