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0" w:line="480"/>
        <w:jc w:val="center"/>
      </w:pPr>
      <w:r>
        <w:rPr>
          <w:rFonts w:ascii="Times New Roman" w:cs="Times New Roman" w:eastAsia="Times New Roman" w:hAnsi="Times New Roman"/>
          <w:b/>
          <w:bCs/>
          <w:sz w:val="24"/>
          <w:szCs w:val="24"/>
        </w:rPr>
        <w:t xml:space="preserve">Design of a Surveillance System for a Hypothetical Zika Virus Outbreak</w:t>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[Department, University Name]</w:t>
      </w:r>
    </w:p>
    <w:p>
      <w:pPr>
        <w:spacing w:after="0" w:line="480"/>
        <w:jc w:val="center"/>
      </w:pPr>
      <w:r>
        <w:rPr>
          <w:rFonts w:ascii="Times New Roman" w:cs="Times New Roman" w:eastAsia="Times New Roman" w:hAnsi="Times New Roman"/>
          <w:sz w:val="24"/>
          <w:szCs w:val="24"/>
        </w:rPr>
        <w:t xml:space="preserve">[Course Number and Name]</w:t>
      </w:r>
    </w:p>
    <w:p>
      <w:pPr>
        <w:spacing w:after="0" w:line="480"/>
        <w:jc w:val="center"/>
      </w:pPr>
      <w:r>
        <w:rPr>
          <w:rFonts w:ascii="Times New Roman" w:cs="Times New Roman" w:eastAsia="Times New Roman" w:hAnsi="Times New Roman"/>
          <w:sz w:val="24"/>
          <w:szCs w:val="24"/>
        </w:rPr>
        <w:t xml:space="preserve">[Instructor Name]</w:t>
      </w:r>
    </w:p>
    <w:p>
      <w:pPr>
        <w:spacing w:after="2400" w:line="480"/>
        <w:jc w:val="center"/>
      </w:pPr>
      <w:r>
        <w:rPr>
          <w:rFonts w:ascii="Times New Roman" w:cs="Times New Roman" w:eastAsia="Times New Roman" w:hAnsi="Times New Roman"/>
          <w:sz w:val="24"/>
          <w:szCs w:val="24"/>
        </w:rPr>
        <w:t xml:space="preserve">[Assignment Due Date]</w:t>
      </w:r>
    </w:p>
    <w:p>
      <w:pPr>
        <w:spacing w:after="120" w:line="480"/>
        <w:jc w:val="center"/>
      </w:pPr>
      <w:r>
        <w:rPr>
          <w:rFonts w:ascii="Times New Roman" w:cs="Times New Roman" w:eastAsia="Times New Roman" w:hAnsi="Times New Roman"/>
          <w:b/>
          <w:bCs/>
          <w:sz w:val="24"/>
          <w:szCs w:val="24"/>
        </w:rPr>
        <w:t xml:space="preserve">Assignment Requirement</w:t>
      </w:r>
    </w:p>
    <w:p>
      <w:pPr>
        <w:spacing w:after="0" w:line="480"/>
        <w:jc w:val="center"/>
      </w:pPr>
      <w:r>
        <w:rPr>
          <w:rFonts w:ascii="Times New Roman" w:cs="Times New Roman" w:eastAsia="Times New Roman" w:hAnsi="Times New Roman"/>
          <w:sz w:val="24"/>
          <w:szCs w:val="24"/>
        </w:rPr>
        <w:t xml:space="preserve">Design your own surveillance plan for a new outbreak or syndromic event that is hypothetically occurring in your hospital. Select the disease or pathogen and provide a case definition.</w:t>
      </w:r>
    </w:p>
    <w:p>
      <w:r>
        <w:br w:type="page"/>
      </w:r>
    </w:p>
    <w:p>
      <w:pPr>
        <w:spacing w:after="0" w:before="240" w:line="480"/>
        <w:jc w:val="center"/>
      </w:pPr>
      <w:r>
        <w:rPr>
          <w:rFonts w:ascii="Times New Roman" w:cs="Times New Roman" w:eastAsia="Times New Roman" w:hAnsi="Times New Roman"/>
          <w:b/>
          <w:bCs/>
          <w:color w:val="000000"/>
          <w:sz w:val="24"/>
          <w:szCs w:val="24"/>
        </w:rPr>
        <w:t xml:space="preserve">Introduction</w:t>
      </w:r>
    </w:p>
    <w:p>
      <w:pPr>
        <w:spacing w:after="0" w:line="480"/>
        <w:ind w:firstLine="720"/>
      </w:pPr>
      <w:r>
        <w:rPr>
          <w:rFonts w:ascii="Times New Roman" w:cs="Times New Roman" w:eastAsia="Times New Roman" w:hAnsi="Times New Roman"/>
          <w:sz w:val="24"/>
          <w:szCs w:val="24"/>
        </w:rPr>
        <w:t xml:space="preserve">A surveillance system is a structured method for continuously monitoring specific health-related factors within a population so that public health authorities can measure the impact of a threat and evaluate the effectiveness of a response. In the context of infectious disease, surveillance allows a health system to track how a pathogen spreads, who it affects, and how the population and the healthcare system are responding, which in turn informs decisions about prevention, resource allocation, and clinical management. Effective surveillance depends on a clear case definition, reliable data sources, and a workable process for turning raw clinical encounters into actionable public health information, and a hospital sits at the center of that process because it is typically the first point of contact between an infected individual and the healthcare system. This paper designs a hospital-based surveillance system for a hypothetical outbreak of Zika virus disease in the United States. It selects Zika virus as the pathogen of interest, provides a case definition consistent with national surveillance standards, reviews background information on the virus and its spread, summarizes the population affected during the actual 2016–2017 U.S. outbreak as a basis for the hypothetical scenario, and outlines the goals, initial planning, and pre-screening activities that would support an effective response. The paper then describes the design of a syndromic surveillance system built around electronic medical records, discusses the advantages of electronic record-keeping for this purpose, and concludes with a plan for evaluating the surveillance system once it is operational.</w:t>
      </w:r>
    </w:p>
    <w:p>
      <w:pPr>
        <w:spacing w:after="0" w:before="240" w:line="480"/>
        <w:jc w:val="center"/>
      </w:pPr>
      <w:r>
        <w:rPr>
          <w:rFonts w:ascii="Times New Roman" w:cs="Times New Roman" w:eastAsia="Times New Roman" w:hAnsi="Times New Roman"/>
          <w:b/>
          <w:bCs/>
          <w:color w:val="000000"/>
          <w:sz w:val="24"/>
          <w:szCs w:val="24"/>
        </w:rPr>
        <w:t xml:space="preserve">Case Definition</w:t>
      </w:r>
    </w:p>
    <w:p>
      <w:pPr>
        <w:spacing w:after="0" w:line="480"/>
        <w:ind w:firstLine="720"/>
      </w:pPr>
      <w:r>
        <w:rPr>
          <w:rFonts w:ascii="Times New Roman" w:cs="Times New Roman" w:eastAsia="Times New Roman" w:hAnsi="Times New Roman"/>
          <w:sz w:val="24"/>
          <w:szCs w:val="24"/>
        </w:rPr>
        <w:t xml:space="preserve">For the purposes of this surveillance plan, a case of Zika virus disease is defined using three tiers consistent with national arboviral surveillance case definitions. A confirmed case is a person with laboratory evidence of Zika virus infection, demonstrated either by detection of Zika virus RNA or antigen in a clinical specimen through nucleic acid testing, or by a positive Zika virus immunoglobulin M (IgM) antibody test with confirmatory neutralizing antibody titers that rule out cross-reaction with other flaviviruses, such as dengue. A probable case is a person with a positive Zika virus IgM test but without confirmatory neutralizing antibody testing, or without the ability to rule out cross-reactivity, combined with a compatible clinical picture. A suspected case is a person presenting with at least two of the characteristic clinical findings, acute onset of fever, maculopapular rash, arthralgia, or conjunctivitis, who has a travel history to or residence in an area with active Zika virus transmission within the two weeks preceding symptom onset, or who has had unprotected sexual contact with a partner who meets that travel or residence criterion, but who has not yet received laboratory confirmation. This tiered definition allows the hospital surveillance system to capture a wide net of possible cases for early investigation while distinguishing them from cases that meet the higher evidentiary standard needed for public health reporting and case counts.</w:t>
      </w:r>
    </w:p>
    <w:p>
      <w:pPr>
        <w:spacing w:after="0" w:before="240" w:line="480"/>
        <w:jc w:val="center"/>
      </w:pPr>
      <w:r>
        <w:rPr>
          <w:rFonts w:ascii="Times New Roman" w:cs="Times New Roman" w:eastAsia="Times New Roman" w:hAnsi="Times New Roman"/>
          <w:b/>
          <w:bCs/>
          <w:color w:val="000000"/>
          <w:sz w:val="24"/>
          <w:szCs w:val="24"/>
        </w:rPr>
        <w:t xml:space="preserve">Background Information</w:t>
      </w:r>
    </w:p>
    <w:p>
      <w:pPr>
        <w:spacing w:after="0" w:line="480"/>
        <w:ind w:firstLine="720"/>
      </w:pPr>
      <w:r>
        <w:rPr>
          <w:rFonts w:ascii="Times New Roman" w:cs="Times New Roman" w:eastAsia="Times New Roman" w:hAnsi="Times New Roman"/>
          <w:sz w:val="24"/>
          <w:szCs w:val="24"/>
        </w:rPr>
        <w:t xml:space="preserve">Zika virus is a mosquito-borne RNA virus first identified in 1947 in the Zika Forest of Uganda. Clinically, infection typically produces a mild illness characterized by low-grade fever, conjunctivitis, and a maculopapular rash, and it is estimated that only about one in five infected people develop noticeable symptoms (Centers for Disease Control and Prevention [CDC], 2018). The virus is transmitted primarily by Aedes species mosquitoes, which are capable of biting throughout the day as well as at night, unlike many other mosquito species that are active mainly at dawn and dusk. Beyond mosquito-borne transmission, Zika virus can cross the placenta from an infected pregnant woman to a fetus, and this route of transmission is associated with serious congenital birth defects (CDC, 2018). Laboratory research has also shown that the virus can infect human skin cells directly, which helps explain how mosquito-transmitted virus establishes infection in the body before spreading systemically (Hamel et al., 2015). No vaccine or specific antiviral treatment currently exists for Zika virus disease, although evidence suggests that people who have been infected develop immunity that protects them from subsequent infection. The virus can also be transmitted through blood transfusion and through sexual contact, including from men to their partners, with viral RNA detectable in semen for a prolonged period after infection (Mansuy et al., 2016). Because most infected individuals experience mild or no symptoms and rarely seek hospital care, the true number of infections is almost certainly undercounted by routine surveillance.</w:t>
      </w:r>
    </w:p>
    <w:p>
      <w:pPr>
        <w:spacing w:after="0" w:line="480"/>
        <w:ind w:firstLine="720"/>
      </w:pPr>
      <w:r>
        <w:rPr>
          <w:rFonts w:ascii="Times New Roman" w:cs="Times New Roman" w:eastAsia="Times New Roman" w:hAnsi="Times New Roman"/>
          <w:sz w:val="24"/>
          <w:szCs w:val="24"/>
        </w:rPr>
        <w:t xml:space="preserve">Zika virus received relatively little international attention before 2015, when clusters of microcephaly cases in Brazil were linked to maternal Zika virus infection during pregnancy. Laboratory investigators subsequently detected and sequenced Zika virus directly from the amniotic fluid of affected fetuses, providing strong evidence of a causal relationship between maternal infection and fetal brain malformation (Calvet et al., 2016). This discovery prompted the World Health Organization to declare a Public Health Emergency of International Concern in early 2016 (Proceedings of the National Academy of Sciences of the United States of America [PNAS], 2018). In addition to microcephaly, clinicians in Brazil documented a broader range of congenital abnormalities associated with prenatal Zika infection, collectively referred to as congenital Zika syndrome, which further elevated the virus from a regional curiosity to a global public health priority.</w:t>
      </w:r>
    </w:p>
    <w:p>
      <w:pPr>
        <w:spacing w:after="0" w:before="240" w:line="480"/>
        <w:jc w:val="center"/>
      </w:pPr>
      <w:r>
        <w:rPr>
          <w:rFonts w:ascii="Times New Roman" w:cs="Times New Roman" w:eastAsia="Times New Roman" w:hAnsi="Times New Roman"/>
          <w:b/>
          <w:bCs/>
          <w:color w:val="000000"/>
          <w:sz w:val="24"/>
          <w:szCs w:val="24"/>
        </w:rPr>
        <w:t xml:space="preserve">Affected Population</w:t>
      </w:r>
    </w:p>
    <w:p>
      <w:pPr>
        <w:spacing w:after="0" w:line="480"/>
        <w:ind w:firstLine="720"/>
      </w:pPr>
      <w:r>
        <w:rPr>
          <w:rFonts w:ascii="Times New Roman" w:cs="Times New Roman" w:eastAsia="Times New Roman" w:hAnsi="Times New Roman"/>
          <w:sz w:val="24"/>
          <w:szCs w:val="24"/>
        </w:rPr>
        <w:t xml:space="preserve">The population affected by Zika virus in the United States, as reported by the CDC, illustrates both the domestic and travel-associated dimensions of the outbreak that inform this hypothetical surveillance plan. Within the fifty states, 418 symptomatic cases of Zika virus disease were reported, of which 409 were associated with travelers who had returned from areas with active transmission. Four cases were attributed to local mosquito-borne transmission, concentrated in Texas and Florida, and five cases were linked to sexual transmission between partners (CDC, 2018). In U.S. territories, which include Puerto Rico and the U.S. Virgin Islands, 637 cases were reported, but unlike the pattern seen in the states, only one of those cases was associated with travel; the remaining 636 were attributed to local mosquito-borne transmission, reflecting the more favorable climate for Aedes mosquitoes in these territories (CDC, 2018).</w:t>
      </w:r>
    </w:p>
    <w:p>
      <w:pPr>
        <w:spacing w:after="0" w:line="480"/>
        <w:ind w:firstLine="720"/>
      </w:pPr>
      <w:r>
        <w:rPr>
          <w:rFonts w:ascii="Times New Roman" w:cs="Times New Roman" w:eastAsia="Times New Roman" w:hAnsi="Times New Roman"/>
          <w:sz w:val="24"/>
          <w:szCs w:val="24"/>
        </w:rPr>
        <w:t xml:space="preserve">Provisional CDC data from May 2017 show a larger cumulative picture: 5,102 symptomatic cases were recorded across U.S. states, of which 4,830 were associated with travel to affected areas, while 36,079 symptomatic cases were recorded across U.S. territories, the large majority of which reflected sustained local transmission (CDC, 2018). The CDC used a color-coded risk classification to communicate the geographic distribution of this threat, designating areas with significant, ongoing local transmission as red zones and areas with a lower but still notable risk as yellow zones. For a hospital-based hypothetical outbreak, this population data suggests that surveillance should give particular attention to two groups: recent travelers returning from red-zone areas, and, if local mosquito populations are present, residents of the surrounding community regardless of travel history, since local transmission can establish quickly once an infected traveler introduces the virus to a receptive mosquito population.</w:t>
      </w:r>
    </w:p>
    <w:p>
      <w:pPr>
        <w:spacing w:after="0" w:before="240" w:line="480"/>
        <w:jc w:val="center"/>
      </w:pPr>
      <w:r>
        <w:rPr>
          <w:rFonts w:ascii="Times New Roman" w:cs="Times New Roman" w:eastAsia="Times New Roman" w:hAnsi="Times New Roman"/>
          <w:b/>
          <w:bCs/>
          <w:color w:val="000000"/>
          <w:sz w:val="24"/>
          <w:szCs w:val="24"/>
        </w:rPr>
        <w:t xml:space="preserve">Discussion of Available Data and Outbreak Existence</w:t>
      </w:r>
    </w:p>
    <w:p>
      <w:pPr>
        <w:spacing w:after="0" w:line="480"/>
        <w:ind w:firstLine="720"/>
      </w:pPr>
      <w:r>
        <w:rPr>
          <w:rFonts w:ascii="Times New Roman" w:cs="Times New Roman" w:eastAsia="Times New Roman" w:hAnsi="Times New Roman"/>
          <w:sz w:val="24"/>
          <w:szCs w:val="24"/>
        </w:rPr>
        <w:t xml:space="preserve">Actual surveillance data from Florida illustrates how quickly a travel-associated outbreak can transition into sustained local transmission. The Florida Department of Health identified four individuals in Miami believed to have acquired Zika virus locally, and health officials subsequently confirmed ten additional cases in the same area, all without a travel history that could explain the infection (CDC, 2018). These findings prompted the CDC to issue specific guidance for pregnant women and their partners, advising them to avoid a defined one-square-mile area north of downtown Miami where active local transmission was occurring. As the outbreak evolved, Florida health officials expanded their investigation and testing efforts to surrounding communities in order to define the true geographic extent of local transmission.</w:t>
      </w:r>
    </w:p>
    <w:p>
      <w:pPr>
        <w:spacing w:after="0" w:line="480"/>
        <w:ind w:firstLine="720"/>
      </w:pPr>
      <w:r>
        <w:rPr>
          <w:rFonts w:ascii="Times New Roman" w:cs="Times New Roman" w:eastAsia="Times New Roman" w:hAnsi="Times New Roman"/>
          <w:sz w:val="24"/>
          <w:szCs w:val="24"/>
        </w:rPr>
        <w:t xml:space="preserve">The Miami and greater Florida experience demonstrates that even a small geographic area can sustain significant transmission when local Aedes mosquito populations are dense and climate conditions are favorable. In the Wynwood neighborhood of Miami specifically, CDC officials acknowledged the practical difficulty of controlling the mosquito population and reported detecting at least twelve locally acquired Zika infections within an area of only about 150 square meters. This concentrated pattern of transmission underscores why a hospital surveillance system in an area with any Aedes mosquito presence should be prepared to detect and respond to local outbreaks quickly, rather than assuming that all cases will present with a travel history. For the purposes of this hypothetical plan, the hospital should treat any cluster of compatible symptomatic presentations within a defined radius, even in patients without recent travel, as a possible signal of local transmission warranting immediate investigation and notification of the state health department.</w:t>
      </w:r>
    </w:p>
    <w:p>
      <w:pPr>
        <w:spacing w:after="0" w:before="240" w:line="480"/>
        <w:jc w:val="center"/>
      </w:pPr>
      <w:r>
        <w:rPr>
          <w:rFonts w:ascii="Times New Roman" w:cs="Times New Roman" w:eastAsia="Times New Roman" w:hAnsi="Times New Roman"/>
          <w:b/>
          <w:bCs/>
          <w:color w:val="000000"/>
          <w:sz w:val="24"/>
          <w:szCs w:val="24"/>
        </w:rPr>
        <w:t xml:space="preserve">Goals for the Surveillance Plan</w:t>
      </w:r>
    </w:p>
    <w:p>
      <w:pPr>
        <w:spacing w:after="0" w:line="480"/>
        <w:ind w:firstLine="720"/>
      </w:pPr>
      <w:r>
        <w:rPr>
          <w:rFonts w:ascii="Times New Roman" w:cs="Times New Roman" w:eastAsia="Times New Roman" w:hAnsi="Times New Roman"/>
          <w:sz w:val="24"/>
          <w:szCs w:val="24"/>
        </w:rPr>
        <w:t xml:space="preserve">A hospital-level surveillance plan responding to a hypothetical Zika outbreak should be organized around several coordinated goals, mirroring the priorities that state and territorial health departments adopted during the actual outbreak. The first goal is vector control paired with active surveillance in areas where Aedes mosquitoes are known to be established, since eliminating breeding sites and monitoring mosquito populations directly reduces the opportunity for local transmission; this typically involves collaboration between the hospital's infection prevention staff and local mosquito-control or vector-control authorities to share case location data that can guide targeted spraying and larval-source reduction. The second goal is public health surveillance combined with epidemiological investigation, ensuring that every suspected case is properly reported, tested, and diagnosed, and that the hospital monitors trends in the distribution, severity, and mode of transmission of cases so that prevention resources can be directed where they are most needed and so that cases requiring intervention are identified promptly. The third goal is to maintain robust laboratory testing and support services, ensuring that the hospital's laboratory, or its partner reference laboratory, can process specimens from suspected cases quickly and accurately, with clearly defined turnaround-time targets so that clinical decisions are not delayed by testing bottlenecks. The fourth goal is prevention of sexual transmission, which requires educating both patients and clinicians about the risk of sexual spread and providing clear guidance on precautions, such as barrier protection or abstinence, during and after a partner's possible exposure. Together, these four goals connect vector-level prevention, clinical detection, laboratory confirmation, and behavioral risk reduction into a single coordinated response.</w:t>
      </w:r>
    </w:p>
    <w:p>
      <w:pPr>
        <w:spacing w:after="0" w:before="240" w:line="480"/>
        <w:jc w:val="center"/>
      </w:pPr>
      <w:r>
        <w:rPr>
          <w:rFonts w:ascii="Times New Roman" w:cs="Times New Roman" w:eastAsia="Times New Roman" w:hAnsi="Times New Roman"/>
          <w:b/>
          <w:bCs/>
          <w:color w:val="000000"/>
          <w:sz w:val="24"/>
          <w:szCs w:val="24"/>
        </w:rPr>
        <w:t xml:space="preserve">Initial Planning</w:t>
      </w:r>
    </w:p>
    <w:p>
      <w:pPr>
        <w:spacing w:after="0" w:line="480"/>
        <w:ind w:firstLine="720"/>
      </w:pPr>
      <w:r>
        <w:rPr>
          <w:rFonts w:ascii="Times New Roman" w:cs="Times New Roman" w:eastAsia="Times New Roman" w:hAnsi="Times New Roman"/>
          <w:sz w:val="24"/>
          <w:szCs w:val="24"/>
        </w:rPr>
        <w:t xml:space="preserve">Initial planning for the hospital's response should begin with building awareness of the threat among staff, patients, and the surrounding community, since early recognition of symptoms and risk factors is the foundation of any effective surveillance effort. Beyond general awareness, planning should address several specific operational needs. Because Zika virus can be transmitted through blood transfusion, the hospital must coordinate with local blood centers and blood banks to screen donated blood in areas with known or suspected transmission, and it should be prepared to apply pathogen-reduction technology to blood products where available. The hospital should also establish a functional channel for communicating travel-related health guidance to patients and clinicians, including a process for disseminating updated travel notices as the CDC's risk classifications change, so that patients planning travel to affected areas receive current guidance before departure and returning travelers are appropriately screened. Clinician education is an equally important element of initial planning: physicians, nurses, and laboratory staff need clear, accessible information about how to diagnose Zika virus disease, what specimens to collect and when, how to manage confirmed or probable cases clinically, and what outcomes to expect, particularly for pregnant patients. Establishing this information pipeline before an outbreak begins ensures that the hospital can activate its surveillance and response protocols quickly rather than building them from scratch once cases start to appear.</w:t>
      </w:r>
    </w:p>
    <w:p>
      <w:pPr>
        <w:spacing w:after="0" w:before="240" w:line="480"/>
        <w:jc w:val="center"/>
      </w:pPr>
      <w:r>
        <w:rPr>
          <w:rFonts w:ascii="Times New Roman" w:cs="Times New Roman" w:eastAsia="Times New Roman" w:hAnsi="Times New Roman"/>
          <w:b/>
          <w:bCs/>
          <w:color w:val="000000"/>
          <w:sz w:val="24"/>
          <w:szCs w:val="24"/>
        </w:rPr>
        <w:t xml:space="preserve">Pre-Screening Activities</w:t>
      </w:r>
    </w:p>
    <w:p>
      <w:pPr>
        <w:spacing w:after="0" w:line="480"/>
        <w:ind w:firstLine="720"/>
      </w:pPr>
      <w:r>
        <w:rPr>
          <w:rFonts w:ascii="Times New Roman" w:cs="Times New Roman" w:eastAsia="Times New Roman" w:hAnsi="Times New Roman"/>
          <w:sz w:val="24"/>
          <w:szCs w:val="24"/>
        </w:rPr>
        <w:t xml:space="preserve">Several pre-screening approaches support early detection of Zika virus infection and should be built into the hospital's intake and triage process for patients who meet the case definition described above. Molecular testing is the primary tool for detecting the virus during the acute phase of illness, using reverse-transcription nucleic acid testing (NAT) performed on serum and urine specimens to detect viral RNA while it is still present at detectable levels. For pregnant patients, testing protocols differ based on symptom status and exposure history. Symptomatic pregnant women should generally receive both NAT and IgM serology testing, as recommended by Mansuy et al. (2016), while asymptomatic pregnant women with ongoing possible exposure, such as residence in or repeated travel to an area with active transmission, should be offered NAT testing up to three times over the course of pregnancy. For asymptomatic pregnant women whose exposure is only a remote possibility, testing decisions should follow a case-by-case, physician-patient discussion model rather than a fixed protocol; if testing is undertaken in that context, clinicians should generally follow the same testing algorithm used for symptomatic pregnant patients. For pregnant women with a clear possible exposure whose prenatal ultrasound findings are also consistent with congenital Zika infection, both NAT and IgM serology should be performed concurrently on maternal serum and urine specimens. It is important that clinicians and surveillance staff understand that a negative NAT result does not rule out Zika virus infection, since the window during which viral RNA is detectable is limited, and false negatives can occur if testing is performed too early or too late relative to infection.</w:t>
      </w:r>
    </w:p>
    <w:p>
      <w:pPr>
        <w:spacing w:after="0" w:before="240" w:line="480"/>
        <w:jc w:val="center"/>
      </w:pPr>
      <w:r>
        <w:rPr>
          <w:rFonts w:ascii="Times New Roman" w:cs="Times New Roman" w:eastAsia="Times New Roman" w:hAnsi="Times New Roman"/>
          <w:b/>
          <w:bCs/>
          <w:color w:val="000000"/>
          <w:sz w:val="24"/>
          <w:szCs w:val="24"/>
        </w:rPr>
        <w:t xml:space="preserve">Advantages of an Electronic Medical Record System</w:t>
      </w:r>
    </w:p>
    <w:p>
      <w:pPr>
        <w:spacing w:after="0" w:line="480"/>
        <w:ind w:firstLine="720"/>
      </w:pPr>
      <w:r>
        <w:rPr>
          <w:rFonts w:ascii="Times New Roman" w:cs="Times New Roman" w:eastAsia="Times New Roman" w:hAnsi="Times New Roman"/>
          <w:sz w:val="24"/>
          <w:szCs w:val="24"/>
        </w:rPr>
        <w:t xml:space="preserve">An electronic medical record (EMR) system offers several advantages over paper-based records that are directly relevant to running an effective hospital surveillance program, particularly one that depends on rapid identification of patterns across many patient encounters.</w:t>
      </w:r>
    </w:p>
    <w:p>
      <w:pPr>
        <w:spacing w:after="0" w:before="240" w:line="480"/>
        <w:jc w:val="left"/>
      </w:pPr>
      <w:r>
        <w:rPr>
          <w:rFonts w:ascii="Times New Roman" w:cs="Times New Roman" w:eastAsia="Times New Roman" w:hAnsi="Times New Roman"/>
          <w:b/>
          <w:bCs/>
          <w:color w:val="000000"/>
          <w:sz w:val="24"/>
          <w:szCs w:val="24"/>
        </w:rPr>
        <w:t xml:space="preserve">Accessibility</w:t>
      </w:r>
    </w:p>
    <w:p>
      <w:pPr>
        <w:spacing w:after="0" w:line="480"/>
        <w:ind w:firstLine="720"/>
      </w:pPr>
      <w:r>
        <w:rPr>
          <w:rFonts w:ascii="Times New Roman" w:cs="Times New Roman" w:eastAsia="Times New Roman" w:hAnsi="Times New Roman"/>
          <w:sz w:val="24"/>
          <w:szCs w:val="24"/>
        </w:rPr>
        <w:t xml:space="preserve">Paper records exist in a single physical location at any given time, which limits their usefulness when multiple providers or departments need to review the same information simultaneously. An EMR system, by contrast, allows authorized personnel to access patient records regardless of their physical location or the time of day, which is particularly valuable during a fast-moving outbreak when emergency department staff, infectious disease specialists, obstetric providers, and public health liaisons may all need to review the same case concurrently.</w:t>
      </w:r>
    </w:p>
    <w:p>
      <w:pPr>
        <w:spacing w:after="0" w:before="240" w:line="480"/>
        <w:jc w:val="left"/>
      </w:pPr>
      <w:r>
        <w:rPr>
          <w:rFonts w:ascii="Times New Roman" w:cs="Times New Roman" w:eastAsia="Times New Roman" w:hAnsi="Times New Roman"/>
          <w:b/>
          <w:bCs/>
          <w:color w:val="000000"/>
          <w:sz w:val="24"/>
          <w:szCs w:val="24"/>
        </w:rPr>
        <w:t xml:space="preserve">Real-Time Records</w:t>
      </w:r>
    </w:p>
    <w:p>
      <w:pPr>
        <w:spacing w:after="0" w:line="480"/>
        <w:ind w:firstLine="720"/>
      </w:pPr>
      <w:r>
        <w:rPr>
          <w:rFonts w:ascii="Times New Roman" w:cs="Times New Roman" w:eastAsia="Times New Roman" w:hAnsi="Times New Roman"/>
          <w:sz w:val="24"/>
          <w:szCs w:val="24"/>
        </w:rPr>
        <w:t xml:space="preserve">A central advantage of an EMR system is that it provides real-time access to patient information as it is generated. As noted by Hsiao and Hing (2012), this capability allows clinicians managing complex cases to communicate efficiently by sharing diagnostic images, clinical notes, and laboratory results as soon as they are available, rather than waiting for physical documents to be transcribed, copied, or transported. Because the records exist digitally, multiple health service providers can review and analyze the same information at the same time, which shortens the interval between specimen collection and clinical decision-making.</w:t>
      </w:r>
    </w:p>
    <w:p>
      <w:pPr>
        <w:spacing w:after="0" w:before="240" w:line="480"/>
        <w:jc w:val="left"/>
      </w:pPr>
      <w:r>
        <w:rPr>
          <w:rFonts w:ascii="Times New Roman" w:cs="Times New Roman" w:eastAsia="Times New Roman" w:hAnsi="Times New Roman"/>
          <w:b/>
          <w:bCs/>
          <w:color w:val="000000"/>
          <w:sz w:val="24"/>
          <w:szCs w:val="24"/>
        </w:rPr>
        <w:t xml:space="preserve">Security</w:t>
      </w:r>
    </w:p>
    <w:p>
      <w:pPr>
        <w:spacing w:after="0" w:line="480"/>
        <w:ind w:firstLine="720"/>
      </w:pPr>
      <w:r>
        <w:rPr>
          <w:rFonts w:ascii="Times New Roman" w:cs="Times New Roman" w:eastAsia="Times New Roman" w:hAnsi="Times New Roman"/>
          <w:sz w:val="24"/>
          <w:szCs w:val="24"/>
        </w:rPr>
        <w:t xml:space="preserve">Records maintained in an EMR system are stored in a secured database, which reduces both the risk of records being lost or destroyed and the risk of unauthorized access. Modern EMR platforms allow hospitals to apply specific security tools and access controls so that sensitive information, including Zika testing results and pregnancy status, is accessible only to personnel who are authorized to view it, supporting compliance with patient privacy requirements throughout the surveillance process.</w:t>
      </w:r>
    </w:p>
    <w:p>
      <w:pPr>
        <w:spacing w:after="0" w:before="240" w:line="480"/>
        <w:jc w:val="left"/>
      </w:pPr>
      <w:r>
        <w:rPr>
          <w:rFonts w:ascii="Times New Roman" w:cs="Times New Roman" w:eastAsia="Times New Roman" w:hAnsi="Times New Roman"/>
          <w:b/>
          <w:bCs/>
          <w:color w:val="000000"/>
          <w:sz w:val="24"/>
          <w:szCs w:val="24"/>
        </w:rPr>
        <w:t xml:space="preserve">Safety</w:t>
      </w:r>
    </w:p>
    <w:p>
      <w:pPr>
        <w:spacing w:after="0" w:line="480"/>
        <w:ind w:firstLine="720"/>
      </w:pPr>
      <w:r>
        <w:rPr>
          <w:rFonts w:ascii="Times New Roman" w:cs="Times New Roman" w:eastAsia="Times New Roman" w:hAnsi="Times New Roman"/>
          <w:sz w:val="24"/>
          <w:szCs w:val="24"/>
        </w:rPr>
        <w:t xml:space="preserve">Effective medication management supported by an EMR system improves the overall quality of patient care and helps prevent avoidable clinical errors. Automated features built into most EMR platforms can flag potential drug allergies and drug-to-drug interactions at the point of prescribing, which is especially relevant for pregnant patients who may require careful medication selection during Zika virus treatment or management of associated symptoms, reducing the risk of prescribing errors during a period when clinical staff may be managing an unusually high patient volume.</w:t>
      </w:r>
    </w:p>
    <w:p>
      <w:pPr>
        <w:spacing w:after="0" w:before="240" w:line="480"/>
        <w:jc w:val="center"/>
      </w:pPr>
      <w:r>
        <w:rPr>
          <w:rFonts w:ascii="Times New Roman" w:cs="Times New Roman" w:eastAsia="Times New Roman" w:hAnsi="Times New Roman"/>
          <w:b/>
          <w:bCs/>
          <w:color w:val="000000"/>
          <w:sz w:val="24"/>
          <w:szCs w:val="24"/>
        </w:rPr>
        <w:t xml:space="preserve">Development of a Syndromic Surveillance System</w:t>
      </w:r>
    </w:p>
    <w:p>
      <w:pPr>
        <w:spacing w:after="0" w:line="480"/>
        <w:ind w:firstLine="720"/>
      </w:pPr>
      <w:r>
        <w:rPr>
          <w:rFonts w:ascii="Times New Roman" w:cs="Times New Roman" w:eastAsia="Times New Roman" w:hAnsi="Times New Roman"/>
          <w:sz w:val="24"/>
          <w:szCs w:val="24"/>
        </w:rPr>
        <w:t xml:space="preserve">This plan applies a regional syndromic surveillance model built around a coalition of hospitals and healthcare providers, using New York City as the target area for this hypothetical scenario. The choice of a regional model reflects the reality that infectious disease does not respect a single hospital's catchment boundaries, so a surveillance system limited to one facility would miss cases presenting elsewhere in the same metropolitan area. The plan covers the geography and demographic composition of New York City and relies on electronic systems to capture and store surveillance data drawn from participating hospitals, urgent care centers, and outpatient clinics.</w:t>
      </w:r>
    </w:p>
    <w:p>
      <w:pPr>
        <w:spacing w:after="0" w:line="480"/>
        <w:ind w:firstLine="720"/>
      </w:pPr>
      <w:r>
        <w:rPr>
          <w:rFonts w:ascii="Times New Roman" w:cs="Times New Roman" w:eastAsia="Times New Roman" w:hAnsi="Times New Roman"/>
          <w:sz w:val="24"/>
          <w:szCs w:val="24"/>
        </w:rPr>
        <w:t xml:space="preserve">The target population for this surveillance system is patients presenting with symptoms consistent with Zika virus infection, as defined by the case definition above, as well as individuals with a documented possibility of exposure whose behaviors and associated health conditions should be tracked even in the absence of florid symptoms. To broaden detection beyond clinical encounters alone, the system also incorporates less conventional but useful data sources, such as school and workplace absenteeism records, which can serve as an early indicator of a community-level increase in illness before affected individuals seek formal medical care.</w:t>
      </w:r>
    </w:p>
    <w:p>
      <w:pPr>
        <w:spacing w:after="0" w:line="480"/>
        <w:ind w:firstLine="720"/>
      </w:pPr>
      <w:r>
        <w:rPr>
          <w:rFonts w:ascii="Times New Roman" w:cs="Times New Roman" w:eastAsia="Times New Roman" w:hAnsi="Times New Roman"/>
          <w:sz w:val="24"/>
          <w:szCs w:val="24"/>
        </w:rPr>
        <w:t xml:space="preserve">Data acquisition and storage are handled through the EMR systems already in place at participating facilities, which provide the surveillance team with the ability to compile logs, transfer data between institutions, and generate reports on demand. Syndromic grouping, the process of categorizing patient presentations into clinically meaningful groups for surveillance purposes, is a core function of the system. To support consistent grouping and interoperability across institutions, the system applies Logical Observation Identifier Names and Codes (LOINC) as the coding standard for laboratory and clinical observations, ensuring that a given clinical finding or laboratory value is referenced using unambiguous, standardized codes regardless of which participating facility generated the data. The overall design and operation of the system follows CDC guidance on syndromic surveillance in the interest of public health consistency and comparability with federal and state data.</w:t>
      </w:r>
    </w:p>
    <w:p>
      <w:pPr>
        <w:spacing w:after="0" w:line="480"/>
        <w:ind w:firstLine="720"/>
      </w:pPr>
      <w:r>
        <w:rPr>
          <w:rFonts w:ascii="Times New Roman" w:cs="Times New Roman" w:eastAsia="Times New Roman" w:hAnsi="Times New Roman"/>
          <w:sz w:val="24"/>
          <w:szCs w:val="24"/>
        </w:rPr>
        <w:t xml:space="preserve">Because this system aggregates a large volume of sensitive health data across multiple institutions, data security is a central design concern. The system must balance the operational need to re-identify specific cases for follow-up investigation against the obligation to protect patient privacy, and in some circumstances the system may need to access geospatial address information to support case investigation and cluster detection, which introduces additional privacy considerations. The legal operation of this surveillance plan is governed by applicable state law, and the Health Insurance Portability and Accountability Act (HIPAA) provides the overarching federal framework guiding how patient data is collected, stored, and shared within the system. To detect meaningful increases in case counts against expected background levels, the system relies on statistical control-chart methods, including cumulative sum (CUSUM) analysis, which flags when observed counts diverge significantly from an established threshold, supplemented by temporal modeling approaches that account for expected seasonal or weekly variation in baseline illness patterns.</w:t>
      </w:r>
    </w:p>
    <w:p>
      <w:pPr>
        <w:spacing w:after="0" w:before="240" w:line="480"/>
        <w:jc w:val="center"/>
      </w:pPr>
      <w:r>
        <w:rPr>
          <w:rFonts w:ascii="Times New Roman" w:cs="Times New Roman" w:eastAsia="Times New Roman" w:hAnsi="Times New Roman"/>
          <w:b/>
          <w:bCs/>
          <w:color w:val="000000"/>
          <w:sz w:val="24"/>
          <w:szCs w:val="24"/>
        </w:rPr>
        <w:t xml:space="preserve">Evaluation of the Plan</w:t>
      </w:r>
    </w:p>
    <w:p>
      <w:pPr>
        <w:spacing w:after="0" w:line="480"/>
        <w:ind w:firstLine="720"/>
      </w:pPr>
      <w:r>
        <w:rPr>
          <w:rFonts w:ascii="Times New Roman" w:cs="Times New Roman" w:eastAsia="Times New Roman" w:hAnsi="Times New Roman"/>
          <w:sz w:val="24"/>
          <w:szCs w:val="24"/>
        </w:rPr>
        <w:t xml:space="preserve">Evaluation of this surveillance plan rests on three primary measures: data quality, timeliness, and impact on outbreak detection. Data quality is assessed primarily through sensitivity and specificity, which together describe how accurately the system classifies true cases and excludes false ones; this evaluation typically requires comparison against a gold-standard reference, such as confirmed laboratory diagnoses, to determine how well the syndromic classification approach performs in practice. Timeliness refers to the interval between when data of interest becomes available and when it is actually captured and acted upon by the surveillance system, particularly in relation to the timing of patient presentation or the onset of an emergency situation (Karch et al., 2012). Timeliness is inherently difficult to measure precisely, so this evaluation applies aggregate measures across identified cases, examining patterns such as the typical delay between symptom onset, care-seeking behavior, and data entry into the system, since patient behavior itself is a significant driver of how quickly relevant data becomes available.</w:t>
      </w:r>
    </w:p>
    <w:p>
      <w:pPr>
        <w:spacing w:after="0" w:line="480"/>
        <w:ind w:firstLine="720"/>
      </w:pPr>
      <w:r>
        <w:rPr>
          <w:rFonts w:ascii="Times New Roman" w:cs="Times New Roman" w:eastAsia="Times New Roman" w:hAnsi="Times New Roman"/>
          <w:sz w:val="24"/>
          <w:szCs w:val="24"/>
        </w:rPr>
        <w:t xml:space="preserve">Judging the overall value of a given data source for this surveillance system requires weighing data quality and timeliness together against the surveillance team's underlying knowledge of the threat being monitored. A data source that is highly accurate but consistently slow to update provides less practical value during a fast-moving outbreak than a somewhat less precise source that reliably captures signals in near real time. For this reason, the evaluation plan calls for periodic review of both dimensions throughout the response, with adjustments made to data sources, thresholds, or reporting workflows as the surveillance team learns more about how the hypothetical outbreak is actually behaving in the target population.</w:t>
      </w:r>
    </w:p>
    <w:p>
      <w:pPr>
        <w:spacing w:after="0" w:before="240" w:line="480"/>
        <w:jc w:val="center"/>
      </w:pPr>
      <w:r>
        <w:rPr>
          <w:rFonts w:ascii="Times New Roman" w:cs="Times New Roman" w:eastAsia="Times New Roman" w:hAnsi="Times New Roman"/>
          <w:b/>
          <w:bCs/>
          <w:color w:val="000000"/>
          <w:sz w:val="24"/>
          <w:szCs w:val="24"/>
        </w:rPr>
        <w:t xml:space="preserve">Summary</w:t>
      </w:r>
    </w:p>
    <w:p>
      <w:pPr>
        <w:spacing w:after="0" w:line="480"/>
        <w:ind w:firstLine="720"/>
      </w:pPr>
      <w:r>
        <w:rPr>
          <w:rFonts w:ascii="Times New Roman" w:cs="Times New Roman" w:eastAsia="Times New Roman" w:hAnsi="Times New Roman"/>
          <w:sz w:val="24"/>
          <w:szCs w:val="24"/>
        </w:rPr>
        <w:t xml:space="preserve">Zika virus has demonstrated the capacity to spread widely within the United States, both through travel-associated introduction and, in areas with established Aedes mosquito populations, through sustained local transmission. This paper has reviewed the background of Zika virus disease, proposed a tiered case definition suitable for hospital-based surveillance, and summarized the population affected during the actual U.S. outbreak as a foundation for a hypothetical regional response. Building on that foundation, the paper outlined the goals, initial planning steps, and pre-screening protocols that would support early detection and appropriate clinical management of suspected cases, with particular attention to the needs of pregnant patients given the serious risk of congenital Zika syndrome. A syndromic surveillance system was then designed around a coalition of New York City-area healthcare providers, using electronic medical records, standardized coding through LOINC, and statistical methods such as CUSUM analysis to detect meaningful increases in case activity while safeguarding patient privacy under HIPAA. Finally, the paper described an evaluation framework centered on data quality, timeliness, and impact on outbreak detection, ensuring that the surveillance system's performance can be assessed and improved throughout its operation. Together, these elements form a coordinated, hospital-based approach to detecting and responding to a hypothetical Zika virus outbreak.</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Calvet, G., Aguiar, R. S., Melo, A. S., Sampaio, S. A., de Filippis, I., Fabri, A., Araujo, E. S. M., de Sequeira, P. C., de Mendonça, M. C. L., de Oliveira, L., Tschoeke, D. A., &amp; the Zika Virus Study Group. (2016). Detection and sequencing of Zika virus from amniotic fluid of fetuses with microcephaly in Brazil: A case study. The Lancet Infectious Diseases, 16(6), 653–660.</w:t>
      </w:r>
    </w:p>
    <w:p>
      <w:pPr>
        <w:spacing w:after="0" w:line="480"/>
        <w:ind w:left="720" w:hanging="720"/>
      </w:pPr>
      <w:r>
        <w:rPr>
          <w:rFonts w:ascii="Times New Roman" w:cs="Times New Roman" w:eastAsia="Times New Roman" w:hAnsi="Times New Roman"/>
          <w:sz w:val="24"/>
          <w:szCs w:val="24"/>
        </w:rPr>
        <w:t xml:space="preserve">Centers for Disease Control and Prevention. (2018). 2017 case counts in the US. https://www.cdc.gov/zika/reporting/2017-case-counts.html</w:t>
      </w:r>
    </w:p>
    <w:p>
      <w:pPr>
        <w:spacing w:after="0" w:line="480"/>
        <w:ind w:left="720" w:hanging="720"/>
      </w:pPr>
      <w:r>
        <w:rPr>
          <w:rFonts w:ascii="Times New Roman" w:cs="Times New Roman" w:eastAsia="Times New Roman" w:hAnsi="Times New Roman"/>
          <w:sz w:val="24"/>
          <w:szCs w:val="24"/>
        </w:rPr>
        <w:t xml:space="preserve">Hamel, R., Dejarnac, O., Wichit, S., Ekchariyawat, P., Neyret, A., Luplertlop, N., Perera-Lecoin, M., Surasombatpattana, P., Talignani, L., Thomas, F., Cao-Lormeau, V. M., Choumet, V., Briant, L., Desprès, P., Amara, A., Yssel, H., &amp; Missé, D. (2015). Biology of Zika virus infection in human skin cells. Journal of Virology, 89(17), 8880–8896.</w:t>
      </w:r>
    </w:p>
    <w:p>
      <w:pPr>
        <w:spacing w:after="0" w:line="480"/>
        <w:ind w:left="720" w:hanging="720"/>
      </w:pPr>
      <w:r>
        <w:rPr>
          <w:rFonts w:ascii="Times New Roman" w:cs="Times New Roman" w:eastAsia="Times New Roman" w:hAnsi="Times New Roman"/>
          <w:sz w:val="24"/>
          <w:szCs w:val="24"/>
        </w:rPr>
        <w:t xml:space="preserve">Hsiao, C. J., &amp; Hing, E. (2012). Use and characteristics of electronic health record systems among office-based physician practices: United States, 2001–2012 (NCHS Data Brief No. 111).</w:t>
      </w:r>
    </w:p>
    <w:p>
      <w:pPr>
        <w:spacing w:after="0" w:line="480"/>
        <w:ind w:left="720" w:hanging="720"/>
      </w:pPr>
      <w:r>
        <w:rPr>
          <w:rFonts w:ascii="Times New Roman" w:cs="Times New Roman" w:eastAsia="Times New Roman" w:hAnsi="Times New Roman"/>
          <w:sz w:val="24"/>
          <w:szCs w:val="24"/>
        </w:rPr>
        <w:t xml:space="preserve">Hsiao, C. J., Hing, E., Socey, T. C., &amp; Cai, B. (2012). Electronic health record systems and intent to apply for meaningful use incentives among office-based physician practices: United States, 2001–2011 (NCHS Data Brief No. 79).</w:t>
      </w:r>
    </w:p>
    <w:p>
      <w:pPr>
        <w:spacing w:after="0" w:line="480"/>
        <w:ind w:left="720" w:hanging="720"/>
      </w:pPr>
      <w:r>
        <w:rPr>
          <w:rFonts w:ascii="Times New Roman" w:cs="Times New Roman" w:eastAsia="Times New Roman" w:hAnsi="Times New Roman"/>
          <w:sz w:val="24"/>
          <w:szCs w:val="24"/>
        </w:rPr>
        <w:t xml:space="preserve">Karch, D. L., Logan, J., McDaniel, D., Parks, S., &amp; Patel, N. (2012). Surveillance for violent deaths—National Violent Death Reporting System, 16 states, 2009. MMWR Surveillance Summaries, 61(6), 1–43.</w:t>
      </w:r>
    </w:p>
    <w:p>
      <w:pPr>
        <w:spacing w:after="0" w:line="480"/>
        <w:ind w:left="720" w:hanging="720"/>
      </w:pPr>
      <w:r>
        <w:rPr>
          <w:rFonts w:ascii="Times New Roman" w:cs="Times New Roman" w:eastAsia="Times New Roman" w:hAnsi="Times New Roman"/>
          <w:sz w:val="24"/>
          <w:szCs w:val="24"/>
        </w:rPr>
        <w:t xml:space="preserve">Mansuy, J. M., Dutertre, M., Mengelle, C., Fourcade, C., Marchou, B., Delobel, P., Izopet, J., &amp; Martin-Blondel, G. (2016). Zika virus: High infectious viral load in semen, a new sexually transmitted pathogen? The Lancet Infectious Diseases, 16(4), 405.</w:t>
      </w:r>
    </w:p>
    <w:p>
      <w:pPr>
        <w:spacing w:after="0" w:line="480"/>
        <w:ind w:left="720" w:hanging="720"/>
      </w:pPr>
      <w:r>
        <w:rPr>
          <w:rFonts w:ascii="Times New Roman" w:cs="Times New Roman" w:eastAsia="Times New Roman" w:hAnsi="Times New Roman"/>
          <w:sz w:val="24"/>
          <w:szCs w:val="24"/>
        </w:rPr>
        <w:t xml:space="preserve">National Center for Biotechnology Information. (2018). Implementing syndromic surveillance: A practical guide informed by the early experience. https://www.ncbi.nlm.nih.gov/pmc/articles/PMC353021/figure/fig1/</w:t>
      </w:r>
    </w:p>
    <w:p>
      <w:pPr>
        <w:spacing w:after="0" w:line="480"/>
        <w:ind w:left="720" w:hanging="720"/>
      </w:pPr>
      <w:r>
        <w:rPr>
          <w:rFonts w:ascii="Times New Roman" w:cs="Times New Roman" w:eastAsia="Times New Roman" w:hAnsi="Times New Roman"/>
          <w:sz w:val="24"/>
          <w:szCs w:val="24"/>
        </w:rPr>
        <w:t xml:space="preserve">Proceedings of the National Academy of Sciences of the United States of America. (2018). Zika virus outbreak findings. PNAS, 114(22), E4334. http://www.pnas.org/content/114/22/E4334.full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4"/>
        <w:szCs w:val="24"/>
      </w:rPr>
      <w:t xml:space="preserve">DESIGN OF A SURVEILLANCE SYSTEM</w:t>
    </w:r>
    <w: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Surveillance System for a Hypothetical Zika Virus Outbreak</dc:title>
  <dc:creator>Student</dc:creator>
  <cp:lastModifiedBy>Un-named</cp:lastModifiedBy>
  <cp:revision>1</cp:revision>
  <dcterms:created xsi:type="dcterms:W3CDTF">2026-08-19T08:47:54.858Z</dcterms:created>
  <dcterms:modified xsi:type="dcterms:W3CDTF">2026-08-19T08:47:54.872Z</dcterms:modified>
</cp:coreProperties>
</file>

<file path=docProps/custom.xml><?xml version="1.0" encoding="utf-8"?>
<Properties xmlns="http://schemas.openxmlformats.org/officeDocument/2006/custom-properties" xmlns:vt="http://schemas.openxmlformats.org/officeDocument/2006/docPropsVTypes"/>
</file>