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E9A9B" w14:textId="4D1621C3" w:rsidR="006D0518" w:rsidRPr="006D0518" w:rsidRDefault="00ED7CF0">
      <w:pPr>
        <w:rPr>
          <w:b/>
          <w:bCs/>
          <w:sz w:val="36"/>
          <w:szCs w:val="36"/>
        </w:rPr>
      </w:pPr>
      <w:r w:rsidRPr="006D0518">
        <w:rPr>
          <w:b/>
          <w:bCs/>
          <w:sz w:val="36"/>
          <w:szCs w:val="36"/>
        </w:rPr>
        <w:t xml:space="preserve">              </w:t>
      </w:r>
      <w:r w:rsidR="006D0518" w:rsidRPr="006D0518">
        <w:rPr>
          <w:b/>
          <w:bCs/>
          <w:sz w:val="36"/>
          <w:szCs w:val="36"/>
        </w:rPr>
        <w:t xml:space="preserve">                 </w:t>
      </w:r>
      <w:r w:rsidRPr="006D0518">
        <w:rPr>
          <w:b/>
          <w:bCs/>
          <w:sz w:val="36"/>
          <w:szCs w:val="36"/>
        </w:rPr>
        <w:t xml:space="preserve">  </w:t>
      </w:r>
      <w:r w:rsidR="006D0518" w:rsidRPr="006D0518">
        <w:rPr>
          <w:b/>
          <w:bCs/>
          <w:sz w:val="36"/>
          <w:szCs w:val="36"/>
        </w:rPr>
        <w:t>PALMORA ANALYSIS</w:t>
      </w:r>
      <w:r w:rsidRPr="006D0518">
        <w:rPr>
          <w:b/>
          <w:bCs/>
          <w:sz w:val="36"/>
          <w:szCs w:val="36"/>
        </w:rPr>
        <w:t xml:space="preserve">                </w:t>
      </w:r>
    </w:p>
    <w:p w14:paraId="063EC209" w14:textId="77777777" w:rsidR="006D0518" w:rsidRDefault="006D0518">
      <w:pPr>
        <w:rPr>
          <w:b/>
          <w:bCs/>
          <w:sz w:val="32"/>
          <w:szCs w:val="32"/>
        </w:rPr>
      </w:pPr>
    </w:p>
    <w:p w14:paraId="7E0AF062" w14:textId="77777777" w:rsidR="006D0518" w:rsidRDefault="006D0518">
      <w:pPr>
        <w:rPr>
          <w:b/>
          <w:bCs/>
          <w:sz w:val="32"/>
          <w:szCs w:val="32"/>
        </w:rPr>
      </w:pPr>
    </w:p>
    <w:p w14:paraId="2E55ABC4" w14:textId="26FAB12D" w:rsidR="00ED7CF0" w:rsidRPr="00ED7CF0" w:rsidRDefault="006D0518">
      <w:pPr>
        <w:rPr>
          <w:b/>
          <w:bCs/>
          <w:sz w:val="32"/>
          <w:szCs w:val="32"/>
        </w:rPr>
      </w:pPr>
      <w:r>
        <w:rPr>
          <w:b/>
          <w:bCs/>
          <w:sz w:val="32"/>
          <w:szCs w:val="32"/>
        </w:rPr>
        <w:t xml:space="preserve">                </w:t>
      </w:r>
      <w:r w:rsidR="00ED7CF0" w:rsidRPr="00ED7CF0">
        <w:rPr>
          <w:b/>
          <w:bCs/>
          <w:sz w:val="32"/>
          <w:szCs w:val="32"/>
        </w:rPr>
        <w:t>GENDER PAY GAP ANALYSIS</w:t>
      </w:r>
    </w:p>
    <w:tbl>
      <w:tblPr>
        <w:tblW w:w="18211" w:type="dxa"/>
        <w:tblLook w:val="04A0" w:firstRow="1" w:lastRow="0" w:firstColumn="1" w:lastColumn="0" w:noHBand="0" w:noVBand="1"/>
      </w:tblPr>
      <w:tblGrid>
        <w:gridCol w:w="1250"/>
        <w:gridCol w:w="1796"/>
        <w:gridCol w:w="2034"/>
        <w:gridCol w:w="1680"/>
        <w:gridCol w:w="731"/>
        <w:gridCol w:w="1060"/>
        <w:gridCol w:w="120"/>
        <w:gridCol w:w="860"/>
        <w:gridCol w:w="200"/>
        <w:gridCol w:w="980"/>
        <w:gridCol w:w="480"/>
        <w:gridCol w:w="1180"/>
        <w:gridCol w:w="1180"/>
        <w:gridCol w:w="60"/>
        <w:gridCol w:w="1180"/>
        <w:gridCol w:w="480"/>
        <w:gridCol w:w="1180"/>
        <w:gridCol w:w="580"/>
        <w:gridCol w:w="1180"/>
      </w:tblGrid>
      <w:tr w:rsidR="00ED7CF0" w:rsidRPr="00ED7CF0" w14:paraId="05E8CC4F" w14:textId="77777777" w:rsidTr="007727E7">
        <w:trPr>
          <w:gridAfter w:val="1"/>
          <w:wAfter w:w="1180" w:type="dxa"/>
          <w:trHeight w:val="300"/>
        </w:trPr>
        <w:tc>
          <w:tcPr>
            <w:tcW w:w="7491" w:type="dxa"/>
            <w:gridSpan w:val="5"/>
            <w:tcBorders>
              <w:top w:val="nil"/>
              <w:left w:val="nil"/>
              <w:bottom w:val="nil"/>
              <w:right w:val="nil"/>
            </w:tcBorders>
            <w:noWrap/>
            <w:vAlign w:val="bottom"/>
            <w:hideMark/>
          </w:tcPr>
          <w:p w14:paraId="7D90929E" w14:textId="77777777" w:rsidR="00ED7CF0" w:rsidRDefault="00ED7CF0"/>
          <w:tbl>
            <w:tblPr>
              <w:tblW w:w="7275" w:type="dxa"/>
              <w:tblLook w:val="04A0" w:firstRow="1" w:lastRow="0" w:firstColumn="1" w:lastColumn="0" w:noHBand="0" w:noVBand="1"/>
            </w:tblPr>
            <w:tblGrid>
              <w:gridCol w:w="1806"/>
              <w:gridCol w:w="1889"/>
              <w:gridCol w:w="1690"/>
              <w:gridCol w:w="1890"/>
            </w:tblGrid>
            <w:tr w:rsidR="00C7206F" w:rsidRPr="00C7206F" w14:paraId="7D6AD308" w14:textId="77777777" w:rsidTr="00C7206F">
              <w:trPr>
                <w:trHeight w:val="300"/>
              </w:trPr>
              <w:tc>
                <w:tcPr>
                  <w:tcW w:w="5385" w:type="dxa"/>
                  <w:gridSpan w:val="3"/>
                  <w:tcBorders>
                    <w:top w:val="nil"/>
                    <w:left w:val="nil"/>
                    <w:bottom w:val="nil"/>
                    <w:right w:val="nil"/>
                  </w:tcBorders>
                  <w:noWrap/>
                  <w:vAlign w:val="bottom"/>
                  <w:hideMark/>
                </w:tcPr>
                <w:p w14:paraId="4BA579C0"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 xml:space="preserve">GENDER PAY GAP ANALYSIS IN DEPARTMENT </w:t>
                  </w:r>
                </w:p>
              </w:tc>
              <w:tc>
                <w:tcPr>
                  <w:tcW w:w="1890" w:type="dxa"/>
                  <w:tcBorders>
                    <w:top w:val="nil"/>
                    <w:left w:val="nil"/>
                    <w:bottom w:val="nil"/>
                    <w:right w:val="nil"/>
                  </w:tcBorders>
                  <w:noWrap/>
                  <w:vAlign w:val="bottom"/>
                  <w:hideMark/>
                </w:tcPr>
                <w:p w14:paraId="263C969D" w14:textId="77777777" w:rsidR="00C7206F" w:rsidRPr="00C7206F" w:rsidRDefault="00C7206F" w:rsidP="00C7206F">
                  <w:pPr>
                    <w:spacing w:after="0" w:line="240" w:lineRule="auto"/>
                    <w:rPr>
                      <w:rFonts w:ascii="Aptos Narrow" w:eastAsia="Times New Roman" w:hAnsi="Aptos Narrow" w:cs="Times New Roman"/>
                      <w:b/>
                      <w:bCs/>
                      <w:color w:val="000000"/>
                    </w:rPr>
                  </w:pPr>
                </w:p>
              </w:tc>
            </w:tr>
            <w:tr w:rsidR="00C7206F" w:rsidRPr="00C7206F" w14:paraId="221B7F3D" w14:textId="77777777" w:rsidTr="00C7206F">
              <w:trPr>
                <w:trHeight w:val="300"/>
              </w:trPr>
              <w:tc>
                <w:tcPr>
                  <w:tcW w:w="1806" w:type="dxa"/>
                  <w:tcBorders>
                    <w:top w:val="nil"/>
                    <w:left w:val="nil"/>
                    <w:bottom w:val="nil"/>
                    <w:right w:val="nil"/>
                  </w:tcBorders>
                  <w:shd w:val="clear" w:color="C0E6F5" w:fill="C0E6F5"/>
                  <w:noWrap/>
                  <w:vAlign w:val="bottom"/>
                  <w:hideMark/>
                </w:tcPr>
                <w:p w14:paraId="062EDD7C"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Departments</w:t>
                  </w:r>
                </w:p>
              </w:tc>
              <w:tc>
                <w:tcPr>
                  <w:tcW w:w="1889" w:type="dxa"/>
                  <w:tcBorders>
                    <w:top w:val="nil"/>
                    <w:left w:val="nil"/>
                    <w:bottom w:val="nil"/>
                    <w:right w:val="nil"/>
                  </w:tcBorders>
                  <w:shd w:val="clear" w:color="C0E6F5" w:fill="C0E6F5"/>
                  <w:noWrap/>
                  <w:vAlign w:val="bottom"/>
                  <w:hideMark/>
                </w:tcPr>
                <w:p w14:paraId="4EF39006"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 xml:space="preserve"> Gender </w:t>
                  </w:r>
                </w:p>
              </w:tc>
              <w:tc>
                <w:tcPr>
                  <w:tcW w:w="1690" w:type="dxa"/>
                  <w:tcBorders>
                    <w:top w:val="nil"/>
                    <w:left w:val="nil"/>
                    <w:bottom w:val="nil"/>
                    <w:right w:val="nil"/>
                  </w:tcBorders>
                  <w:shd w:val="clear" w:color="C0E6F5" w:fill="C0E6F5"/>
                  <w:noWrap/>
                  <w:vAlign w:val="bottom"/>
                  <w:hideMark/>
                </w:tcPr>
                <w:p w14:paraId="70E915EF" w14:textId="77777777" w:rsidR="00C7206F" w:rsidRPr="00C7206F" w:rsidRDefault="00C7206F" w:rsidP="00C7206F">
                  <w:pPr>
                    <w:spacing w:after="0" w:line="240" w:lineRule="auto"/>
                    <w:rPr>
                      <w:rFonts w:ascii="Aptos Narrow" w:eastAsia="Times New Roman" w:hAnsi="Aptos Narrow" w:cs="Times New Roman"/>
                      <w:b/>
                      <w:bCs/>
                      <w:color w:val="000000"/>
                    </w:rPr>
                  </w:pPr>
                </w:p>
              </w:tc>
              <w:tc>
                <w:tcPr>
                  <w:tcW w:w="1890" w:type="dxa"/>
                  <w:tcBorders>
                    <w:top w:val="nil"/>
                    <w:left w:val="nil"/>
                    <w:bottom w:val="nil"/>
                    <w:right w:val="nil"/>
                  </w:tcBorders>
                  <w:shd w:val="clear" w:color="C0E6F5" w:fill="C0E6F5"/>
                  <w:noWrap/>
                  <w:vAlign w:val="bottom"/>
                  <w:hideMark/>
                </w:tcPr>
                <w:p w14:paraId="38FB7746" w14:textId="77777777" w:rsidR="00C7206F" w:rsidRPr="00C7206F" w:rsidRDefault="00C7206F" w:rsidP="00C7206F">
                  <w:pPr>
                    <w:spacing w:after="0" w:line="240" w:lineRule="auto"/>
                    <w:rPr>
                      <w:rFonts w:ascii="Times New Roman" w:eastAsia="Times New Roman" w:hAnsi="Times New Roman" w:cs="Times New Roman"/>
                      <w:sz w:val="20"/>
                      <w:szCs w:val="20"/>
                    </w:rPr>
                  </w:pPr>
                </w:p>
              </w:tc>
            </w:tr>
            <w:tr w:rsidR="00C7206F" w:rsidRPr="00C7206F" w14:paraId="4ABCA8A6" w14:textId="77777777" w:rsidTr="00C7206F">
              <w:trPr>
                <w:trHeight w:val="300"/>
              </w:trPr>
              <w:tc>
                <w:tcPr>
                  <w:tcW w:w="1806" w:type="dxa"/>
                  <w:tcBorders>
                    <w:top w:val="nil"/>
                    <w:left w:val="nil"/>
                    <w:bottom w:val="single" w:sz="4" w:space="0" w:color="44B3E1"/>
                    <w:right w:val="nil"/>
                  </w:tcBorders>
                  <w:shd w:val="clear" w:color="C0E6F5" w:fill="C0E6F5"/>
                  <w:noWrap/>
                  <w:vAlign w:val="bottom"/>
                  <w:hideMark/>
                </w:tcPr>
                <w:p w14:paraId="13ED1397" w14:textId="77777777" w:rsidR="00C7206F" w:rsidRPr="00C7206F" w:rsidRDefault="00C7206F" w:rsidP="00C7206F">
                  <w:pPr>
                    <w:spacing w:after="0" w:line="240" w:lineRule="auto"/>
                    <w:rPr>
                      <w:rFonts w:ascii="Times New Roman" w:eastAsia="Times New Roman" w:hAnsi="Times New Roman" w:cs="Times New Roman"/>
                      <w:sz w:val="20"/>
                      <w:szCs w:val="20"/>
                    </w:rPr>
                  </w:pPr>
                </w:p>
              </w:tc>
              <w:tc>
                <w:tcPr>
                  <w:tcW w:w="1889" w:type="dxa"/>
                  <w:tcBorders>
                    <w:top w:val="nil"/>
                    <w:left w:val="nil"/>
                    <w:bottom w:val="single" w:sz="4" w:space="0" w:color="44B3E1"/>
                    <w:right w:val="nil"/>
                  </w:tcBorders>
                  <w:shd w:val="clear" w:color="C0E6F5" w:fill="C0E6F5"/>
                  <w:noWrap/>
                  <w:vAlign w:val="bottom"/>
                  <w:hideMark/>
                </w:tcPr>
                <w:p w14:paraId="091545D3"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 xml:space="preserve"> Female </w:t>
                  </w:r>
                </w:p>
              </w:tc>
              <w:tc>
                <w:tcPr>
                  <w:tcW w:w="1690" w:type="dxa"/>
                  <w:tcBorders>
                    <w:top w:val="nil"/>
                    <w:left w:val="nil"/>
                    <w:bottom w:val="single" w:sz="4" w:space="0" w:color="44B3E1"/>
                    <w:right w:val="nil"/>
                  </w:tcBorders>
                  <w:shd w:val="clear" w:color="C0E6F5" w:fill="C0E6F5"/>
                  <w:noWrap/>
                  <w:vAlign w:val="bottom"/>
                  <w:hideMark/>
                </w:tcPr>
                <w:p w14:paraId="10246B73"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 xml:space="preserve"> Male </w:t>
                  </w:r>
                </w:p>
              </w:tc>
              <w:tc>
                <w:tcPr>
                  <w:tcW w:w="1890" w:type="dxa"/>
                  <w:tcBorders>
                    <w:top w:val="nil"/>
                    <w:left w:val="nil"/>
                    <w:bottom w:val="single" w:sz="4" w:space="0" w:color="44B3E1"/>
                    <w:right w:val="nil"/>
                  </w:tcBorders>
                  <w:shd w:val="clear" w:color="C0E6F5" w:fill="C0E6F5"/>
                  <w:noWrap/>
                  <w:vAlign w:val="bottom"/>
                  <w:hideMark/>
                </w:tcPr>
                <w:p w14:paraId="603ACC4E" w14:textId="77777777" w:rsidR="00C7206F" w:rsidRPr="00C7206F" w:rsidRDefault="00C7206F" w:rsidP="00C7206F">
                  <w:pPr>
                    <w:spacing w:after="0" w:line="240" w:lineRule="auto"/>
                    <w:rPr>
                      <w:rFonts w:ascii="Aptos Narrow" w:eastAsia="Times New Roman" w:hAnsi="Aptos Narrow" w:cs="Times New Roman"/>
                      <w:b/>
                      <w:bCs/>
                      <w:color w:val="000000"/>
                    </w:rPr>
                  </w:pPr>
                  <w:r w:rsidRPr="00C7206F">
                    <w:rPr>
                      <w:rFonts w:ascii="Aptos Narrow" w:eastAsia="Times New Roman" w:hAnsi="Aptos Narrow" w:cs="Times New Roman"/>
                      <w:b/>
                      <w:bCs/>
                      <w:color w:val="000000"/>
                    </w:rPr>
                    <w:t xml:space="preserve"> Prefer not to say </w:t>
                  </w:r>
                </w:p>
              </w:tc>
            </w:tr>
            <w:tr w:rsidR="00C7206F" w:rsidRPr="00C7206F" w14:paraId="4CCF7894" w14:textId="77777777" w:rsidTr="00C7206F">
              <w:trPr>
                <w:trHeight w:val="300"/>
              </w:trPr>
              <w:tc>
                <w:tcPr>
                  <w:tcW w:w="1806" w:type="dxa"/>
                  <w:tcBorders>
                    <w:top w:val="nil"/>
                    <w:left w:val="nil"/>
                    <w:bottom w:val="nil"/>
                    <w:right w:val="nil"/>
                  </w:tcBorders>
                  <w:noWrap/>
                  <w:vAlign w:val="bottom"/>
                  <w:hideMark/>
                </w:tcPr>
                <w:p w14:paraId="429EB9C0"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Accounting</w:t>
                  </w:r>
                </w:p>
              </w:tc>
              <w:tc>
                <w:tcPr>
                  <w:tcW w:w="1889" w:type="dxa"/>
                  <w:tcBorders>
                    <w:top w:val="nil"/>
                    <w:left w:val="nil"/>
                    <w:bottom w:val="nil"/>
                    <w:right w:val="nil"/>
                  </w:tcBorders>
                  <w:noWrap/>
                  <w:vAlign w:val="bottom"/>
                  <w:hideMark/>
                </w:tcPr>
                <w:p w14:paraId="5E48E599"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2,042,290.00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2D9CF92C"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2,868,610.00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7A0FD79C"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205,120.00 </w:t>
                  </w:r>
                </w:p>
              </w:tc>
            </w:tr>
            <w:tr w:rsidR="00C7206F" w:rsidRPr="00C7206F" w14:paraId="7FB77ADD" w14:textId="77777777" w:rsidTr="00C7206F">
              <w:trPr>
                <w:trHeight w:val="300"/>
              </w:trPr>
              <w:tc>
                <w:tcPr>
                  <w:tcW w:w="1806" w:type="dxa"/>
                  <w:tcBorders>
                    <w:top w:val="nil"/>
                    <w:left w:val="nil"/>
                    <w:bottom w:val="nil"/>
                    <w:right w:val="nil"/>
                  </w:tcBorders>
                  <w:noWrap/>
                  <w:vAlign w:val="bottom"/>
                  <w:hideMark/>
                </w:tcPr>
                <w:p w14:paraId="4E5197D0"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Business Development</w:t>
                  </w:r>
                </w:p>
              </w:tc>
              <w:tc>
                <w:tcPr>
                  <w:tcW w:w="1889" w:type="dxa"/>
                  <w:tcBorders>
                    <w:top w:val="nil"/>
                    <w:left w:val="nil"/>
                    <w:bottom w:val="nil"/>
                    <w:right w:val="nil"/>
                  </w:tcBorders>
                  <w:noWrap/>
                  <w:vAlign w:val="bottom"/>
                  <w:hideMark/>
                </w:tcPr>
                <w:p w14:paraId="2B39DC6F"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3,059,740.00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65CA47F1"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3,034,610.00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1C36DC8B"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149,870.00 </w:t>
                  </w:r>
                </w:p>
              </w:tc>
            </w:tr>
            <w:tr w:rsidR="00C7206F" w:rsidRPr="00C7206F" w14:paraId="6AF3DA52" w14:textId="77777777" w:rsidTr="00C7206F">
              <w:trPr>
                <w:trHeight w:val="300"/>
              </w:trPr>
              <w:tc>
                <w:tcPr>
                  <w:tcW w:w="1806" w:type="dxa"/>
                  <w:tcBorders>
                    <w:top w:val="nil"/>
                    <w:left w:val="nil"/>
                    <w:bottom w:val="nil"/>
                    <w:right w:val="nil"/>
                  </w:tcBorders>
                  <w:noWrap/>
                  <w:vAlign w:val="bottom"/>
                  <w:hideMark/>
                </w:tcPr>
                <w:p w14:paraId="3CF15D3B"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Engineering</w:t>
                  </w:r>
                </w:p>
              </w:tc>
              <w:tc>
                <w:tcPr>
                  <w:tcW w:w="1889" w:type="dxa"/>
                  <w:tcBorders>
                    <w:top w:val="nil"/>
                    <w:left w:val="nil"/>
                    <w:bottom w:val="nil"/>
                    <w:right w:val="nil"/>
                  </w:tcBorders>
                  <w:noWrap/>
                  <w:vAlign w:val="bottom"/>
                  <w:hideMark/>
                </w:tcPr>
                <w:p w14:paraId="12927E79"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2,866,040.00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190A99DD"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2,445,010.00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46BD65B6"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460,140.00 </w:t>
                  </w:r>
                </w:p>
              </w:tc>
            </w:tr>
            <w:tr w:rsidR="00C7206F" w:rsidRPr="00C7206F" w14:paraId="07494F55" w14:textId="77777777" w:rsidTr="00C7206F">
              <w:trPr>
                <w:trHeight w:val="300"/>
              </w:trPr>
              <w:tc>
                <w:tcPr>
                  <w:tcW w:w="1806" w:type="dxa"/>
                  <w:tcBorders>
                    <w:top w:val="nil"/>
                    <w:left w:val="nil"/>
                    <w:bottom w:val="nil"/>
                    <w:right w:val="nil"/>
                  </w:tcBorders>
                  <w:noWrap/>
                  <w:vAlign w:val="bottom"/>
                  <w:hideMark/>
                </w:tcPr>
                <w:p w14:paraId="280B6883"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Human Resources</w:t>
                  </w:r>
                </w:p>
              </w:tc>
              <w:tc>
                <w:tcPr>
                  <w:tcW w:w="1889" w:type="dxa"/>
                  <w:tcBorders>
                    <w:top w:val="nil"/>
                    <w:left w:val="nil"/>
                    <w:bottom w:val="nil"/>
                    <w:right w:val="nil"/>
                  </w:tcBorders>
                  <w:noWrap/>
                  <w:vAlign w:val="bottom"/>
                  <w:hideMark/>
                </w:tcPr>
                <w:p w14:paraId="58B532A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2,729,730.00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3A64C19A"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2,804,250.00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46640CBB"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282,850.00 </w:t>
                  </w:r>
                </w:p>
              </w:tc>
            </w:tr>
            <w:tr w:rsidR="00C7206F" w:rsidRPr="00C7206F" w14:paraId="1AE3E9E5" w14:textId="77777777" w:rsidTr="00C7206F">
              <w:trPr>
                <w:trHeight w:val="300"/>
              </w:trPr>
              <w:tc>
                <w:tcPr>
                  <w:tcW w:w="1806" w:type="dxa"/>
                  <w:tcBorders>
                    <w:top w:val="nil"/>
                    <w:left w:val="nil"/>
                    <w:bottom w:val="nil"/>
                    <w:right w:val="nil"/>
                  </w:tcBorders>
                  <w:noWrap/>
                  <w:vAlign w:val="bottom"/>
                  <w:hideMark/>
                </w:tcPr>
                <w:p w14:paraId="22752AD9"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Legal</w:t>
                  </w:r>
                </w:p>
              </w:tc>
              <w:tc>
                <w:tcPr>
                  <w:tcW w:w="1889" w:type="dxa"/>
                  <w:tcBorders>
                    <w:top w:val="nil"/>
                    <w:left w:val="nil"/>
                    <w:bottom w:val="nil"/>
                    <w:right w:val="nil"/>
                  </w:tcBorders>
                  <w:noWrap/>
                  <w:vAlign w:val="bottom"/>
                  <w:hideMark/>
                </w:tcPr>
                <w:p w14:paraId="03F99ECD"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2,329,230.00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1A4DDB64"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3,576,900.00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37E658A8"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383,870.00 </w:t>
                  </w:r>
                </w:p>
              </w:tc>
            </w:tr>
            <w:tr w:rsidR="00C7206F" w:rsidRPr="00C7206F" w14:paraId="5C537FA6" w14:textId="77777777" w:rsidTr="00C7206F">
              <w:trPr>
                <w:trHeight w:val="300"/>
              </w:trPr>
              <w:tc>
                <w:tcPr>
                  <w:tcW w:w="1806" w:type="dxa"/>
                  <w:tcBorders>
                    <w:top w:val="nil"/>
                    <w:left w:val="nil"/>
                    <w:bottom w:val="nil"/>
                    <w:right w:val="nil"/>
                  </w:tcBorders>
                  <w:noWrap/>
                  <w:vAlign w:val="bottom"/>
                  <w:hideMark/>
                </w:tcPr>
                <w:p w14:paraId="3490A6E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Marketing</w:t>
                  </w:r>
                </w:p>
              </w:tc>
              <w:tc>
                <w:tcPr>
                  <w:tcW w:w="1889" w:type="dxa"/>
                  <w:tcBorders>
                    <w:top w:val="nil"/>
                    <w:left w:val="nil"/>
                    <w:bottom w:val="nil"/>
                    <w:right w:val="nil"/>
                  </w:tcBorders>
                  <w:noWrap/>
                  <w:vAlign w:val="bottom"/>
                  <w:hideMark/>
                </w:tcPr>
                <w:p w14:paraId="2C5F7B94"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2,452,340.00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6614B52E"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2,432,160.00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43778C70"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105,870.00 </w:t>
                  </w:r>
                </w:p>
              </w:tc>
            </w:tr>
            <w:tr w:rsidR="00C7206F" w:rsidRPr="00C7206F" w14:paraId="2C560774" w14:textId="77777777" w:rsidTr="00C7206F">
              <w:trPr>
                <w:trHeight w:val="300"/>
              </w:trPr>
              <w:tc>
                <w:tcPr>
                  <w:tcW w:w="1806" w:type="dxa"/>
                  <w:tcBorders>
                    <w:top w:val="nil"/>
                    <w:left w:val="nil"/>
                    <w:bottom w:val="nil"/>
                    <w:right w:val="nil"/>
                  </w:tcBorders>
                  <w:noWrap/>
                  <w:vAlign w:val="bottom"/>
                  <w:hideMark/>
                </w:tcPr>
                <w:p w14:paraId="0A54F0C7"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Product Management</w:t>
                  </w:r>
                </w:p>
              </w:tc>
              <w:tc>
                <w:tcPr>
                  <w:tcW w:w="1889" w:type="dxa"/>
                  <w:tcBorders>
                    <w:top w:val="nil"/>
                    <w:left w:val="nil"/>
                    <w:bottom w:val="nil"/>
                    <w:right w:val="nil"/>
                  </w:tcBorders>
                  <w:noWrap/>
                  <w:vAlign w:val="bottom"/>
                  <w:hideMark/>
                </w:tcPr>
                <w:p w14:paraId="77A5C43A"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2,901,700.00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2D65DF48"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3,576,740.00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38338A86"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36,480.00 </w:t>
                  </w:r>
                </w:p>
              </w:tc>
            </w:tr>
            <w:tr w:rsidR="00C7206F" w:rsidRPr="00C7206F" w14:paraId="643E2C53" w14:textId="77777777" w:rsidTr="00C7206F">
              <w:trPr>
                <w:trHeight w:val="300"/>
              </w:trPr>
              <w:tc>
                <w:tcPr>
                  <w:tcW w:w="1806" w:type="dxa"/>
                  <w:tcBorders>
                    <w:top w:val="nil"/>
                    <w:left w:val="nil"/>
                    <w:bottom w:val="nil"/>
                    <w:right w:val="nil"/>
                  </w:tcBorders>
                  <w:noWrap/>
                  <w:vAlign w:val="bottom"/>
                  <w:hideMark/>
                </w:tcPr>
                <w:p w14:paraId="7B68BFA2"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Research and Development</w:t>
                  </w:r>
                </w:p>
              </w:tc>
              <w:tc>
                <w:tcPr>
                  <w:tcW w:w="1889" w:type="dxa"/>
                  <w:tcBorders>
                    <w:top w:val="nil"/>
                    <w:left w:val="nil"/>
                    <w:bottom w:val="nil"/>
                    <w:right w:val="nil"/>
                  </w:tcBorders>
                  <w:noWrap/>
                  <w:vAlign w:val="bottom"/>
                  <w:hideMark/>
                </w:tcPr>
                <w:p w14:paraId="7C8CA987"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2,530,950.00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3B508DAA"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2,140,940.00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1C5782B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393,070.00 </w:t>
                  </w:r>
                </w:p>
              </w:tc>
            </w:tr>
            <w:tr w:rsidR="00C7206F" w:rsidRPr="00C7206F" w14:paraId="1365FECD" w14:textId="77777777" w:rsidTr="00C7206F">
              <w:trPr>
                <w:trHeight w:val="300"/>
              </w:trPr>
              <w:tc>
                <w:tcPr>
                  <w:tcW w:w="1806" w:type="dxa"/>
                  <w:tcBorders>
                    <w:top w:val="nil"/>
                    <w:left w:val="nil"/>
                    <w:bottom w:val="nil"/>
                    <w:right w:val="nil"/>
                  </w:tcBorders>
                  <w:noWrap/>
                  <w:vAlign w:val="bottom"/>
                  <w:hideMark/>
                </w:tcPr>
                <w:p w14:paraId="40374C6F"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Sales</w:t>
                  </w:r>
                </w:p>
              </w:tc>
              <w:tc>
                <w:tcPr>
                  <w:tcW w:w="1889" w:type="dxa"/>
                  <w:tcBorders>
                    <w:top w:val="nil"/>
                    <w:left w:val="nil"/>
                    <w:bottom w:val="nil"/>
                    <w:right w:val="nil"/>
                  </w:tcBorders>
                  <w:noWrap/>
                  <w:vAlign w:val="bottom"/>
                  <w:hideMark/>
                </w:tcPr>
                <w:p w14:paraId="247C27D3"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2,534,640.00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4A1099E6"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2,881,590.00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79ECFAFF"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356,500.00 </w:t>
                  </w:r>
                </w:p>
              </w:tc>
            </w:tr>
            <w:tr w:rsidR="00C7206F" w:rsidRPr="00C7206F" w14:paraId="7B8EB9E5" w14:textId="77777777" w:rsidTr="00C7206F">
              <w:trPr>
                <w:trHeight w:val="300"/>
              </w:trPr>
              <w:tc>
                <w:tcPr>
                  <w:tcW w:w="1806" w:type="dxa"/>
                  <w:tcBorders>
                    <w:top w:val="nil"/>
                    <w:left w:val="nil"/>
                    <w:bottom w:val="nil"/>
                    <w:right w:val="nil"/>
                  </w:tcBorders>
                  <w:noWrap/>
                  <w:vAlign w:val="bottom"/>
                  <w:hideMark/>
                </w:tcPr>
                <w:p w14:paraId="4AECC32E"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Services</w:t>
                  </w:r>
                </w:p>
              </w:tc>
              <w:tc>
                <w:tcPr>
                  <w:tcW w:w="1889" w:type="dxa"/>
                  <w:tcBorders>
                    <w:top w:val="nil"/>
                    <w:left w:val="nil"/>
                    <w:bottom w:val="nil"/>
                    <w:right w:val="nil"/>
                  </w:tcBorders>
                  <w:noWrap/>
                  <w:vAlign w:val="bottom"/>
                  <w:hideMark/>
                </w:tcPr>
                <w:p w14:paraId="7808AB33"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3,069,170.00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7F9CCE84"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2,939,880.00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3DAB9C0F"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201,200.00 </w:t>
                  </w:r>
                </w:p>
              </w:tc>
            </w:tr>
            <w:tr w:rsidR="00C7206F" w:rsidRPr="00C7206F" w14:paraId="059D98E2" w14:textId="77777777" w:rsidTr="00C7206F">
              <w:trPr>
                <w:trHeight w:val="300"/>
              </w:trPr>
              <w:tc>
                <w:tcPr>
                  <w:tcW w:w="1806" w:type="dxa"/>
                  <w:tcBorders>
                    <w:top w:val="nil"/>
                    <w:left w:val="nil"/>
                    <w:bottom w:val="nil"/>
                    <w:right w:val="nil"/>
                  </w:tcBorders>
                  <w:noWrap/>
                  <w:vAlign w:val="bottom"/>
                  <w:hideMark/>
                </w:tcPr>
                <w:p w14:paraId="2D7E8D37"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Support</w:t>
                  </w:r>
                </w:p>
              </w:tc>
              <w:tc>
                <w:tcPr>
                  <w:tcW w:w="1889" w:type="dxa"/>
                  <w:tcBorders>
                    <w:top w:val="nil"/>
                    <w:left w:val="nil"/>
                    <w:bottom w:val="nil"/>
                    <w:right w:val="nil"/>
                  </w:tcBorders>
                  <w:noWrap/>
                  <w:vAlign w:val="bottom"/>
                  <w:hideMark/>
                </w:tcPr>
                <w:p w14:paraId="6AFC36BE"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2,521,050.00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68CD06F7"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3,251,410.00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1C9119F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304,900.00 </w:t>
                  </w:r>
                </w:p>
              </w:tc>
            </w:tr>
            <w:tr w:rsidR="00C7206F" w:rsidRPr="00C7206F" w14:paraId="79CDE728" w14:textId="77777777" w:rsidTr="00C7206F">
              <w:trPr>
                <w:trHeight w:val="300"/>
              </w:trPr>
              <w:tc>
                <w:tcPr>
                  <w:tcW w:w="1806" w:type="dxa"/>
                  <w:tcBorders>
                    <w:top w:val="nil"/>
                    <w:left w:val="nil"/>
                    <w:bottom w:val="nil"/>
                    <w:right w:val="nil"/>
                  </w:tcBorders>
                  <w:noWrap/>
                  <w:vAlign w:val="bottom"/>
                  <w:hideMark/>
                </w:tcPr>
                <w:p w14:paraId="09FED78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Training</w:t>
                  </w:r>
                </w:p>
              </w:tc>
              <w:tc>
                <w:tcPr>
                  <w:tcW w:w="1889" w:type="dxa"/>
                  <w:tcBorders>
                    <w:top w:val="nil"/>
                    <w:left w:val="nil"/>
                    <w:bottom w:val="nil"/>
                    <w:right w:val="nil"/>
                  </w:tcBorders>
                  <w:noWrap/>
                  <w:vAlign w:val="bottom"/>
                  <w:hideMark/>
                </w:tcPr>
                <w:p w14:paraId="109EAC63"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2,774,960.00</w:t>
                  </w:r>
                  <w:proofErr w:type="gramEnd"/>
                  <w:r w:rsidRPr="00C7206F">
                    <w:rPr>
                      <w:rFonts w:ascii="Aptos Narrow" w:eastAsia="Times New Roman" w:hAnsi="Aptos Narrow" w:cs="Times New Roman"/>
                      <w:color w:val="000000"/>
                    </w:rPr>
                    <w:t xml:space="preserve"> </w:t>
                  </w:r>
                </w:p>
              </w:tc>
              <w:tc>
                <w:tcPr>
                  <w:tcW w:w="1690" w:type="dxa"/>
                  <w:tcBorders>
                    <w:top w:val="nil"/>
                    <w:left w:val="nil"/>
                    <w:bottom w:val="nil"/>
                    <w:right w:val="nil"/>
                  </w:tcBorders>
                  <w:noWrap/>
                  <w:vAlign w:val="bottom"/>
                  <w:hideMark/>
                </w:tcPr>
                <w:p w14:paraId="324805BE"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w:t>
                  </w:r>
                  <w:proofErr w:type="gramStart"/>
                  <w:r w:rsidRPr="00C7206F">
                    <w:rPr>
                      <w:rFonts w:ascii="Aptos Narrow" w:eastAsia="Times New Roman" w:hAnsi="Aptos Narrow" w:cs="Times New Roman"/>
                      <w:color w:val="000000"/>
                    </w:rPr>
                    <w:t>$  2,825,030.00</w:t>
                  </w:r>
                  <w:proofErr w:type="gramEnd"/>
                  <w:r w:rsidRPr="00C7206F">
                    <w:rPr>
                      <w:rFonts w:ascii="Aptos Narrow" w:eastAsia="Times New Roman" w:hAnsi="Aptos Narrow" w:cs="Times New Roman"/>
                      <w:color w:val="000000"/>
                    </w:rPr>
                    <w:t xml:space="preserve"> </w:t>
                  </w:r>
                </w:p>
              </w:tc>
              <w:tc>
                <w:tcPr>
                  <w:tcW w:w="1890" w:type="dxa"/>
                  <w:tcBorders>
                    <w:top w:val="nil"/>
                    <w:left w:val="nil"/>
                    <w:bottom w:val="nil"/>
                    <w:right w:val="nil"/>
                  </w:tcBorders>
                  <w:noWrap/>
                  <w:vAlign w:val="bottom"/>
                  <w:hideMark/>
                </w:tcPr>
                <w:p w14:paraId="10111135" w14:textId="77777777" w:rsidR="00C7206F" w:rsidRPr="00C7206F" w:rsidRDefault="00C7206F" w:rsidP="00C7206F">
                  <w:pPr>
                    <w:spacing w:after="0" w:line="240" w:lineRule="auto"/>
                    <w:rPr>
                      <w:rFonts w:ascii="Aptos Narrow" w:eastAsia="Times New Roman" w:hAnsi="Aptos Narrow" w:cs="Times New Roman"/>
                      <w:color w:val="000000"/>
                    </w:rPr>
                  </w:pPr>
                  <w:r w:rsidRPr="00C7206F">
                    <w:rPr>
                      <w:rFonts w:ascii="Aptos Narrow" w:eastAsia="Times New Roman" w:hAnsi="Aptos Narrow" w:cs="Times New Roman"/>
                      <w:color w:val="000000"/>
                    </w:rPr>
                    <w:t xml:space="preserve"> $          254,830.00 </w:t>
                  </w:r>
                </w:p>
              </w:tc>
            </w:tr>
          </w:tbl>
          <w:p w14:paraId="3174DC6A"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noWrap/>
            <w:vAlign w:val="bottom"/>
            <w:hideMark/>
          </w:tcPr>
          <w:p w14:paraId="6B38A14D"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noWrap/>
            <w:vAlign w:val="bottom"/>
            <w:hideMark/>
          </w:tcPr>
          <w:p w14:paraId="7690FC28"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3"/>
            <w:tcBorders>
              <w:top w:val="nil"/>
              <w:left w:val="nil"/>
              <w:bottom w:val="nil"/>
              <w:right w:val="nil"/>
            </w:tcBorders>
            <w:noWrap/>
            <w:vAlign w:val="bottom"/>
            <w:hideMark/>
          </w:tcPr>
          <w:p w14:paraId="33268E08"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noWrap/>
            <w:vAlign w:val="bottom"/>
            <w:hideMark/>
          </w:tcPr>
          <w:p w14:paraId="69239A5A"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240" w:type="dxa"/>
            <w:gridSpan w:val="2"/>
            <w:tcBorders>
              <w:top w:val="nil"/>
              <w:left w:val="nil"/>
              <w:bottom w:val="nil"/>
              <w:right w:val="nil"/>
            </w:tcBorders>
            <w:noWrap/>
            <w:vAlign w:val="bottom"/>
            <w:hideMark/>
          </w:tcPr>
          <w:p w14:paraId="15E5598C"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2"/>
            <w:tcBorders>
              <w:top w:val="nil"/>
              <w:left w:val="nil"/>
              <w:bottom w:val="nil"/>
              <w:right w:val="nil"/>
            </w:tcBorders>
            <w:noWrap/>
            <w:vAlign w:val="bottom"/>
            <w:hideMark/>
          </w:tcPr>
          <w:p w14:paraId="1AA90416"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760" w:type="dxa"/>
            <w:gridSpan w:val="2"/>
            <w:tcBorders>
              <w:top w:val="nil"/>
              <w:left w:val="nil"/>
              <w:bottom w:val="nil"/>
              <w:right w:val="nil"/>
            </w:tcBorders>
            <w:noWrap/>
            <w:vAlign w:val="bottom"/>
            <w:hideMark/>
          </w:tcPr>
          <w:p w14:paraId="610E8A9E"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7152896C" w14:textId="77777777" w:rsidTr="007727E7">
        <w:trPr>
          <w:gridAfter w:val="1"/>
          <w:wAfter w:w="1180" w:type="dxa"/>
          <w:trHeight w:val="80"/>
        </w:trPr>
        <w:tc>
          <w:tcPr>
            <w:tcW w:w="7491" w:type="dxa"/>
            <w:gridSpan w:val="5"/>
            <w:tcBorders>
              <w:top w:val="nil"/>
              <w:left w:val="nil"/>
              <w:bottom w:val="nil"/>
              <w:right w:val="nil"/>
            </w:tcBorders>
            <w:noWrap/>
            <w:vAlign w:val="bottom"/>
            <w:hideMark/>
          </w:tcPr>
          <w:p w14:paraId="53AD677D"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noWrap/>
            <w:vAlign w:val="bottom"/>
            <w:hideMark/>
          </w:tcPr>
          <w:p w14:paraId="3E68026C"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noWrap/>
            <w:vAlign w:val="bottom"/>
            <w:hideMark/>
          </w:tcPr>
          <w:p w14:paraId="3731C52C"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3"/>
            <w:tcBorders>
              <w:top w:val="nil"/>
              <w:left w:val="nil"/>
              <w:bottom w:val="nil"/>
              <w:right w:val="nil"/>
            </w:tcBorders>
            <w:noWrap/>
            <w:vAlign w:val="bottom"/>
            <w:hideMark/>
          </w:tcPr>
          <w:p w14:paraId="0B65FDF5"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noWrap/>
            <w:vAlign w:val="bottom"/>
            <w:hideMark/>
          </w:tcPr>
          <w:p w14:paraId="62CC52BB"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240" w:type="dxa"/>
            <w:gridSpan w:val="2"/>
            <w:tcBorders>
              <w:top w:val="nil"/>
              <w:left w:val="nil"/>
              <w:bottom w:val="nil"/>
              <w:right w:val="nil"/>
            </w:tcBorders>
            <w:noWrap/>
            <w:vAlign w:val="bottom"/>
            <w:hideMark/>
          </w:tcPr>
          <w:p w14:paraId="538EA8A6"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2"/>
            <w:tcBorders>
              <w:top w:val="nil"/>
              <w:left w:val="nil"/>
              <w:bottom w:val="nil"/>
              <w:right w:val="nil"/>
            </w:tcBorders>
            <w:noWrap/>
            <w:vAlign w:val="bottom"/>
            <w:hideMark/>
          </w:tcPr>
          <w:p w14:paraId="22E8C48B"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760" w:type="dxa"/>
            <w:gridSpan w:val="2"/>
            <w:tcBorders>
              <w:top w:val="nil"/>
              <w:left w:val="nil"/>
              <w:bottom w:val="nil"/>
              <w:right w:val="nil"/>
            </w:tcBorders>
            <w:noWrap/>
            <w:vAlign w:val="bottom"/>
            <w:hideMark/>
          </w:tcPr>
          <w:p w14:paraId="56C8D2F9"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5B306AF9" w14:textId="77777777" w:rsidTr="007727E7">
        <w:trPr>
          <w:gridAfter w:val="1"/>
          <w:wAfter w:w="1180" w:type="dxa"/>
          <w:trHeight w:val="300"/>
        </w:trPr>
        <w:tc>
          <w:tcPr>
            <w:tcW w:w="7491" w:type="dxa"/>
            <w:gridSpan w:val="5"/>
            <w:tcBorders>
              <w:top w:val="nil"/>
              <w:left w:val="nil"/>
              <w:bottom w:val="nil"/>
              <w:right w:val="nil"/>
            </w:tcBorders>
            <w:noWrap/>
            <w:vAlign w:val="bottom"/>
            <w:hideMark/>
          </w:tcPr>
          <w:p w14:paraId="4BB5CF39"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noWrap/>
            <w:vAlign w:val="bottom"/>
            <w:hideMark/>
          </w:tcPr>
          <w:p w14:paraId="18DBA808"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980" w:type="dxa"/>
            <w:gridSpan w:val="2"/>
            <w:tcBorders>
              <w:top w:val="nil"/>
              <w:left w:val="nil"/>
              <w:bottom w:val="nil"/>
              <w:right w:val="nil"/>
            </w:tcBorders>
            <w:noWrap/>
            <w:vAlign w:val="bottom"/>
            <w:hideMark/>
          </w:tcPr>
          <w:p w14:paraId="3DCA0B14"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3"/>
            <w:tcBorders>
              <w:top w:val="nil"/>
              <w:left w:val="nil"/>
              <w:bottom w:val="nil"/>
              <w:right w:val="nil"/>
            </w:tcBorders>
            <w:noWrap/>
            <w:vAlign w:val="bottom"/>
            <w:hideMark/>
          </w:tcPr>
          <w:p w14:paraId="0B17E5BF"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noWrap/>
            <w:vAlign w:val="bottom"/>
            <w:hideMark/>
          </w:tcPr>
          <w:p w14:paraId="2ED57DF2"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240" w:type="dxa"/>
            <w:gridSpan w:val="2"/>
            <w:tcBorders>
              <w:top w:val="nil"/>
              <w:left w:val="nil"/>
              <w:bottom w:val="nil"/>
              <w:right w:val="nil"/>
            </w:tcBorders>
            <w:noWrap/>
            <w:vAlign w:val="bottom"/>
            <w:hideMark/>
          </w:tcPr>
          <w:p w14:paraId="4F4D712C"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2"/>
            <w:tcBorders>
              <w:top w:val="nil"/>
              <w:left w:val="nil"/>
              <w:bottom w:val="nil"/>
              <w:right w:val="nil"/>
            </w:tcBorders>
            <w:noWrap/>
            <w:vAlign w:val="bottom"/>
            <w:hideMark/>
          </w:tcPr>
          <w:p w14:paraId="68FB9107"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760" w:type="dxa"/>
            <w:gridSpan w:val="2"/>
            <w:tcBorders>
              <w:top w:val="nil"/>
              <w:left w:val="nil"/>
              <w:bottom w:val="nil"/>
              <w:right w:val="nil"/>
            </w:tcBorders>
            <w:noWrap/>
            <w:vAlign w:val="bottom"/>
            <w:hideMark/>
          </w:tcPr>
          <w:p w14:paraId="15F7B6E7"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39522BB7" w14:textId="77777777" w:rsidTr="007727E7">
        <w:trPr>
          <w:trHeight w:val="300"/>
        </w:trPr>
        <w:tc>
          <w:tcPr>
            <w:tcW w:w="7491" w:type="dxa"/>
            <w:gridSpan w:val="5"/>
            <w:tcBorders>
              <w:top w:val="nil"/>
              <w:left w:val="nil"/>
              <w:bottom w:val="nil"/>
              <w:right w:val="nil"/>
            </w:tcBorders>
            <w:noWrap/>
            <w:vAlign w:val="bottom"/>
            <w:hideMark/>
          </w:tcPr>
          <w:p w14:paraId="63A2A9CF"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180" w:type="dxa"/>
            <w:gridSpan w:val="2"/>
            <w:tcBorders>
              <w:top w:val="nil"/>
              <w:left w:val="nil"/>
              <w:bottom w:val="nil"/>
              <w:right w:val="nil"/>
            </w:tcBorders>
            <w:noWrap/>
            <w:vAlign w:val="bottom"/>
            <w:hideMark/>
          </w:tcPr>
          <w:p w14:paraId="72595066"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060" w:type="dxa"/>
            <w:gridSpan w:val="2"/>
            <w:tcBorders>
              <w:top w:val="nil"/>
              <w:left w:val="nil"/>
              <w:bottom w:val="nil"/>
              <w:right w:val="nil"/>
            </w:tcBorders>
            <w:noWrap/>
            <w:vAlign w:val="bottom"/>
            <w:hideMark/>
          </w:tcPr>
          <w:p w14:paraId="676E4FF7"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980" w:type="dxa"/>
            <w:tcBorders>
              <w:top w:val="nil"/>
              <w:left w:val="nil"/>
              <w:bottom w:val="nil"/>
              <w:right w:val="nil"/>
            </w:tcBorders>
            <w:noWrap/>
            <w:vAlign w:val="bottom"/>
            <w:hideMark/>
          </w:tcPr>
          <w:p w14:paraId="0DFE9AC3"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2"/>
            <w:tcBorders>
              <w:top w:val="nil"/>
              <w:left w:val="nil"/>
              <w:bottom w:val="nil"/>
              <w:right w:val="nil"/>
            </w:tcBorders>
            <w:noWrap/>
            <w:vAlign w:val="bottom"/>
            <w:hideMark/>
          </w:tcPr>
          <w:p w14:paraId="7B83F11F"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180" w:type="dxa"/>
            <w:tcBorders>
              <w:top w:val="nil"/>
              <w:left w:val="nil"/>
              <w:bottom w:val="nil"/>
              <w:right w:val="nil"/>
            </w:tcBorders>
            <w:noWrap/>
            <w:vAlign w:val="bottom"/>
            <w:hideMark/>
          </w:tcPr>
          <w:p w14:paraId="0FC61AA4"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240" w:type="dxa"/>
            <w:gridSpan w:val="2"/>
            <w:tcBorders>
              <w:top w:val="nil"/>
              <w:left w:val="nil"/>
              <w:bottom w:val="nil"/>
              <w:right w:val="nil"/>
            </w:tcBorders>
            <w:noWrap/>
            <w:vAlign w:val="bottom"/>
            <w:hideMark/>
          </w:tcPr>
          <w:p w14:paraId="3DF8BA1A"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660" w:type="dxa"/>
            <w:gridSpan w:val="2"/>
            <w:tcBorders>
              <w:top w:val="nil"/>
              <w:left w:val="nil"/>
              <w:bottom w:val="nil"/>
              <w:right w:val="nil"/>
            </w:tcBorders>
            <w:noWrap/>
            <w:vAlign w:val="bottom"/>
            <w:hideMark/>
          </w:tcPr>
          <w:p w14:paraId="0A085DF3"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760" w:type="dxa"/>
            <w:gridSpan w:val="2"/>
            <w:tcBorders>
              <w:top w:val="nil"/>
              <w:left w:val="nil"/>
              <w:bottom w:val="nil"/>
              <w:right w:val="nil"/>
            </w:tcBorders>
            <w:noWrap/>
            <w:vAlign w:val="bottom"/>
            <w:hideMark/>
          </w:tcPr>
          <w:p w14:paraId="7E08F955"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7727E7" w:rsidRPr="007727E7" w14:paraId="16F2CBDE" w14:textId="77777777" w:rsidTr="007727E7">
        <w:trPr>
          <w:gridAfter w:val="15"/>
          <w:wAfter w:w="11451" w:type="dxa"/>
          <w:trHeight w:val="300"/>
        </w:trPr>
        <w:tc>
          <w:tcPr>
            <w:tcW w:w="5080" w:type="dxa"/>
            <w:gridSpan w:val="3"/>
            <w:tcBorders>
              <w:top w:val="nil"/>
              <w:left w:val="nil"/>
              <w:bottom w:val="nil"/>
              <w:right w:val="nil"/>
            </w:tcBorders>
            <w:noWrap/>
            <w:vAlign w:val="bottom"/>
            <w:hideMark/>
          </w:tcPr>
          <w:p w14:paraId="417213DD"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GENDER PAY GAP ANALYSIS BY REGION</w:t>
            </w:r>
          </w:p>
        </w:tc>
        <w:tc>
          <w:tcPr>
            <w:tcW w:w="1680" w:type="dxa"/>
            <w:tcBorders>
              <w:top w:val="nil"/>
              <w:left w:val="nil"/>
              <w:bottom w:val="nil"/>
              <w:right w:val="nil"/>
            </w:tcBorders>
            <w:noWrap/>
            <w:vAlign w:val="bottom"/>
            <w:hideMark/>
          </w:tcPr>
          <w:p w14:paraId="5070EAF6" w14:textId="77777777" w:rsidR="007727E7" w:rsidRPr="007727E7" w:rsidRDefault="007727E7" w:rsidP="007727E7">
            <w:pPr>
              <w:spacing w:after="0" w:line="240" w:lineRule="auto"/>
              <w:rPr>
                <w:rFonts w:ascii="Aptos Narrow" w:eastAsia="Times New Roman" w:hAnsi="Aptos Narrow" w:cs="Times New Roman"/>
                <w:b/>
                <w:bCs/>
                <w:color w:val="000000"/>
              </w:rPr>
            </w:pPr>
          </w:p>
        </w:tc>
      </w:tr>
      <w:tr w:rsidR="007727E7" w:rsidRPr="007727E7" w14:paraId="7B1E3E8E" w14:textId="77777777" w:rsidTr="007727E7">
        <w:trPr>
          <w:gridAfter w:val="15"/>
          <w:wAfter w:w="11451" w:type="dxa"/>
          <w:trHeight w:val="300"/>
        </w:trPr>
        <w:tc>
          <w:tcPr>
            <w:tcW w:w="1250" w:type="dxa"/>
            <w:tcBorders>
              <w:top w:val="nil"/>
              <w:left w:val="nil"/>
              <w:bottom w:val="nil"/>
              <w:right w:val="nil"/>
            </w:tcBorders>
            <w:shd w:val="clear" w:color="C0E6F5" w:fill="C0E6F5"/>
            <w:noWrap/>
            <w:vAlign w:val="bottom"/>
            <w:hideMark/>
          </w:tcPr>
          <w:p w14:paraId="7B83B7B8"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REGION</w:t>
            </w:r>
          </w:p>
        </w:tc>
        <w:tc>
          <w:tcPr>
            <w:tcW w:w="1796" w:type="dxa"/>
            <w:tcBorders>
              <w:top w:val="nil"/>
              <w:left w:val="nil"/>
              <w:bottom w:val="nil"/>
              <w:right w:val="nil"/>
            </w:tcBorders>
            <w:shd w:val="clear" w:color="C0E6F5" w:fill="C0E6F5"/>
            <w:noWrap/>
            <w:vAlign w:val="bottom"/>
            <w:hideMark/>
          </w:tcPr>
          <w:p w14:paraId="072C1744"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Gender </w:t>
            </w:r>
          </w:p>
        </w:tc>
        <w:tc>
          <w:tcPr>
            <w:tcW w:w="2034" w:type="dxa"/>
            <w:tcBorders>
              <w:top w:val="nil"/>
              <w:left w:val="nil"/>
              <w:bottom w:val="nil"/>
              <w:right w:val="nil"/>
            </w:tcBorders>
            <w:shd w:val="clear" w:color="C0E6F5" w:fill="C0E6F5"/>
            <w:noWrap/>
            <w:vAlign w:val="bottom"/>
            <w:hideMark/>
          </w:tcPr>
          <w:p w14:paraId="41854446" w14:textId="77777777" w:rsidR="007727E7" w:rsidRPr="007727E7" w:rsidRDefault="007727E7" w:rsidP="007727E7">
            <w:pPr>
              <w:spacing w:after="0" w:line="240" w:lineRule="auto"/>
              <w:rPr>
                <w:rFonts w:ascii="Aptos Narrow" w:eastAsia="Times New Roman" w:hAnsi="Aptos Narrow" w:cs="Times New Roman"/>
                <w:b/>
                <w:bCs/>
                <w:color w:val="000000"/>
              </w:rPr>
            </w:pPr>
          </w:p>
        </w:tc>
        <w:tc>
          <w:tcPr>
            <w:tcW w:w="1680" w:type="dxa"/>
            <w:tcBorders>
              <w:top w:val="nil"/>
              <w:left w:val="nil"/>
              <w:bottom w:val="nil"/>
              <w:right w:val="nil"/>
            </w:tcBorders>
            <w:shd w:val="clear" w:color="C0E6F5" w:fill="C0E6F5"/>
            <w:noWrap/>
            <w:vAlign w:val="bottom"/>
            <w:hideMark/>
          </w:tcPr>
          <w:p w14:paraId="30991097" w14:textId="77777777" w:rsidR="007727E7" w:rsidRPr="007727E7" w:rsidRDefault="007727E7" w:rsidP="007727E7">
            <w:pPr>
              <w:spacing w:after="0" w:line="240" w:lineRule="auto"/>
              <w:rPr>
                <w:rFonts w:ascii="Times New Roman" w:eastAsia="Times New Roman" w:hAnsi="Times New Roman" w:cs="Times New Roman"/>
                <w:sz w:val="20"/>
                <w:szCs w:val="20"/>
              </w:rPr>
            </w:pPr>
          </w:p>
        </w:tc>
      </w:tr>
      <w:tr w:rsidR="007727E7" w:rsidRPr="007727E7" w14:paraId="3D877CF3" w14:textId="77777777" w:rsidTr="007727E7">
        <w:trPr>
          <w:gridAfter w:val="15"/>
          <w:wAfter w:w="11451" w:type="dxa"/>
          <w:trHeight w:val="300"/>
        </w:trPr>
        <w:tc>
          <w:tcPr>
            <w:tcW w:w="1250" w:type="dxa"/>
            <w:tcBorders>
              <w:top w:val="nil"/>
              <w:left w:val="nil"/>
              <w:bottom w:val="single" w:sz="4" w:space="0" w:color="44B3E1"/>
              <w:right w:val="nil"/>
            </w:tcBorders>
            <w:shd w:val="clear" w:color="C0E6F5" w:fill="C0E6F5"/>
            <w:noWrap/>
            <w:vAlign w:val="bottom"/>
            <w:hideMark/>
          </w:tcPr>
          <w:p w14:paraId="5252B549" w14:textId="77777777" w:rsidR="007727E7" w:rsidRPr="007727E7" w:rsidRDefault="007727E7" w:rsidP="007727E7">
            <w:pPr>
              <w:spacing w:after="0" w:line="240" w:lineRule="auto"/>
              <w:rPr>
                <w:rFonts w:ascii="Times New Roman" w:eastAsia="Times New Roman" w:hAnsi="Times New Roman" w:cs="Times New Roman"/>
                <w:sz w:val="20"/>
                <w:szCs w:val="20"/>
              </w:rPr>
            </w:pPr>
          </w:p>
        </w:tc>
        <w:tc>
          <w:tcPr>
            <w:tcW w:w="1796" w:type="dxa"/>
            <w:tcBorders>
              <w:top w:val="nil"/>
              <w:left w:val="nil"/>
              <w:bottom w:val="single" w:sz="4" w:space="0" w:color="44B3E1"/>
              <w:right w:val="nil"/>
            </w:tcBorders>
            <w:shd w:val="clear" w:color="C0E6F5" w:fill="C0E6F5"/>
            <w:noWrap/>
            <w:vAlign w:val="bottom"/>
            <w:hideMark/>
          </w:tcPr>
          <w:p w14:paraId="4A019A58"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Female </w:t>
            </w:r>
          </w:p>
        </w:tc>
        <w:tc>
          <w:tcPr>
            <w:tcW w:w="2034" w:type="dxa"/>
            <w:tcBorders>
              <w:top w:val="nil"/>
              <w:left w:val="nil"/>
              <w:bottom w:val="single" w:sz="4" w:space="0" w:color="44B3E1"/>
              <w:right w:val="nil"/>
            </w:tcBorders>
            <w:shd w:val="clear" w:color="C0E6F5" w:fill="C0E6F5"/>
            <w:noWrap/>
            <w:vAlign w:val="bottom"/>
            <w:hideMark/>
          </w:tcPr>
          <w:p w14:paraId="3A8B003B"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Male </w:t>
            </w:r>
          </w:p>
        </w:tc>
        <w:tc>
          <w:tcPr>
            <w:tcW w:w="1680" w:type="dxa"/>
            <w:tcBorders>
              <w:top w:val="nil"/>
              <w:left w:val="nil"/>
              <w:bottom w:val="single" w:sz="4" w:space="0" w:color="44B3E1"/>
              <w:right w:val="nil"/>
            </w:tcBorders>
            <w:shd w:val="clear" w:color="C0E6F5" w:fill="C0E6F5"/>
            <w:noWrap/>
            <w:vAlign w:val="bottom"/>
            <w:hideMark/>
          </w:tcPr>
          <w:p w14:paraId="01949E3F"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Prefer not to say </w:t>
            </w:r>
          </w:p>
        </w:tc>
      </w:tr>
      <w:tr w:rsidR="007727E7" w:rsidRPr="007727E7" w14:paraId="5EC47FDF" w14:textId="77777777" w:rsidTr="007727E7">
        <w:trPr>
          <w:gridAfter w:val="15"/>
          <w:wAfter w:w="11451" w:type="dxa"/>
          <w:trHeight w:val="300"/>
        </w:trPr>
        <w:tc>
          <w:tcPr>
            <w:tcW w:w="1250" w:type="dxa"/>
            <w:tcBorders>
              <w:top w:val="nil"/>
              <w:left w:val="nil"/>
              <w:bottom w:val="nil"/>
              <w:right w:val="nil"/>
            </w:tcBorders>
            <w:noWrap/>
            <w:vAlign w:val="bottom"/>
            <w:hideMark/>
          </w:tcPr>
          <w:p w14:paraId="11D15A9C"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Abuja</w:t>
            </w:r>
          </w:p>
        </w:tc>
        <w:tc>
          <w:tcPr>
            <w:tcW w:w="1796" w:type="dxa"/>
            <w:tcBorders>
              <w:top w:val="nil"/>
              <w:left w:val="nil"/>
              <w:bottom w:val="nil"/>
              <w:right w:val="nil"/>
            </w:tcBorders>
            <w:noWrap/>
            <w:vAlign w:val="bottom"/>
            <w:hideMark/>
          </w:tcPr>
          <w:p w14:paraId="278DD9EE"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w:t>
            </w:r>
            <w:proofErr w:type="gramStart"/>
            <w:r w:rsidRPr="007727E7">
              <w:rPr>
                <w:rFonts w:ascii="Aptos Narrow" w:eastAsia="Times New Roman" w:hAnsi="Aptos Narrow" w:cs="Times New Roman"/>
                <w:color w:val="000000"/>
              </w:rPr>
              <w:t>$  11,131,420.00</w:t>
            </w:r>
            <w:proofErr w:type="gramEnd"/>
            <w:r w:rsidRPr="007727E7">
              <w:rPr>
                <w:rFonts w:ascii="Aptos Narrow" w:eastAsia="Times New Roman" w:hAnsi="Aptos Narrow" w:cs="Times New Roman"/>
                <w:color w:val="000000"/>
              </w:rPr>
              <w:t xml:space="preserve"> </w:t>
            </w:r>
          </w:p>
        </w:tc>
        <w:tc>
          <w:tcPr>
            <w:tcW w:w="2034" w:type="dxa"/>
            <w:tcBorders>
              <w:top w:val="nil"/>
              <w:left w:val="nil"/>
              <w:bottom w:val="nil"/>
              <w:right w:val="nil"/>
            </w:tcBorders>
            <w:noWrap/>
            <w:vAlign w:val="bottom"/>
            <w:hideMark/>
          </w:tcPr>
          <w:p w14:paraId="07EE4F57"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11,646,040.00 </w:t>
            </w:r>
          </w:p>
        </w:tc>
        <w:tc>
          <w:tcPr>
            <w:tcW w:w="1680" w:type="dxa"/>
            <w:tcBorders>
              <w:top w:val="nil"/>
              <w:left w:val="nil"/>
              <w:bottom w:val="nil"/>
              <w:right w:val="nil"/>
            </w:tcBorders>
            <w:noWrap/>
            <w:vAlign w:val="bottom"/>
            <w:hideMark/>
          </w:tcPr>
          <w:p w14:paraId="5C6661D8"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1,338,820.00 </w:t>
            </w:r>
          </w:p>
        </w:tc>
      </w:tr>
      <w:tr w:rsidR="007727E7" w:rsidRPr="007727E7" w14:paraId="0A676CF4" w14:textId="77777777" w:rsidTr="007727E7">
        <w:trPr>
          <w:gridAfter w:val="15"/>
          <w:wAfter w:w="11451" w:type="dxa"/>
          <w:trHeight w:val="300"/>
        </w:trPr>
        <w:tc>
          <w:tcPr>
            <w:tcW w:w="1250" w:type="dxa"/>
            <w:tcBorders>
              <w:top w:val="nil"/>
              <w:left w:val="nil"/>
              <w:bottom w:val="nil"/>
              <w:right w:val="nil"/>
            </w:tcBorders>
            <w:noWrap/>
            <w:vAlign w:val="bottom"/>
            <w:hideMark/>
          </w:tcPr>
          <w:p w14:paraId="336A7723"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Kaduna</w:t>
            </w:r>
          </w:p>
        </w:tc>
        <w:tc>
          <w:tcPr>
            <w:tcW w:w="1796" w:type="dxa"/>
            <w:tcBorders>
              <w:top w:val="nil"/>
              <w:left w:val="nil"/>
              <w:bottom w:val="nil"/>
              <w:right w:val="nil"/>
            </w:tcBorders>
            <w:noWrap/>
            <w:vAlign w:val="bottom"/>
            <w:hideMark/>
          </w:tcPr>
          <w:p w14:paraId="16694D7D"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w:t>
            </w:r>
            <w:proofErr w:type="gramStart"/>
            <w:r w:rsidRPr="007727E7">
              <w:rPr>
                <w:rFonts w:ascii="Aptos Narrow" w:eastAsia="Times New Roman" w:hAnsi="Aptos Narrow" w:cs="Times New Roman"/>
                <w:color w:val="000000"/>
              </w:rPr>
              <w:t>$  11,929,130.00</w:t>
            </w:r>
            <w:proofErr w:type="gramEnd"/>
            <w:r w:rsidRPr="007727E7">
              <w:rPr>
                <w:rFonts w:ascii="Aptos Narrow" w:eastAsia="Times New Roman" w:hAnsi="Aptos Narrow" w:cs="Times New Roman"/>
                <w:color w:val="000000"/>
              </w:rPr>
              <w:t xml:space="preserve"> </w:t>
            </w:r>
          </w:p>
        </w:tc>
        <w:tc>
          <w:tcPr>
            <w:tcW w:w="2034" w:type="dxa"/>
            <w:tcBorders>
              <w:top w:val="nil"/>
              <w:left w:val="nil"/>
              <w:bottom w:val="nil"/>
              <w:right w:val="nil"/>
            </w:tcBorders>
            <w:noWrap/>
            <w:vAlign w:val="bottom"/>
            <w:hideMark/>
          </w:tcPr>
          <w:p w14:paraId="60CE6ABB"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13,622,690.00 </w:t>
            </w:r>
          </w:p>
        </w:tc>
        <w:tc>
          <w:tcPr>
            <w:tcW w:w="1680" w:type="dxa"/>
            <w:tcBorders>
              <w:top w:val="nil"/>
              <w:left w:val="nil"/>
              <w:bottom w:val="nil"/>
              <w:right w:val="nil"/>
            </w:tcBorders>
            <w:noWrap/>
            <w:vAlign w:val="bottom"/>
            <w:hideMark/>
          </w:tcPr>
          <w:p w14:paraId="69E17C38"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1,101,000.00 </w:t>
            </w:r>
          </w:p>
        </w:tc>
      </w:tr>
      <w:tr w:rsidR="007727E7" w:rsidRPr="007727E7" w14:paraId="6DC16B1A" w14:textId="77777777" w:rsidTr="007727E7">
        <w:trPr>
          <w:gridAfter w:val="15"/>
          <w:wAfter w:w="11451" w:type="dxa"/>
          <w:trHeight w:val="300"/>
        </w:trPr>
        <w:tc>
          <w:tcPr>
            <w:tcW w:w="1250" w:type="dxa"/>
            <w:tcBorders>
              <w:top w:val="nil"/>
              <w:left w:val="nil"/>
              <w:bottom w:val="nil"/>
              <w:right w:val="nil"/>
            </w:tcBorders>
            <w:noWrap/>
            <w:vAlign w:val="bottom"/>
            <w:hideMark/>
          </w:tcPr>
          <w:p w14:paraId="3CCB82BD"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Lagos</w:t>
            </w:r>
          </w:p>
        </w:tc>
        <w:tc>
          <w:tcPr>
            <w:tcW w:w="1796" w:type="dxa"/>
            <w:tcBorders>
              <w:top w:val="nil"/>
              <w:left w:val="nil"/>
              <w:bottom w:val="nil"/>
              <w:right w:val="nil"/>
            </w:tcBorders>
            <w:noWrap/>
            <w:vAlign w:val="bottom"/>
            <w:hideMark/>
          </w:tcPr>
          <w:p w14:paraId="66636C0B"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8,751,290.00 </w:t>
            </w:r>
          </w:p>
        </w:tc>
        <w:tc>
          <w:tcPr>
            <w:tcW w:w="2034" w:type="dxa"/>
            <w:tcBorders>
              <w:top w:val="nil"/>
              <w:left w:val="nil"/>
              <w:bottom w:val="nil"/>
              <w:right w:val="nil"/>
            </w:tcBorders>
            <w:noWrap/>
            <w:vAlign w:val="bottom"/>
            <w:hideMark/>
          </w:tcPr>
          <w:p w14:paraId="0F34C49B"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9,508,400.00 </w:t>
            </w:r>
          </w:p>
        </w:tc>
        <w:tc>
          <w:tcPr>
            <w:tcW w:w="1680" w:type="dxa"/>
            <w:tcBorders>
              <w:top w:val="nil"/>
              <w:left w:val="nil"/>
              <w:bottom w:val="nil"/>
              <w:right w:val="nil"/>
            </w:tcBorders>
            <w:noWrap/>
            <w:vAlign w:val="bottom"/>
            <w:hideMark/>
          </w:tcPr>
          <w:p w14:paraId="76672348" w14:textId="77777777" w:rsidR="007727E7" w:rsidRPr="007727E7" w:rsidRDefault="007727E7" w:rsidP="007727E7">
            <w:pPr>
              <w:spacing w:after="0" w:line="240" w:lineRule="auto"/>
              <w:rPr>
                <w:rFonts w:ascii="Aptos Narrow" w:eastAsia="Times New Roman" w:hAnsi="Aptos Narrow" w:cs="Times New Roman"/>
                <w:color w:val="000000"/>
              </w:rPr>
            </w:pPr>
            <w:r w:rsidRPr="007727E7">
              <w:rPr>
                <w:rFonts w:ascii="Aptos Narrow" w:eastAsia="Times New Roman" w:hAnsi="Aptos Narrow" w:cs="Times New Roman"/>
                <w:color w:val="000000"/>
              </w:rPr>
              <w:t xml:space="preserve"> $          694,880.00 </w:t>
            </w:r>
          </w:p>
        </w:tc>
      </w:tr>
      <w:tr w:rsidR="007727E7" w:rsidRPr="007727E7" w14:paraId="6EF2A6E7" w14:textId="77777777" w:rsidTr="007727E7">
        <w:trPr>
          <w:gridAfter w:val="15"/>
          <w:wAfter w:w="11451" w:type="dxa"/>
          <w:trHeight w:val="300"/>
        </w:trPr>
        <w:tc>
          <w:tcPr>
            <w:tcW w:w="1250" w:type="dxa"/>
            <w:tcBorders>
              <w:top w:val="single" w:sz="4" w:space="0" w:color="44B3E1"/>
              <w:left w:val="nil"/>
              <w:bottom w:val="nil"/>
              <w:right w:val="nil"/>
            </w:tcBorders>
            <w:shd w:val="clear" w:color="C0E6F5" w:fill="C0E6F5"/>
            <w:noWrap/>
            <w:vAlign w:val="bottom"/>
            <w:hideMark/>
          </w:tcPr>
          <w:p w14:paraId="3036BEA8"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Grand Total</w:t>
            </w:r>
          </w:p>
        </w:tc>
        <w:tc>
          <w:tcPr>
            <w:tcW w:w="1796" w:type="dxa"/>
            <w:tcBorders>
              <w:top w:val="single" w:sz="4" w:space="0" w:color="44B3E1"/>
              <w:left w:val="nil"/>
              <w:bottom w:val="nil"/>
              <w:right w:val="nil"/>
            </w:tcBorders>
            <w:shd w:val="clear" w:color="C0E6F5" w:fill="C0E6F5"/>
            <w:noWrap/>
            <w:vAlign w:val="bottom"/>
            <w:hideMark/>
          </w:tcPr>
          <w:p w14:paraId="3F3CF066"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w:t>
            </w:r>
            <w:proofErr w:type="gramStart"/>
            <w:r w:rsidRPr="007727E7">
              <w:rPr>
                <w:rFonts w:ascii="Aptos Narrow" w:eastAsia="Times New Roman" w:hAnsi="Aptos Narrow" w:cs="Times New Roman"/>
                <w:b/>
                <w:bCs/>
                <w:color w:val="000000"/>
              </w:rPr>
              <w:t>$  31,811,840.00</w:t>
            </w:r>
            <w:proofErr w:type="gramEnd"/>
            <w:r w:rsidRPr="007727E7">
              <w:rPr>
                <w:rFonts w:ascii="Aptos Narrow" w:eastAsia="Times New Roman" w:hAnsi="Aptos Narrow" w:cs="Times New Roman"/>
                <w:b/>
                <w:bCs/>
                <w:color w:val="000000"/>
              </w:rPr>
              <w:t xml:space="preserve"> </w:t>
            </w:r>
          </w:p>
        </w:tc>
        <w:tc>
          <w:tcPr>
            <w:tcW w:w="2034" w:type="dxa"/>
            <w:tcBorders>
              <w:top w:val="single" w:sz="4" w:space="0" w:color="44B3E1"/>
              <w:left w:val="nil"/>
              <w:bottom w:val="nil"/>
              <w:right w:val="nil"/>
            </w:tcBorders>
            <w:shd w:val="clear" w:color="C0E6F5" w:fill="C0E6F5"/>
            <w:noWrap/>
            <w:vAlign w:val="bottom"/>
            <w:hideMark/>
          </w:tcPr>
          <w:p w14:paraId="1FDF49D4"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       34,777,130.00 </w:t>
            </w:r>
          </w:p>
        </w:tc>
        <w:tc>
          <w:tcPr>
            <w:tcW w:w="1680" w:type="dxa"/>
            <w:tcBorders>
              <w:top w:val="single" w:sz="4" w:space="0" w:color="44B3E1"/>
              <w:left w:val="nil"/>
              <w:bottom w:val="nil"/>
              <w:right w:val="nil"/>
            </w:tcBorders>
            <w:shd w:val="clear" w:color="C0E6F5" w:fill="C0E6F5"/>
            <w:noWrap/>
            <w:vAlign w:val="bottom"/>
            <w:hideMark/>
          </w:tcPr>
          <w:p w14:paraId="54201C83" w14:textId="77777777" w:rsidR="007727E7" w:rsidRPr="007727E7" w:rsidRDefault="007727E7" w:rsidP="007727E7">
            <w:pPr>
              <w:spacing w:after="0" w:line="240" w:lineRule="auto"/>
              <w:rPr>
                <w:rFonts w:ascii="Aptos Narrow" w:eastAsia="Times New Roman" w:hAnsi="Aptos Narrow" w:cs="Times New Roman"/>
                <w:b/>
                <w:bCs/>
                <w:color w:val="000000"/>
              </w:rPr>
            </w:pPr>
            <w:r w:rsidRPr="007727E7">
              <w:rPr>
                <w:rFonts w:ascii="Aptos Narrow" w:eastAsia="Times New Roman" w:hAnsi="Aptos Narrow" w:cs="Times New Roman"/>
                <w:b/>
                <w:bCs/>
                <w:color w:val="000000"/>
              </w:rPr>
              <w:t xml:space="preserve"> $      3,134,700.00 </w:t>
            </w:r>
          </w:p>
        </w:tc>
      </w:tr>
    </w:tbl>
    <w:p w14:paraId="47CB41ED" w14:textId="65009F03" w:rsidR="00950F69" w:rsidRDefault="00950F69"/>
    <w:p w14:paraId="0AA42EEC" w14:textId="77777777" w:rsidR="003478BA" w:rsidRPr="003478BA" w:rsidRDefault="003478BA" w:rsidP="003478BA">
      <w:r w:rsidRPr="003478BA">
        <w:lastRenderedPageBreak/>
        <w:t>Department-Level Findings</w:t>
      </w:r>
    </w:p>
    <w:p w14:paraId="57A8DB37" w14:textId="77777777" w:rsidR="003478BA" w:rsidRPr="003478BA" w:rsidRDefault="003478BA" w:rsidP="003478BA">
      <w:pPr>
        <w:numPr>
          <w:ilvl w:val="0"/>
          <w:numId w:val="1"/>
        </w:numPr>
      </w:pPr>
      <w:r w:rsidRPr="003478BA">
        <w:t>Engineering is a standout for equity — female staff earned more than male staff, indicating fair practices.</w:t>
      </w:r>
    </w:p>
    <w:p w14:paraId="03EEB1C3" w14:textId="3E02ECC8" w:rsidR="003478BA" w:rsidRPr="003478BA" w:rsidRDefault="003478BA" w:rsidP="003478BA">
      <w:pPr>
        <w:numPr>
          <w:ilvl w:val="0"/>
          <w:numId w:val="1"/>
        </w:numPr>
      </w:pPr>
      <w:r w:rsidRPr="003478BA">
        <w:t>Legal and Support showed the largest pay gaps in favor of male employees (</w:t>
      </w:r>
      <w:r w:rsidR="00277766">
        <w:t>$</w:t>
      </w:r>
      <w:r w:rsidRPr="003478BA">
        <w:t xml:space="preserve">1.25M and </w:t>
      </w:r>
      <w:r w:rsidR="00277766">
        <w:t>$</w:t>
      </w:r>
      <w:r w:rsidRPr="003478BA">
        <w:t>730K respectively), suggesting systemic imbalance.</w:t>
      </w:r>
    </w:p>
    <w:p w14:paraId="77264514" w14:textId="7D9EEA3A" w:rsidR="003478BA" w:rsidRPr="003478BA" w:rsidRDefault="003478BA" w:rsidP="003478BA">
      <w:pPr>
        <w:numPr>
          <w:ilvl w:val="0"/>
          <w:numId w:val="1"/>
        </w:numPr>
      </w:pPr>
      <w:r w:rsidRPr="003478BA">
        <w:t>Product Management also had a notable gender gap (</w:t>
      </w:r>
      <w:r w:rsidR="00277766">
        <w:t>$</w:t>
      </w:r>
      <w:r w:rsidRPr="003478BA">
        <w:t>675K), requiring focused review.</w:t>
      </w:r>
    </w:p>
    <w:p w14:paraId="1234F5CC" w14:textId="77777777" w:rsidR="003478BA" w:rsidRPr="003478BA" w:rsidRDefault="003478BA" w:rsidP="003478BA">
      <w:pPr>
        <w:numPr>
          <w:ilvl w:val="0"/>
          <w:numId w:val="1"/>
        </w:numPr>
      </w:pPr>
      <w:r w:rsidRPr="003478BA">
        <w:t>Business Development, Sales, and Services showed near-parity, signaling progress in some business units.</w:t>
      </w:r>
    </w:p>
    <w:p w14:paraId="14C64B62" w14:textId="77777777" w:rsidR="003478BA" w:rsidRPr="003478BA" w:rsidRDefault="003478BA" w:rsidP="003478BA">
      <w:r w:rsidRPr="003478BA">
        <w:t>Regional-Level Findings</w:t>
      </w:r>
    </w:p>
    <w:p w14:paraId="1646B1E4" w14:textId="321D14E7" w:rsidR="003478BA" w:rsidRPr="003478BA" w:rsidRDefault="003478BA" w:rsidP="003478BA">
      <w:pPr>
        <w:numPr>
          <w:ilvl w:val="0"/>
          <w:numId w:val="2"/>
        </w:numPr>
      </w:pPr>
      <w:r w:rsidRPr="003478BA">
        <w:t xml:space="preserve">Kaduna had the widest regional gap — males earned </w:t>
      </w:r>
      <w:r w:rsidR="00277766">
        <w:t>$</w:t>
      </w:r>
      <w:r w:rsidRPr="003478BA">
        <w:t>1.69M more than females.</w:t>
      </w:r>
    </w:p>
    <w:p w14:paraId="31232FA7" w14:textId="4293FFB1" w:rsidR="003478BA" w:rsidRPr="003478BA" w:rsidRDefault="003478BA" w:rsidP="003478BA">
      <w:pPr>
        <w:numPr>
          <w:ilvl w:val="0"/>
          <w:numId w:val="2"/>
        </w:numPr>
      </w:pPr>
      <w:r w:rsidRPr="003478BA">
        <w:t>Abuja showed a moderate gap (~</w:t>
      </w:r>
      <w:r w:rsidR="00277766">
        <w:t>$</w:t>
      </w:r>
      <w:r w:rsidRPr="003478BA">
        <w:t>514K) but had the highest share of undisclosed gender salaries, indicating possible trust or cultural concerns.</w:t>
      </w:r>
    </w:p>
    <w:p w14:paraId="2DE7D982" w14:textId="1D6F12B9" w:rsidR="003478BA" w:rsidRPr="003478BA" w:rsidRDefault="003478BA" w:rsidP="003478BA">
      <w:pPr>
        <w:numPr>
          <w:ilvl w:val="0"/>
          <w:numId w:val="2"/>
        </w:numPr>
      </w:pPr>
      <w:r w:rsidRPr="003478BA">
        <w:t xml:space="preserve">Lagos was relatively balanced, with a </w:t>
      </w:r>
      <w:r w:rsidR="00277766">
        <w:t>$</w:t>
      </w:r>
      <w:r w:rsidRPr="003478BA">
        <w:t>757K gap, and fewer cases of gender non-disclosure.</w:t>
      </w:r>
    </w:p>
    <w:p w14:paraId="329020C7" w14:textId="77777777" w:rsidR="003478BA" w:rsidRPr="003478BA" w:rsidRDefault="003478BA" w:rsidP="003478BA">
      <w:r w:rsidRPr="003478BA">
        <w:t>Key Insight</w:t>
      </w:r>
    </w:p>
    <w:p w14:paraId="5E462FE2" w14:textId="77777777" w:rsidR="003478BA" w:rsidRPr="003478BA" w:rsidRDefault="003478BA" w:rsidP="003478BA">
      <w:proofErr w:type="spellStart"/>
      <w:r w:rsidRPr="003478BA">
        <w:t>Palmora</w:t>
      </w:r>
      <w:proofErr w:type="spellEnd"/>
      <w:r w:rsidRPr="003478BA">
        <w:t xml:space="preserve"> Group has made progress in some areas, but significant pay disparities remain in specific departments and regions. These findings call for targeted equity reviews and improved workplace transparency to ensure fairness across the organization.</w:t>
      </w:r>
    </w:p>
    <w:p w14:paraId="0D247231" w14:textId="77777777" w:rsidR="00ED7CF0" w:rsidRDefault="00ED7CF0"/>
    <w:p w14:paraId="1B079E25" w14:textId="77777777" w:rsidR="00ED7CF0" w:rsidRDefault="00ED7CF0"/>
    <w:p w14:paraId="61C5101C" w14:textId="77777777" w:rsidR="00ED7CF0" w:rsidRDefault="00ED7CF0"/>
    <w:p w14:paraId="29FA6078" w14:textId="77777777" w:rsidR="00ED7CF0" w:rsidRDefault="00ED7CF0"/>
    <w:p w14:paraId="743F5934" w14:textId="77777777" w:rsidR="00ED7CF0" w:rsidRDefault="00ED7CF0"/>
    <w:tbl>
      <w:tblPr>
        <w:tblW w:w="7380" w:type="dxa"/>
        <w:tblLook w:val="04A0" w:firstRow="1" w:lastRow="0" w:firstColumn="1" w:lastColumn="0" w:noHBand="0" w:noVBand="1"/>
      </w:tblPr>
      <w:tblGrid>
        <w:gridCol w:w="222"/>
        <w:gridCol w:w="2101"/>
        <w:gridCol w:w="5057"/>
      </w:tblGrid>
      <w:tr w:rsidR="00ED7CF0" w:rsidRPr="00ED7CF0" w14:paraId="2E6C1E0C" w14:textId="77777777" w:rsidTr="00ED7CF0">
        <w:trPr>
          <w:trHeight w:val="315"/>
        </w:trPr>
        <w:tc>
          <w:tcPr>
            <w:tcW w:w="7380" w:type="dxa"/>
            <w:gridSpan w:val="3"/>
            <w:tcBorders>
              <w:top w:val="nil"/>
              <w:left w:val="nil"/>
              <w:bottom w:val="nil"/>
              <w:right w:val="nil"/>
            </w:tcBorders>
            <w:noWrap/>
            <w:vAlign w:val="bottom"/>
            <w:hideMark/>
          </w:tcPr>
          <w:p w14:paraId="7149C2A6" w14:textId="77777777" w:rsidR="00ED7CF0" w:rsidRDefault="00ED7CF0" w:rsidP="00ED7CF0">
            <w:pPr>
              <w:spacing w:after="0" w:line="240" w:lineRule="auto"/>
              <w:rPr>
                <w:rFonts w:ascii="Merriweather-Light" w:eastAsia="Times New Roman" w:hAnsi="Merriweather-Light" w:cs="Times New Roman"/>
                <w:b/>
                <w:bCs/>
                <w:color w:val="000000"/>
                <w:sz w:val="24"/>
                <w:szCs w:val="24"/>
              </w:rPr>
            </w:pPr>
          </w:p>
          <w:p w14:paraId="37F070E5" w14:textId="77777777" w:rsidR="00ED7CF0" w:rsidRDefault="00ED7CF0" w:rsidP="00ED7CF0">
            <w:pPr>
              <w:spacing w:after="0" w:line="240" w:lineRule="auto"/>
              <w:rPr>
                <w:rFonts w:ascii="Merriweather-Light" w:eastAsia="Times New Roman" w:hAnsi="Merriweather-Light" w:cs="Times New Roman"/>
                <w:b/>
                <w:bCs/>
                <w:color w:val="000000"/>
                <w:sz w:val="24"/>
                <w:szCs w:val="24"/>
              </w:rPr>
            </w:pPr>
          </w:p>
          <w:p w14:paraId="77F10BC2" w14:textId="77777777" w:rsidR="00ED7CF0" w:rsidRDefault="00ED7CF0" w:rsidP="00ED7CF0">
            <w:pPr>
              <w:spacing w:after="0" w:line="240" w:lineRule="auto"/>
              <w:rPr>
                <w:rFonts w:ascii="Merriweather-Light" w:eastAsia="Times New Roman" w:hAnsi="Merriweather-Light" w:cs="Times New Roman"/>
                <w:b/>
                <w:bCs/>
                <w:color w:val="000000"/>
                <w:sz w:val="24"/>
                <w:szCs w:val="24"/>
              </w:rPr>
            </w:pPr>
          </w:p>
          <w:p w14:paraId="0EEC2CFE" w14:textId="77777777" w:rsidR="00ED7CF0" w:rsidRDefault="00ED7CF0" w:rsidP="00ED7CF0">
            <w:pPr>
              <w:spacing w:after="0" w:line="240" w:lineRule="auto"/>
              <w:rPr>
                <w:rFonts w:ascii="Merriweather-Light" w:eastAsia="Times New Roman" w:hAnsi="Merriweather-Light" w:cs="Times New Roman"/>
                <w:b/>
                <w:bCs/>
                <w:color w:val="000000"/>
                <w:sz w:val="24"/>
                <w:szCs w:val="24"/>
              </w:rPr>
            </w:pPr>
          </w:p>
          <w:p w14:paraId="6E686F8E" w14:textId="29412E82" w:rsidR="00ED7CF0" w:rsidRDefault="00ED7CF0" w:rsidP="00ED7CF0">
            <w:pPr>
              <w:spacing w:after="0" w:line="240" w:lineRule="auto"/>
              <w:rPr>
                <w:rFonts w:ascii="Merriweather-Light" w:eastAsia="Times New Roman" w:hAnsi="Merriweather-Light" w:cs="Times New Roman"/>
                <w:b/>
                <w:bCs/>
                <w:color w:val="000000"/>
                <w:sz w:val="24"/>
                <w:szCs w:val="24"/>
              </w:rPr>
            </w:pPr>
            <w:r>
              <w:rPr>
                <w:rFonts w:ascii="Merriweather-Light" w:eastAsia="Times New Roman" w:hAnsi="Merriweather-Light" w:cs="Times New Roman"/>
                <w:b/>
                <w:bCs/>
                <w:color w:val="000000"/>
                <w:sz w:val="24"/>
                <w:szCs w:val="24"/>
              </w:rPr>
              <w:t xml:space="preserve">                        </w:t>
            </w:r>
            <w:r w:rsidRPr="00ED7CF0">
              <w:rPr>
                <w:rFonts w:ascii="Merriweather-Light" w:eastAsia="Times New Roman" w:hAnsi="Merriweather-Light" w:cs="Times New Roman"/>
                <w:b/>
                <w:bCs/>
                <w:color w:val="000000"/>
                <w:sz w:val="24"/>
                <w:szCs w:val="24"/>
              </w:rPr>
              <w:t xml:space="preserve">Pay </w:t>
            </w:r>
            <w:proofErr w:type="gramStart"/>
            <w:r w:rsidRPr="00ED7CF0">
              <w:rPr>
                <w:rFonts w:ascii="Merriweather-Light" w:eastAsia="Times New Roman" w:hAnsi="Merriweather-Light" w:cs="Times New Roman"/>
                <w:b/>
                <w:bCs/>
                <w:color w:val="000000"/>
                <w:sz w:val="24"/>
                <w:szCs w:val="24"/>
              </w:rPr>
              <w:t>distribution  by</w:t>
            </w:r>
            <w:proofErr w:type="gramEnd"/>
            <w:r w:rsidRPr="00ED7CF0">
              <w:rPr>
                <w:rFonts w:ascii="Merriweather-Light" w:eastAsia="Times New Roman" w:hAnsi="Merriweather-Light" w:cs="Times New Roman"/>
                <w:b/>
                <w:bCs/>
                <w:color w:val="000000"/>
                <w:sz w:val="24"/>
                <w:szCs w:val="24"/>
              </w:rPr>
              <w:t xml:space="preserve"> Salary Band</w:t>
            </w:r>
          </w:p>
          <w:p w14:paraId="79653FCF" w14:textId="77777777" w:rsidR="00ED7CF0" w:rsidRDefault="00ED7CF0" w:rsidP="00ED7CF0">
            <w:pPr>
              <w:spacing w:after="0" w:line="240" w:lineRule="auto"/>
              <w:rPr>
                <w:rFonts w:ascii="Merriweather-Light" w:eastAsia="Times New Roman" w:hAnsi="Merriweather-Light" w:cs="Times New Roman"/>
                <w:b/>
                <w:bCs/>
                <w:color w:val="000000"/>
                <w:sz w:val="24"/>
                <w:szCs w:val="24"/>
              </w:rPr>
            </w:pPr>
          </w:p>
          <w:p w14:paraId="7690DC9B" w14:textId="1586C60C" w:rsidR="00ED7CF0" w:rsidRPr="00ED7CF0" w:rsidRDefault="00ED7CF0" w:rsidP="00ED7CF0">
            <w:pPr>
              <w:spacing w:after="0" w:line="240" w:lineRule="auto"/>
              <w:rPr>
                <w:rFonts w:ascii="Merriweather-Light" w:eastAsia="Times New Roman" w:hAnsi="Merriweather-Light" w:cs="Times New Roman"/>
                <w:b/>
                <w:bCs/>
                <w:color w:val="000000"/>
                <w:sz w:val="24"/>
                <w:szCs w:val="24"/>
              </w:rPr>
            </w:pPr>
            <w:r w:rsidRPr="00ED7CF0">
              <w:rPr>
                <w:rFonts w:ascii="Merriweather-Light" w:eastAsia="Times New Roman" w:hAnsi="Merriweather-Light" w:cs="Times New Roman"/>
                <w:b/>
                <w:bCs/>
                <w:color w:val="000000"/>
                <w:sz w:val="24"/>
                <w:szCs w:val="24"/>
              </w:rPr>
              <w:t>Pay distribution of employees grouped by salary band</w:t>
            </w:r>
          </w:p>
        </w:tc>
      </w:tr>
      <w:tr w:rsidR="00ED7CF0" w:rsidRPr="00ED7CF0" w14:paraId="7D98045A" w14:textId="77777777" w:rsidTr="00ED7CF0">
        <w:trPr>
          <w:trHeight w:val="300"/>
        </w:trPr>
        <w:tc>
          <w:tcPr>
            <w:tcW w:w="222" w:type="dxa"/>
            <w:tcBorders>
              <w:top w:val="nil"/>
              <w:left w:val="nil"/>
              <w:bottom w:val="nil"/>
              <w:right w:val="nil"/>
            </w:tcBorders>
            <w:noWrap/>
            <w:vAlign w:val="bottom"/>
            <w:hideMark/>
          </w:tcPr>
          <w:p w14:paraId="04C97008" w14:textId="44A1F350" w:rsidR="00ED7CF0" w:rsidRPr="00ED7CF0" w:rsidRDefault="00ED7CF0" w:rsidP="00ED7CF0">
            <w:pPr>
              <w:spacing w:after="0" w:line="240" w:lineRule="auto"/>
              <w:rPr>
                <w:rFonts w:ascii="Merriweather-Light" w:eastAsia="Times New Roman" w:hAnsi="Merriweather-Light" w:cs="Times New Roman"/>
                <w:b/>
                <w:bCs/>
                <w:color w:val="000000"/>
                <w:sz w:val="24"/>
                <w:szCs w:val="24"/>
              </w:rPr>
            </w:pPr>
            <w:r>
              <w:rPr>
                <w:rFonts w:ascii="Merriweather-Light" w:eastAsia="Times New Roman" w:hAnsi="Merriweather-Light" w:cs="Times New Roman"/>
                <w:b/>
                <w:bCs/>
                <w:color w:val="000000"/>
                <w:sz w:val="24"/>
                <w:szCs w:val="24"/>
              </w:rPr>
              <w:t xml:space="preserve"> </w:t>
            </w:r>
          </w:p>
        </w:tc>
        <w:tc>
          <w:tcPr>
            <w:tcW w:w="2101" w:type="dxa"/>
            <w:tcBorders>
              <w:top w:val="nil"/>
              <w:left w:val="nil"/>
              <w:bottom w:val="nil"/>
              <w:right w:val="nil"/>
            </w:tcBorders>
            <w:noWrap/>
            <w:vAlign w:val="bottom"/>
            <w:hideMark/>
          </w:tcPr>
          <w:p w14:paraId="3EDB82D3"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5057" w:type="dxa"/>
            <w:tcBorders>
              <w:top w:val="nil"/>
              <w:left w:val="nil"/>
              <w:bottom w:val="nil"/>
              <w:right w:val="nil"/>
            </w:tcBorders>
            <w:noWrap/>
            <w:vAlign w:val="bottom"/>
            <w:hideMark/>
          </w:tcPr>
          <w:p w14:paraId="0636C108"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647CD964" w14:textId="77777777" w:rsidTr="00ED7CF0">
        <w:trPr>
          <w:trHeight w:val="300"/>
        </w:trPr>
        <w:tc>
          <w:tcPr>
            <w:tcW w:w="222" w:type="dxa"/>
            <w:tcBorders>
              <w:top w:val="nil"/>
              <w:left w:val="nil"/>
              <w:bottom w:val="nil"/>
              <w:right w:val="nil"/>
            </w:tcBorders>
            <w:noWrap/>
            <w:vAlign w:val="bottom"/>
            <w:hideMark/>
          </w:tcPr>
          <w:p w14:paraId="4BEBF697"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2101" w:type="dxa"/>
            <w:tcBorders>
              <w:top w:val="nil"/>
              <w:left w:val="nil"/>
              <w:bottom w:val="single" w:sz="4" w:space="0" w:color="44B3E1"/>
              <w:right w:val="nil"/>
            </w:tcBorders>
            <w:shd w:val="clear" w:color="C0E6F5" w:fill="C0E6F5"/>
            <w:noWrap/>
            <w:vAlign w:val="bottom"/>
            <w:hideMark/>
          </w:tcPr>
          <w:p w14:paraId="365FEF79"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Salary Band</w:t>
            </w:r>
          </w:p>
        </w:tc>
        <w:tc>
          <w:tcPr>
            <w:tcW w:w="5057" w:type="dxa"/>
            <w:tcBorders>
              <w:top w:val="nil"/>
              <w:left w:val="nil"/>
              <w:bottom w:val="single" w:sz="4" w:space="0" w:color="44B3E1"/>
              <w:right w:val="nil"/>
            </w:tcBorders>
            <w:shd w:val="clear" w:color="C0E6F5" w:fill="C0E6F5"/>
            <w:noWrap/>
            <w:vAlign w:val="bottom"/>
            <w:hideMark/>
          </w:tcPr>
          <w:p w14:paraId="1972CF06"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Number of Employees</w:t>
            </w:r>
          </w:p>
        </w:tc>
      </w:tr>
      <w:tr w:rsidR="00ED7CF0" w:rsidRPr="00ED7CF0" w14:paraId="705E0095" w14:textId="77777777" w:rsidTr="00ED7CF0">
        <w:trPr>
          <w:trHeight w:val="300"/>
        </w:trPr>
        <w:tc>
          <w:tcPr>
            <w:tcW w:w="222" w:type="dxa"/>
            <w:tcBorders>
              <w:top w:val="nil"/>
              <w:left w:val="nil"/>
              <w:bottom w:val="nil"/>
              <w:right w:val="nil"/>
            </w:tcBorders>
            <w:noWrap/>
            <w:vAlign w:val="bottom"/>
            <w:hideMark/>
          </w:tcPr>
          <w:p w14:paraId="24ACC4B8" w14:textId="77777777" w:rsidR="00ED7CF0" w:rsidRPr="00ED7CF0" w:rsidRDefault="00ED7CF0" w:rsidP="00ED7CF0">
            <w:pPr>
              <w:spacing w:after="0" w:line="240" w:lineRule="auto"/>
              <w:rPr>
                <w:rFonts w:ascii="Aptos Narrow" w:eastAsia="Times New Roman" w:hAnsi="Aptos Narrow" w:cs="Times New Roman"/>
                <w:b/>
                <w:bCs/>
                <w:color w:val="000000"/>
              </w:rPr>
            </w:pPr>
          </w:p>
        </w:tc>
        <w:tc>
          <w:tcPr>
            <w:tcW w:w="2101" w:type="dxa"/>
            <w:tcBorders>
              <w:top w:val="nil"/>
              <w:left w:val="nil"/>
              <w:bottom w:val="nil"/>
              <w:right w:val="nil"/>
            </w:tcBorders>
            <w:noWrap/>
            <w:vAlign w:val="bottom"/>
            <w:hideMark/>
          </w:tcPr>
          <w:p w14:paraId="13039632"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20000 - 30000</w:t>
            </w:r>
          </w:p>
        </w:tc>
        <w:tc>
          <w:tcPr>
            <w:tcW w:w="5057" w:type="dxa"/>
            <w:tcBorders>
              <w:top w:val="nil"/>
              <w:left w:val="nil"/>
              <w:bottom w:val="nil"/>
              <w:right w:val="nil"/>
            </w:tcBorders>
            <w:noWrap/>
            <w:vAlign w:val="bottom"/>
            <w:hideMark/>
          </w:tcPr>
          <w:p w14:paraId="0BA5BD5B"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26</w:t>
            </w:r>
          </w:p>
        </w:tc>
      </w:tr>
      <w:tr w:rsidR="00ED7CF0" w:rsidRPr="00ED7CF0" w14:paraId="194DD3B7" w14:textId="77777777" w:rsidTr="00ED7CF0">
        <w:trPr>
          <w:trHeight w:val="300"/>
        </w:trPr>
        <w:tc>
          <w:tcPr>
            <w:tcW w:w="222" w:type="dxa"/>
            <w:tcBorders>
              <w:top w:val="nil"/>
              <w:left w:val="nil"/>
              <w:bottom w:val="nil"/>
              <w:right w:val="nil"/>
            </w:tcBorders>
            <w:noWrap/>
            <w:vAlign w:val="bottom"/>
            <w:hideMark/>
          </w:tcPr>
          <w:p w14:paraId="61493AA1"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515B1EE9"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30000 - 40000</w:t>
            </w:r>
          </w:p>
        </w:tc>
        <w:tc>
          <w:tcPr>
            <w:tcW w:w="5057" w:type="dxa"/>
            <w:tcBorders>
              <w:top w:val="nil"/>
              <w:left w:val="nil"/>
              <w:bottom w:val="nil"/>
              <w:right w:val="nil"/>
            </w:tcBorders>
            <w:noWrap/>
            <w:vAlign w:val="bottom"/>
            <w:hideMark/>
          </w:tcPr>
          <w:p w14:paraId="2FBDA41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103</w:t>
            </w:r>
          </w:p>
        </w:tc>
      </w:tr>
      <w:tr w:rsidR="00ED7CF0" w:rsidRPr="00ED7CF0" w14:paraId="2B79A2C1" w14:textId="77777777" w:rsidTr="00ED7CF0">
        <w:trPr>
          <w:trHeight w:val="300"/>
        </w:trPr>
        <w:tc>
          <w:tcPr>
            <w:tcW w:w="222" w:type="dxa"/>
            <w:tcBorders>
              <w:top w:val="nil"/>
              <w:left w:val="nil"/>
              <w:bottom w:val="nil"/>
              <w:right w:val="nil"/>
            </w:tcBorders>
            <w:noWrap/>
            <w:vAlign w:val="bottom"/>
            <w:hideMark/>
          </w:tcPr>
          <w:p w14:paraId="59BFCB87"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2DEFCECA"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40000 - 50000</w:t>
            </w:r>
          </w:p>
        </w:tc>
        <w:tc>
          <w:tcPr>
            <w:tcW w:w="5057" w:type="dxa"/>
            <w:tcBorders>
              <w:top w:val="nil"/>
              <w:left w:val="nil"/>
              <w:bottom w:val="nil"/>
              <w:right w:val="nil"/>
            </w:tcBorders>
            <w:noWrap/>
            <w:vAlign w:val="bottom"/>
            <w:hideMark/>
          </w:tcPr>
          <w:p w14:paraId="63DCDF91"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105</w:t>
            </w:r>
          </w:p>
        </w:tc>
      </w:tr>
      <w:tr w:rsidR="00ED7CF0" w:rsidRPr="00ED7CF0" w14:paraId="7F502EC1" w14:textId="77777777" w:rsidTr="00ED7CF0">
        <w:trPr>
          <w:trHeight w:val="300"/>
        </w:trPr>
        <w:tc>
          <w:tcPr>
            <w:tcW w:w="222" w:type="dxa"/>
            <w:tcBorders>
              <w:top w:val="nil"/>
              <w:left w:val="nil"/>
              <w:bottom w:val="nil"/>
              <w:right w:val="nil"/>
            </w:tcBorders>
            <w:noWrap/>
            <w:vAlign w:val="bottom"/>
            <w:hideMark/>
          </w:tcPr>
          <w:p w14:paraId="7465A139"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79E7031C"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50000 - 60000</w:t>
            </w:r>
          </w:p>
        </w:tc>
        <w:tc>
          <w:tcPr>
            <w:tcW w:w="5057" w:type="dxa"/>
            <w:tcBorders>
              <w:top w:val="nil"/>
              <w:left w:val="nil"/>
              <w:bottom w:val="nil"/>
              <w:right w:val="nil"/>
            </w:tcBorders>
            <w:noWrap/>
            <w:vAlign w:val="bottom"/>
            <w:hideMark/>
          </w:tcPr>
          <w:p w14:paraId="2E6F4FAB"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96</w:t>
            </w:r>
          </w:p>
        </w:tc>
      </w:tr>
      <w:tr w:rsidR="00ED7CF0" w:rsidRPr="00ED7CF0" w14:paraId="7841022B" w14:textId="77777777" w:rsidTr="00ED7CF0">
        <w:trPr>
          <w:trHeight w:val="300"/>
        </w:trPr>
        <w:tc>
          <w:tcPr>
            <w:tcW w:w="222" w:type="dxa"/>
            <w:tcBorders>
              <w:top w:val="nil"/>
              <w:left w:val="nil"/>
              <w:bottom w:val="nil"/>
              <w:right w:val="nil"/>
            </w:tcBorders>
            <w:noWrap/>
            <w:vAlign w:val="bottom"/>
            <w:hideMark/>
          </w:tcPr>
          <w:p w14:paraId="421EA7EF"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2D1D658D"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60000 - 70000</w:t>
            </w:r>
          </w:p>
        </w:tc>
        <w:tc>
          <w:tcPr>
            <w:tcW w:w="5057" w:type="dxa"/>
            <w:tcBorders>
              <w:top w:val="nil"/>
              <w:left w:val="nil"/>
              <w:bottom w:val="nil"/>
              <w:right w:val="nil"/>
            </w:tcBorders>
            <w:noWrap/>
            <w:vAlign w:val="bottom"/>
            <w:hideMark/>
          </w:tcPr>
          <w:p w14:paraId="5BCD9103"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99</w:t>
            </w:r>
          </w:p>
        </w:tc>
      </w:tr>
      <w:tr w:rsidR="00ED7CF0" w:rsidRPr="00ED7CF0" w14:paraId="4FCE8676" w14:textId="77777777" w:rsidTr="00ED7CF0">
        <w:trPr>
          <w:trHeight w:val="300"/>
        </w:trPr>
        <w:tc>
          <w:tcPr>
            <w:tcW w:w="222" w:type="dxa"/>
            <w:tcBorders>
              <w:top w:val="nil"/>
              <w:left w:val="nil"/>
              <w:bottom w:val="nil"/>
              <w:right w:val="nil"/>
            </w:tcBorders>
            <w:noWrap/>
            <w:vAlign w:val="bottom"/>
            <w:hideMark/>
          </w:tcPr>
          <w:p w14:paraId="70FD22E7"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3A30FEB7"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70000 - 80000</w:t>
            </w:r>
          </w:p>
        </w:tc>
        <w:tc>
          <w:tcPr>
            <w:tcW w:w="5057" w:type="dxa"/>
            <w:tcBorders>
              <w:top w:val="nil"/>
              <w:left w:val="nil"/>
              <w:bottom w:val="nil"/>
              <w:right w:val="nil"/>
            </w:tcBorders>
            <w:noWrap/>
            <w:vAlign w:val="bottom"/>
            <w:hideMark/>
          </w:tcPr>
          <w:p w14:paraId="04A883A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117</w:t>
            </w:r>
          </w:p>
        </w:tc>
      </w:tr>
      <w:tr w:rsidR="00ED7CF0" w:rsidRPr="00ED7CF0" w14:paraId="57D7C3C5" w14:textId="77777777" w:rsidTr="00ED7CF0">
        <w:trPr>
          <w:trHeight w:val="300"/>
        </w:trPr>
        <w:tc>
          <w:tcPr>
            <w:tcW w:w="222" w:type="dxa"/>
            <w:tcBorders>
              <w:top w:val="nil"/>
              <w:left w:val="nil"/>
              <w:bottom w:val="nil"/>
              <w:right w:val="nil"/>
            </w:tcBorders>
            <w:noWrap/>
            <w:vAlign w:val="bottom"/>
            <w:hideMark/>
          </w:tcPr>
          <w:p w14:paraId="410947F1"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1C19B1AF"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80000 - 90000</w:t>
            </w:r>
          </w:p>
        </w:tc>
        <w:tc>
          <w:tcPr>
            <w:tcW w:w="5057" w:type="dxa"/>
            <w:tcBorders>
              <w:top w:val="nil"/>
              <w:left w:val="nil"/>
              <w:bottom w:val="nil"/>
              <w:right w:val="nil"/>
            </w:tcBorders>
            <w:noWrap/>
            <w:vAlign w:val="bottom"/>
            <w:hideMark/>
          </w:tcPr>
          <w:p w14:paraId="20C244D8"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108</w:t>
            </w:r>
          </w:p>
        </w:tc>
      </w:tr>
      <w:tr w:rsidR="00ED7CF0" w:rsidRPr="00ED7CF0" w14:paraId="4F28E191" w14:textId="77777777" w:rsidTr="00ED7CF0">
        <w:trPr>
          <w:trHeight w:val="300"/>
        </w:trPr>
        <w:tc>
          <w:tcPr>
            <w:tcW w:w="222" w:type="dxa"/>
            <w:tcBorders>
              <w:top w:val="nil"/>
              <w:left w:val="nil"/>
              <w:bottom w:val="nil"/>
              <w:right w:val="nil"/>
            </w:tcBorders>
            <w:noWrap/>
            <w:vAlign w:val="bottom"/>
            <w:hideMark/>
          </w:tcPr>
          <w:p w14:paraId="0B7E4A57"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06F6A30E"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90000 - 100000</w:t>
            </w:r>
          </w:p>
        </w:tc>
        <w:tc>
          <w:tcPr>
            <w:tcW w:w="5057" w:type="dxa"/>
            <w:tcBorders>
              <w:top w:val="nil"/>
              <w:left w:val="nil"/>
              <w:bottom w:val="nil"/>
              <w:right w:val="nil"/>
            </w:tcBorders>
            <w:noWrap/>
            <w:vAlign w:val="bottom"/>
            <w:hideMark/>
          </w:tcPr>
          <w:p w14:paraId="3EDA137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90</w:t>
            </w:r>
          </w:p>
        </w:tc>
      </w:tr>
      <w:tr w:rsidR="00ED7CF0" w:rsidRPr="00ED7CF0" w14:paraId="185E697C" w14:textId="77777777" w:rsidTr="00ED7CF0">
        <w:trPr>
          <w:trHeight w:val="300"/>
        </w:trPr>
        <w:tc>
          <w:tcPr>
            <w:tcW w:w="222" w:type="dxa"/>
            <w:tcBorders>
              <w:top w:val="nil"/>
              <w:left w:val="nil"/>
              <w:bottom w:val="nil"/>
              <w:right w:val="nil"/>
            </w:tcBorders>
            <w:noWrap/>
            <w:vAlign w:val="bottom"/>
            <w:hideMark/>
          </w:tcPr>
          <w:p w14:paraId="6E6259C1"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4E1A3866"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100000 - 110000</w:t>
            </w:r>
          </w:p>
        </w:tc>
        <w:tc>
          <w:tcPr>
            <w:tcW w:w="5057" w:type="dxa"/>
            <w:tcBorders>
              <w:top w:val="nil"/>
              <w:left w:val="nil"/>
              <w:bottom w:val="nil"/>
              <w:right w:val="nil"/>
            </w:tcBorders>
            <w:noWrap/>
            <w:vAlign w:val="bottom"/>
            <w:hideMark/>
          </w:tcPr>
          <w:p w14:paraId="5EF2817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105</w:t>
            </w:r>
          </w:p>
        </w:tc>
      </w:tr>
      <w:tr w:rsidR="00ED7CF0" w:rsidRPr="00ED7CF0" w14:paraId="65E4E6C6" w14:textId="77777777" w:rsidTr="00ED7CF0">
        <w:trPr>
          <w:trHeight w:val="300"/>
        </w:trPr>
        <w:tc>
          <w:tcPr>
            <w:tcW w:w="222" w:type="dxa"/>
            <w:tcBorders>
              <w:top w:val="nil"/>
              <w:left w:val="nil"/>
              <w:bottom w:val="nil"/>
              <w:right w:val="nil"/>
            </w:tcBorders>
            <w:noWrap/>
            <w:vAlign w:val="bottom"/>
            <w:hideMark/>
          </w:tcPr>
          <w:p w14:paraId="7901820D"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nil"/>
              <w:left w:val="nil"/>
              <w:bottom w:val="nil"/>
              <w:right w:val="nil"/>
            </w:tcBorders>
            <w:noWrap/>
            <w:vAlign w:val="bottom"/>
            <w:hideMark/>
          </w:tcPr>
          <w:p w14:paraId="49E71BEA"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110000 - 120000</w:t>
            </w:r>
          </w:p>
        </w:tc>
        <w:tc>
          <w:tcPr>
            <w:tcW w:w="5057" w:type="dxa"/>
            <w:tcBorders>
              <w:top w:val="nil"/>
              <w:left w:val="nil"/>
              <w:bottom w:val="nil"/>
              <w:right w:val="nil"/>
            </w:tcBorders>
            <w:noWrap/>
            <w:vAlign w:val="bottom"/>
            <w:hideMark/>
          </w:tcPr>
          <w:p w14:paraId="4226CF20"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97</w:t>
            </w:r>
          </w:p>
        </w:tc>
      </w:tr>
      <w:tr w:rsidR="00ED7CF0" w:rsidRPr="00ED7CF0" w14:paraId="47A19854" w14:textId="77777777" w:rsidTr="00ED7CF0">
        <w:trPr>
          <w:trHeight w:val="300"/>
        </w:trPr>
        <w:tc>
          <w:tcPr>
            <w:tcW w:w="222" w:type="dxa"/>
            <w:tcBorders>
              <w:top w:val="nil"/>
              <w:left w:val="nil"/>
              <w:bottom w:val="nil"/>
              <w:right w:val="nil"/>
            </w:tcBorders>
            <w:noWrap/>
            <w:vAlign w:val="bottom"/>
            <w:hideMark/>
          </w:tcPr>
          <w:p w14:paraId="19762634" w14:textId="77777777" w:rsidR="00ED7CF0" w:rsidRPr="00ED7CF0" w:rsidRDefault="00ED7CF0" w:rsidP="00ED7CF0">
            <w:pPr>
              <w:spacing w:after="0" w:line="240" w:lineRule="auto"/>
              <w:jc w:val="right"/>
              <w:rPr>
                <w:rFonts w:ascii="Aptos Narrow" w:eastAsia="Times New Roman" w:hAnsi="Aptos Narrow" w:cs="Times New Roman"/>
                <w:color w:val="000000"/>
              </w:rPr>
            </w:pPr>
          </w:p>
        </w:tc>
        <w:tc>
          <w:tcPr>
            <w:tcW w:w="2101" w:type="dxa"/>
            <w:tcBorders>
              <w:top w:val="single" w:sz="4" w:space="0" w:color="44B3E1"/>
              <w:left w:val="nil"/>
              <w:bottom w:val="nil"/>
              <w:right w:val="nil"/>
            </w:tcBorders>
            <w:shd w:val="clear" w:color="C0E6F5" w:fill="C0E6F5"/>
            <w:noWrap/>
            <w:vAlign w:val="bottom"/>
            <w:hideMark/>
          </w:tcPr>
          <w:p w14:paraId="64A45E6C"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Grand Total</w:t>
            </w:r>
          </w:p>
        </w:tc>
        <w:tc>
          <w:tcPr>
            <w:tcW w:w="5057" w:type="dxa"/>
            <w:tcBorders>
              <w:top w:val="single" w:sz="4" w:space="0" w:color="44B3E1"/>
              <w:left w:val="nil"/>
              <w:bottom w:val="nil"/>
              <w:right w:val="nil"/>
            </w:tcBorders>
            <w:shd w:val="clear" w:color="C0E6F5" w:fill="C0E6F5"/>
            <w:noWrap/>
            <w:vAlign w:val="bottom"/>
            <w:hideMark/>
          </w:tcPr>
          <w:p w14:paraId="10C744A8" w14:textId="77777777" w:rsidR="00ED7CF0" w:rsidRPr="00ED7CF0" w:rsidRDefault="00ED7CF0" w:rsidP="00ED7CF0">
            <w:pPr>
              <w:spacing w:after="0" w:line="240" w:lineRule="auto"/>
              <w:jc w:val="right"/>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946</w:t>
            </w:r>
          </w:p>
        </w:tc>
      </w:tr>
    </w:tbl>
    <w:p w14:paraId="7993C611" w14:textId="77777777" w:rsidR="00ED7CF0" w:rsidRDefault="00ED7CF0"/>
    <w:p w14:paraId="27E74B76" w14:textId="77777777" w:rsidR="00ED7CF0" w:rsidRDefault="00ED7CF0"/>
    <w:tbl>
      <w:tblPr>
        <w:tblW w:w="5581" w:type="dxa"/>
        <w:tblLook w:val="04A0" w:firstRow="1" w:lastRow="0" w:firstColumn="1" w:lastColumn="0" w:noHBand="0" w:noVBand="1"/>
      </w:tblPr>
      <w:tblGrid>
        <w:gridCol w:w="2293"/>
        <w:gridCol w:w="735"/>
        <w:gridCol w:w="907"/>
        <w:gridCol w:w="744"/>
        <w:gridCol w:w="1221"/>
      </w:tblGrid>
      <w:tr w:rsidR="00ED7CF0" w:rsidRPr="00ED7CF0" w14:paraId="159CF370" w14:textId="77777777" w:rsidTr="00ED7CF0">
        <w:trPr>
          <w:trHeight w:val="315"/>
        </w:trPr>
        <w:tc>
          <w:tcPr>
            <w:tcW w:w="5581" w:type="dxa"/>
            <w:gridSpan w:val="5"/>
            <w:tcBorders>
              <w:top w:val="nil"/>
              <w:left w:val="nil"/>
              <w:bottom w:val="nil"/>
              <w:right w:val="nil"/>
            </w:tcBorders>
            <w:noWrap/>
            <w:vAlign w:val="bottom"/>
            <w:hideMark/>
          </w:tcPr>
          <w:p w14:paraId="45B39661" w14:textId="77777777" w:rsidR="00ED7CF0" w:rsidRPr="00ED7CF0" w:rsidRDefault="00ED7CF0" w:rsidP="00ED7CF0">
            <w:pPr>
              <w:spacing w:after="0" w:line="240" w:lineRule="auto"/>
              <w:rPr>
                <w:rFonts w:ascii="Merriweather-Light" w:eastAsia="Times New Roman" w:hAnsi="Merriweather-Light" w:cs="Times New Roman"/>
                <w:b/>
                <w:bCs/>
                <w:color w:val="000000"/>
                <w:sz w:val="24"/>
                <w:szCs w:val="24"/>
              </w:rPr>
            </w:pPr>
            <w:r w:rsidRPr="00ED7CF0">
              <w:rPr>
                <w:rFonts w:ascii="Merriweather-Light" w:eastAsia="Times New Roman" w:hAnsi="Merriweather-Light" w:cs="Times New Roman"/>
                <w:b/>
                <w:bCs/>
                <w:color w:val="000000"/>
                <w:sz w:val="24"/>
                <w:szCs w:val="24"/>
              </w:rPr>
              <w:t xml:space="preserve">Pay distribution of employees grouped by salary band per </w:t>
            </w:r>
            <w:proofErr w:type="gramStart"/>
            <w:r w:rsidRPr="00ED7CF0">
              <w:rPr>
                <w:rFonts w:ascii="Merriweather-Light" w:eastAsia="Times New Roman" w:hAnsi="Merriweather-Light" w:cs="Times New Roman"/>
                <w:b/>
                <w:bCs/>
                <w:color w:val="000000"/>
                <w:sz w:val="24"/>
                <w:szCs w:val="24"/>
              </w:rPr>
              <w:t>Region</w:t>
            </w:r>
            <w:proofErr w:type="gramEnd"/>
          </w:p>
        </w:tc>
      </w:tr>
      <w:tr w:rsidR="00ED7CF0" w:rsidRPr="00ED7CF0" w14:paraId="578E72CD" w14:textId="77777777" w:rsidTr="00ED7CF0">
        <w:trPr>
          <w:trHeight w:val="300"/>
        </w:trPr>
        <w:tc>
          <w:tcPr>
            <w:tcW w:w="2293" w:type="dxa"/>
            <w:tcBorders>
              <w:top w:val="nil"/>
              <w:left w:val="nil"/>
              <w:bottom w:val="nil"/>
              <w:right w:val="nil"/>
            </w:tcBorders>
            <w:noWrap/>
            <w:vAlign w:val="bottom"/>
            <w:hideMark/>
          </w:tcPr>
          <w:p w14:paraId="4133CE41" w14:textId="77777777" w:rsidR="00ED7CF0" w:rsidRPr="00ED7CF0" w:rsidRDefault="00ED7CF0" w:rsidP="00ED7CF0">
            <w:pPr>
              <w:spacing w:after="0" w:line="240" w:lineRule="auto"/>
              <w:rPr>
                <w:rFonts w:ascii="Merriweather-Light" w:eastAsia="Times New Roman" w:hAnsi="Merriweather-Light" w:cs="Times New Roman"/>
                <w:b/>
                <w:bCs/>
                <w:color w:val="000000"/>
                <w:sz w:val="24"/>
                <w:szCs w:val="24"/>
              </w:rPr>
            </w:pPr>
          </w:p>
        </w:tc>
        <w:tc>
          <w:tcPr>
            <w:tcW w:w="621" w:type="dxa"/>
            <w:tcBorders>
              <w:top w:val="nil"/>
              <w:left w:val="nil"/>
              <w:bottom w:val="nil"/>
              <w:right w:val="nil"/>
            </w:tcBorders>
            <w:noWrap/>
            <w:vAlign w:val="bottom"/>
            <w:hideMark/>
          </w:tcPr>
          <w:p w14:paraId="7B7C60C9"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815" w:type="dxa"/>
            <w:tcBorders>
              <w:top w:val="nil"/>
              <w:left w:val="nil"/>
              <w:bottom w:val="nil"/>
              <w:right w:val="nil"/>
            </w:tcBorders>
            <w:noWrap/>
            <w:vAlign w:val="bottom"/>
            <w:hideMark/>
          </w:tcPr>
          <w:p w14:paraId="6D9A02AB"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631" w:type="dxa"/>
            <w:tcBorders>
              <w:top w:val="nil"/>
              <w:left w:val="nil"/>
              <w:bottom w:val="nil"/>
              <w:right w:val="nil"/>
            </w:tcBorders>
            <w:noWrap/>
            <w:vAlign w:val="bottom"/>
            <w:hideMark/>
          </w:tcPr>
          <w:p w14:paraId="48653981" w14:textId="77777777" w:rsidR="00ED7CF0" w:rsidRPr="00ED7CF0" w:rsidRDefault="00ED7CF0" w:rsidP="00ED7CF0">
            <w:pPr>
              <w:spacing w:after="0" w:line="240" w:lineRule="auto"/>
              <w:rPr>
                <w:rFonts w:ascii="Times New Roman" w:eastAsia="Times New Roman" w:hAnsi="Times New Roman" w:cs="Times New Roman"/>
                <w:sz w:val="20"/>
                <w:szCs w:val="20"/>
              </w:rPr>
            </w:pPr>
          </w:p>
        </w:tc>
        <w:tc>
          <w:tcPr>
            <w:tcW w:w="1221" w:type="dxa"/>
            <w:tcBorders>
              <w:top w:val="nil"/>
              <w:left w:val="nil"/>
              <w:bottom w:val="nil"/>
              <w:right w:val="nil"/>
            </w:tcBorders>
            <w:noWrap/>
            <w:vAlign w:val="bottom"/>
            <w:hideMark/>
          </w:tcPr>
          <w:p w14:paraId="6E5BEC8B"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13E3170D" w14:textId="77777777" w:rsidTr="00ED7CF0">
        <w:trPr>
          <w:trHeight w:val="300"/>
        </w:trPr>
        <w:tc>
          <w:tcPr>
            <w:tcW w:w="2293" w:type="dxa"/>
            <w:tcBorders>
              <w:top w:val="nil"/>
              <w:left w:val="nil"/>
              <w:bottom w:val="nil"/>
              <w:right w:val="nil"/>
            </w:tcBorders>
            <w:shd w:val="clear" w:color="C0E6F5" w:fill="C0E6F5"/>
            <w:noWrap/>
            <w:vAlign w:val="bottom"/>
            <w:hideMark/>
          </w:tcPr>
          <w:p w14:paraId="0ED7084E"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Number of Employees</w:t>
            </w:r>
          </w:p>
        </w:tc>
        <w:tc>
          <w:tcPr>
            <w:tcW w:w="1436" w:type="dxa"/>
            <w:gridSpan w:val="2"/>
            <w:tcBorders>
              <w:top w:val="nil"/>
              <w:left w:val="nil"/>
              <w:bottom w:val="nil"/>
              <w:right w:val="nil"/>
            </w:tcBorders>
            <w:shd w:val="clear" w:color="C0E6F5" w:fill="C0E6F5"/>
            <w:noWrap/>
            <w:vAlign w:val="bottom"/>
            <w:hideMark/>
          </w:tcPr>
          <w:p w14:paraId="6A66460A"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Column Labels</w:t>
            </w:r>
          </w:p>
        </w:tc>
        <w:tc>
          <w:tcPr>
            <w:tcW w:w="631" w:type="dxa"/>
            <w:tcBorders>
              <w:top w:val="nil"/>
              <w:left w:val="nil"/>
              <w:bottom w:val="nil"/>
              <w:right w:val="nil"/>
            </w:tcBorders>
            <w:shd w:val="clear" w:color="C0E6F5" w:fill="C0E6F5"/>
            <w:noWrap/>
            <w:vAlign w:val="bottom"/>
            <w:hideMark/>
          </w:tcPr>
          <w:p w14:paraId="7099E631" w14:textId="77777777" w:rsidR="00ED7CF0" w:rsidRPr="00ED7CF0" w:rsidRDefault="00ED7CF0" w:rsidP="00ED7CF0">
            <w:pPr>
              <w:spacing w:after="0" w:line="240" w:lineRule="auto"/>
              <w:rPr>
                <w:rFonts w:ascii="Aptos Narrow" w:eastAsia="Times New Roman" w:hAnsi="Aptos Narrow" w:cs="Times New Roman"/>
                <w:b/>
                <w:bCs/>
                <w:color w:val="000000"/>
              </w:rPr>
            </w:pPr>
          </w:p>
        </w:tc>
        <w:tc>
          <w:tcPr>
            <w:tcW w:w="1221" w:type="dxa"/>
            <w:tcBorders>
              <w:top w:val="nil"/>
              <w:left w:val="nil"/>
              <w:bottom w:val="nil"/>
              <w:right w:val="nil"/>
            </w:tcBorders>
            <w:shd w:val="clear" w:color="C0E6F5" w:fill="C0E6F5"/>
            <w:noWrap/>
            <w:vAlign w:val="bottom"/>
            <w:hideMark/>
          </w:tcPr>
          <w:p w14:paraId="5B20C99B" w14:textId="77777777" w:rsidR="00ED7CF0" w:rsidRPr="00ED7CF0" w:rsidRDefault="00ED7CF0" w:rsidP="00ED7CF0">
            <w:pPr>
              <w:spacing w:after="0" w:line="240" w:lineRule="auto"/>
              <w:rPr>
                <w:rFonts w:ascii="Times New Roman" w:eastAsia="Times New Roman" w:hAnsi="Times New Roman" w:cs="Times New Roman"/>
                <w:sz w:val="20"/>
                <w:szCs w:val="20"/>
              </w:rPr>
            </w:pPr>
          </w:p>
        </w:tc>
      </w:tr>
      <w:tr w:rsidR="00ED7CF0" w:rsidRPr="00ED7CF0" w14:paraId="03E858A3" w14:textId="77777777" w:rsidTr="00ED7CF0">
        <w:trPr>
          <w:trHeight w:val="300"/>
        </w:trPr>
        <w:tc>
          <w:tcPr>
            <w:tcW w:w="2293" w:type="dxa"/>
            <w:tcBorders>
              <w:top w:val="nil"/>
              <w:left w:val="nil"/>
              <w:bottom w:val="single" w:sz="4" w:space="0" w:color="44B3E1"/>
              <w:right w:val="nil"/>
            </w:tcBorders>
            <w:shd w:val="clear" w:color="C0E6F5" w:fill="C0E6F5"/>
            <w:noWrap/>
            <w:vAlign w:val="bottom"/>
            <w:hideMark/>
          </w:tcPr>
          <w:p w14:paraId="09F81C1A"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Salary Band</w:t>
            </w:r>
          </w:p>
        </w:tc>
        <w:tc>
          <w:tcPr>
            <w:tcW w:w="621" w:type="dxa"/>
            <w:tcBorders>
              <w:top w:val="nil"/>
              <w:left w:val="nil"/>
              <w:bottom w:val="single" w:sz="4" w:space="0" w:color="44B3E1"/>
              <w:right w:val="nil"/>
            </w:tcBorders>
            <w:shd w:val="clear" w:color="C0E6F5" w:fill="C0E6F5"/>
            <w:noWrap/>
            <w:vAlign w:val="bottom"/>
            <w:hideMark/>
          </w:tcPr>
          <w:p w14:paraId="0E5AC4C6"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Abuja</w:t>
            </w:r>
          </w:p>
        </w:tc>
        <w:tc>
          <w:tcPr>
            <w:tcW w:w="815" w:type="dxa"/>
            <w:tcBorders>
              <w:top w:val="nil"/>
              <w:left w:val="nil"/>
              <w:bottom w:val="single" w:sz="4" w:space="0" w:color="44B3E1"/>
              <w:right w:val="nil"/>
            </w:tcBorders>
            <w:shd w:val="clear" w:color="C0E6F5" w:fill="C0E6F5"/>
            <w:noWrap/>
            <w:vAlign w:val="bottom"/>
            <w:hideMark/>
          </w:tcPr>
          <w:p w14:paraId="4B3BA3AA"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Kaduna</w:t>
            </w:r>
          </w:p>
        </w:tc>
        <w:tc>
          <w:tcPr>
            <w:tcW w:w="631" w:type="dxa"/>
            <w:tcBorders>
              <w:top w:val="nil"/>
              <w:left w:val="nil"/>
              <w:bottom w:val="single" w:sz="4" w:space="0" w:color="44B3E1"/>
              <w:right w:val="nil"/>
            </w:tcBorders>
            <w:shd w:val="clear" w:color="C0E6F5" w:fill="C0E6F5"/>
            <w:noWrap/>
            <w:vAlign w:val="bottom"/>
            <w:hideMark/>
          </w:tcPr>
          <w:p w14:paraId="4A029264"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Lagos</w:t>
            </w:r>
          </w:p>
        </w:tc>
        <w:tc>
          <w:tcPr>
            <w:tcW w:w="1221" w:type="dxa"/>
            <w:tcBorders>
              <w:top w:val="nil"/>
              <w:left w:val="nil"/>
              <w:bottom w:val="single" w:sz="4" w:space="0" w:color="44B3E1"/>
              <w:right w:val="nil"/>
            </w:tcBorders>
            <w:shd w:val="clear" w:color="C0E6F5" w:fill="C0E6F5"/>
            <w:noWrap/>
            <w:vAlign w:val="bottom"/>
            <w:hideMark/>
          </w:tcPr>
          <w:p w14:paraId="5FB6D3CD"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Grand Total</w:t>
            </w:r>
          </w:p>
        </w:tc>
      </w:tr>
      <w:tr w:rsidR="00ED7CF0" w:rsidRPr="00ED7CF0" w14:paraId="3A83619F" w14:textId="77777777" w:rsidTr="00ED7CF0">
        <w:trPr>
          <w:trHeight w:val="300"/>
        </w:trPr>
        <w:tc>
          <w:tcPr>
            <w:tcW w:w="2293" w:type="dxa"/>
            <w:tcBorders>
              <w:top w:val="nil"/>
              <w:left w:val="nil"/>
              <w:bottom w:val="nil"/>
              <w:right w:val="nil"/>
            </w:tcBorders>
            <w:noWrap/>
            <w:vAlign w:val="bottom"/>
            <w:hideMark/>
          </w:tcPr>
          <w:p w14:paraId="039D0DAE"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20000 - 30000</w:t>
            </w:r>
          </w:p>
        </w:tc>
        <w:tc>
          <w:tcPr>
            <w:tcW w:w="621" w:type="dxa"/>
            <w:tcBorders>
              <w:top w:val="nil"/>
              <w:left w:val="nil"/>
              <w:bottom w:val="nil"/>
              <w:right w:val="nil"/>
            </w:tcBorders>
            <w:noWrap/>
            <w:vAlign w:val="bottom"/>
            <w:hideMark/>
          </w:tcPr>
          <w:p w14:paraId="3B2282F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w:t>
            </w:r>
          </w:p>
        </w:tc>
        <w:tc>
          <w:tcPr>
            <w:tcW w:w="815" w:type="dxa"/>
            <w:tcBorders>
              <w:top w:val="nil"/>
              <w:left w:val="nil"/>
              <w:bottom w:val="nil"/>
              <w:right w:val="nil"/>
            </w:tcBorders>
            <w:noWrap/>
            <w:vAlign w:val="bottom"/>
            <w:hideMark/>
          </w:tcPr>
          <w:p w14:paraId="3607CEE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11</w:t>
            </w:r>
          </w:p>
        </w:tc>
        <w:tc>
          <w:tcPr>
            <w:tcW w:w="631" w:type="dxa"/>
            <w:tcBorders>
              <w:top w:val="nil"/>
              <w:left w:val="nil"/>
              <w:bottom w:val="nil"/>
              <w:right w:val="nil"/>
            </w:tcBorders>
            <w:noWrap/>
            <w:vAlign w:val="bottom"/>
            <w:hideMark/>
          </w:tcPr>
          <w:p w14:paraId="6499F140"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6</w:t>
            </w:r>
          </w:p>
        </w:tc>
        <w:tc>
          <w:tcPr>
            <w:tcW w:w="1221" w:type="dxa"/>
            <w:tcBorders>
              <w:top w:val="nil"/>
              <w:left w:val="nil"/>
              <w:bottom w:val="nil"/>
              <w:right w:val="nil"/>
            </w:tcBorders>
            <w:noWrap/>
            <w:vAlign w:val="bottom"/>
            <w:hideMark/>
          </w:tcPr>
          <w:p w14:paraId="00C902F7"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26</w:t>
            </w:r>
          </w:p>
        </w:tc>
      </w:tr>
      <w:tr w:rsidR="00ED7CF0" w:rsidRPr="00ED7CF0" w14:paraId="3071BDC0" w14:textId="77777777" w:rsidTr="00ED7CF0">
        <w:trPr>
          <w:trHeight w:val="300"/>
        </w:trPr>
        <w:tc>
          <w:tcPr>
            <w:tcW w:w="2293" w:type="dxa"/>
            <w:tcBorders>
              <w:top w:val="nil"/>
              <w:left w:val="nil"/>
              <w:bottom w:val="nil"/>
              <w:right w:val="nil"/>
            </w:tcBorders>
            <w:noWrap/>
            <w:vAlign w:val="bottom"/>
            <w:hideMark/>
          </w:tcPr>
          <w:p w14:paraId="5D44EAD3"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30000 - 40000</w:t>
            </w:r>
          </w:p>
        </w:tc>
        <w:tc>
          <w:tcPr>
            <w:tcW w:w="621" w:type="dxa"/>
            <w:tcBorders>
              <w:top w:val="nil"/>
              <w:left w:val="nil"/>
              <w:bottom w:val="nil"/>
              <w:right w:val="nil"/>
            </w:tcBorders>
            <w:noWrap/>
            <w:vAlign w:val="bottom"/>
            <w:hideMark/>
          </w:tcPr>
          <w:p w14:paraId="37F192B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37</w:t>
            </w:r>
          </w:p>
        </w:tc>
        <w:tc>
          <w:tcPr>
            <w:tcW w:w="815" w:type="dxa"/>
            <w:tcBorders>
              <w:top w:val="nil"/>
              <w:left w:val="nil"/>
              <w:bottom w:val="nil"/>
              <w:right w:val="nil"/>
            </w:tcBorders>
            <w:noWrap/>
            <w:vAlign w:val="bottom"/>
            <w:hideMark/>
          </w:tcPr>
          <w:p w14:paraId="49957BA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41</w:t>
            </w:r>
          </w:p>
        </w:tc>
        <w:tc>
          <w:tcPr>
            <w:tcW w:w="631" w:type="dxa"/>
            <w:tcBorders>
              <w:top w:val="nil"/>
              <w:left w:val="nil"/>
              <w:bottom w:val="nil"/>
              <w:right w:val="nil"/>
            </w:tcBorders>
            <w:noWrap/>
            <w:vAlign w:val="bottom"/>
            <w:hideMark/>
          </w:tcPr>
          <w:p w14:paraId="06B65A7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25</w:t>
            </w:r>
          </w:p>
        </w:tc>
        <w:tc>
          <w:tcPr>
            <w:tcW w:w="1221" w:type="dxa"/>
            <w:tcBorders>
              <w:top w:val="nil"/>
              <w:left w:val="nil"/>
              <w:bottom w:val="nil"/>
              <w:right w:val="nil"/>
            </w:tcBorders>
            <w:noWrap/>
            <w:vAlign w:val="bottom"/>
            <w:hideMark/>
          </w:tcPr>
          <w:p w14:paraId="1CBA418F"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103</w:t>
            </w:r>
          </w:p>
        </w:tc>
      </w:tr>
      <w:tr w:rsidR="00ED7CF0" w:rsidRPr="00ED7CF0" w14:paraId="488D6F93" w14:textId="77777777" w:rsidTr="00ED7CF0">
        <w:trPr>
          <w:trHeight w:val="300"/>
        </w:trPr>
        <w:tc>
          <w:tcPr>
            <w:tcW w:w="2293" w:type="dxa"/>
            <w:tcBorders>
              <w:top w:val="nil"/>
              <w:left w:val="nil"/>
              <w:bottom w:val="nil"/>
              <w:right w:val="nil"/>
            </w:tcBorders>
            <w:noWrap/>
            <w:vAlign w:val="bottom"/>
            <w:hideMark/>
          </w:tcPr>
          <w:p w14:paraId="16894E70"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40000 - 50000</w:t>
            </w:r>
          </w:p>
        </w:tc>
        <w:tc>
          <w:tcPr>
            <w:tcW w:w="621" w:type="dxa"/>
            <w:tcBorders>
              <w:top w:val="nil"/>
              <w:left w:val="nil"/>
              <w:bottom w:val="nil"/>
              <w:right w:val="nil"/>
            </w:tcBorders>
            <w:noWrap/>
            <w:vAlign w:val="bottom"/>
            <w:hideMark/>
          </w:tcPr>
          <w:p w14:paraId="2C92D071"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45</w:t>
            </w:r>
          </w:p>
        </w:tc>
        <w:tc>
          <w:tcPr>
            <w:tcW w:w="815" w:type="dxa"/>
            <w:tcBorders>
              <w:top w:val="nil"/>
              <w:left w:val="nil"/>
              <w:bottom w:val="nil"/>
              <w:right w:val="nil"/>
            </w:tcBorders>
            <w:noWrap/>
            <w:vAlign w:val="bottom"/>
            <w:hideMark/>
          </w:tcPr>
          <w:p w14:paraId="175349E8"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33</w:t>
            </w:r>
          </w:p>
        </w:tc>
        <w:tc>
          <w:tcPr>
            <w:tcW w:w="631" w:type="dxa"/>
            <w:tcBorders>
              <w:top w:val="nil"/>
              <w:left w:val="nil"/>
              <w:bottom w:val="nil"/>
              <w:right w:val="nil"/>
            </w:tcBorders>
            <w:noWrap/>
            <w:vAlign w:val="bottom"/>
            <w:hideMark/>
          </w:tcPr>
          <w:p w14:paraId="71470E5D"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27</w:t>
            </w:r>
          </w:p>
        </w:tc>
        <w:tc>
          <w:tcPr>
            <w:tcW w:w="1221" w:type="dxa"/>
            <w:tcBorders>
              <w:top w:val="nil"/>
              <w:left w:val="nil"/>
              <w:bottom w:val="nil"/>
              <w:right w:val="nil"/>
            </w:tcBorders>
            <w:noWrap/>
            <w:vAlign w:val="bottom"/>
            <w:hideMark/>
          </w:tcPr>
          <w:p w14:paraId="4DFEF1C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105</w:t>
            </w:r>
          </w:p>
        </w:tc>
      </w:tr>
      <w:tr w:rsidR="00ED7CF0" w:rsidRPr="00ED7CF0" w14:paraId="4A0D6D47" w14:textId="77777777" w:rsidTr="00ED7CF0">
        <w:trPr>
          <w:trHeight w:val="300"/>
        </w:trPr>
        <w:tc>
          <w:tcPr>
            <w:tcW w:w="2293" w:type="dxa"/>
            <w:tcBorders>
              <w:top w:val="nil"/>
              <w:left w:val="nil"/>
              <w:bottom w:val="nil"/>
              <w:right w:val="nil"/>
            </w:tcBorders>
            <w:noWrap/>
            <w:vAlign w:val="bottom"/>
            <w:hideMark/>
          </w:tcPr>
          <w:p w14:paraId="74FE3AE8"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50000 - 60000</w:t>
            </w:r>
          </w:p>
        </w:tc>
        <w:tc>
          <w:tcPr>
            <w:tcW w:w="621" w:type="dxa"/>
            <w:tcBorders>
              <w:top w:val="nil"/>
              <w:left w:val="nil"/>
              <w:bottom w:val="nil"/>
              <w:right w:val="nil"/>
            </w:tcBorders>
            <w:noWrap/>
            <w:vAlign w:val="bottom"/>
            <w:hideMark/>
          </w:tcPr>
          <w:p w14:paraId="5826D4AF"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37</w:t>
            </w:r>
          </w:p>
        </w:tc>
        <w:tc>
          <w:tcPr>
            <w:tcW w:w="815" w:type="dxa"/>
            <w:tcBorders>
              <w:top w:val="nil"/>
              <w:left w:val="nil"/>
              <w:bottom w:val="nil"/>
              <w:right w:val="nil"/>
            </w:tcBorders>
            <w:noWrap/>
            <w:vAlign w:val="bottom"/>
            <w:hideMark/>
          </w:tcPr>
          <w:p w14:paraId="64BA27E5"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41</w:t>
            </w:r>
          </w:p>
        </w:tc>
        <w:tc>
          <w:tcPr>
            <w:tcW w:w="631" w:type="dxa"/>
            <w:tcBorders>
              <w:top w:val="nil"/>
              <w:left w:val="nil"/>
              <w:bottom w:val="nil"/>
              <w:right w:val="nil"/>
            </w:tcBorders>
            <w:noWrap/>
            <w:vAlign w:val="bottom"/>
            <w:hideMark/>
          </w:tcPr>
          <w:p w14:paraId="549972BA"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18</w:t>
            </w:r>
          </w:p>
        </w:tc>
        <w:tc>
          <w:tcPr>
            <w:tcW w:w="1221" w:type="dxa"/>
            <w:tcBorders>
              <w:top w:val="nil"/>
              <w:left w:val="nil"/>
              <w:bottom w:val="nil"/>
              <w:right w:val="nil"/>
            </w:tcBorders>
            <w:noWrap/>
            <w:vAlign w:val="bottom"/>
            <w:hideMark/>
          </w:tcPr>
          <w:p w14:paraId="1DD3310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96</w:t>
            </w:r>
          </w:p>
        </w:tc>
      </w:tr>
      <w:tr w:rsidR="00ED7CF0" w:rsidRPr="00ED7CF0" w14:paraId="0BA3D709" w14:textId="77777777" w:rsidTr="00ED7CF0">
        <w:trPr>
          <w:trHeight w:val="300"/>
        </w:trPr>
        <w:tc>
          <w:tcPr>
            <w:tcW w:w="2293" w:type="dxa"/>
            <w:tcBorders>
              <w:top w:val="nil"/>
              <w:left w:val="nil"/>
              <w:bottom w:val="nil"/>
              <w:right w:val="nil"/>
            </w:tcBorders>
            <w:noWrap/>
            <w:vAlign w:val="bottom"/>
            <w:hideMark/>
          </w:tcPr>
          <w:p w14:paraId="0026276C"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60000 - 70000</w:t>
            </w:r>
          </w:p>
        </w:tc>
        <w:tc>
          <w:tcPr>
            <w:tcW w:w="621" w:type="dxa"/>
            <w:tcBorders>
              <w:top w:val="nil"/>
              <w:left w:val="nil"/>
              <w:bottom w:val="nil"/>
              <w:right w:val="nil"/>
            </w:tcBorders>
            <w:noWrap/>
            <w:vAlign w:val="bottom"/>
            <w:hideMark/>
          </w:tcPr>
          <w:p w14:paraId="52C2F98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36</w:t>
            </w:r>
          </w:p>
        </w:tc>
        <w:tc>
          <w:tcPr>
            <w:tcW w:w="815" w:type="dxa"/>
            <w:tcBorders>
              <w:top w:val="nil"/>
              <w:left w:val="nil"/>
              <w:bottom w:val="nil"/>
              <w:right w:val="nil"/>
            </w:tcBorders>
            <w:noWrap/>
            <w:vAlign w:val="bottom"/>
            <w:hideMark/>
          </w:tcPr>
          <w:p w14:paraId="1CEC9395"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37</w:t>
            </w:r>
          </w:p>
        </w:tc>
        <w:tc>
          <w:tcPr>
            <w:tcW w:w="631" w:type="dxa"/>
            <w:tcBorders>
              <w:top w:val="nil"/>
              <w:left w:val="nil"/>
              <w:bottom w:val="nil"/>
              <w:right w:val="nil"/>
            </w:tcBorders>
            <w:noWrap/>
            <w:vAlign w:val="bottom"/>
            <w:hideMark/>
          </w:tcPr>
          <w:p w14:paraId="3AE6789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26</w:t>
            </w:r>
          </w:p>
        </w:tc>
        <w:tc>
          <w:tcPr>
            <w:tcW w:w="1221" w:type="dxa"/>
            <w:tcBorders>
              <w:top w:val="nil"/>
              <w:left w:val="nil"/>
              <w:bottom w:val="nil"/>
              <w:right w:val="nil"/>
            </w:tcBorders>
            <w:noWrap/>
            <w:vAlign w:val="bottom"/>
            <w:hideMark/>
          </w:tcPr>
          <w:p w14:paraId="36AC50C8"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99</w:t>
            </w:r>
          </w:p>
        </w:tc>
      </w:tr>
      <w:tr w:rsidR="00ED7CF0" w:rsidRPr="00ED7CF0" w14:paraId="476F7F04" w14:textId="77777777" w:rsidTr="00ED7CF0">
        <w:trPr>
          <w:trHeight w:val="300"/>
        </w:trPr>
        <w:tc>
          <w:tcPr>
            <w:tcW w:w="2293" w:type="dxa"/>
            <w:tcBorders>
              <w:top w:val="nil"/>
              <w:left w:val="nil"/>
              <w:bottom w:val="nil"/>
              <w:right w:val="nil"/>
            </w:tcBorders>
            <w:noWrap/>
            <w:vAlign w:val="bottom"/>
            <w:hideMark/>
          </w:tcPr>
          <w:p w14:paraId="277D2799"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70000 - 80000</w:t>
            </w:r>
          </w:p>
        </w:tc>
        <w:tc>
          <w:tcPr>
            <w:tcW w:w="621" w:type="dxa"/>
            <w:tcBorders>
              <w:top w:val="nil"/>
              <w:left w:val="nil"/>
              <w:bottom w:val="nil"/>
              <w:right w:val="nil"/>
            </w:tcBorders>
            <w:noWrap/>
            <w:vAlign w:val="bottom"/>
            <w:hideMark/>
          </w:tcPr>
          <w:p w14:paraId="0764DC5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35</w:t>
            </w:r>
          </w:p>
        </w:tc>
        <w:tc>
          <w:tcPr>
            <w:tcW w:w="815" w:type="dxa"/>
            <w:tcBorders>
              <w:top w:val="nil"/>
              <w:left w:val="nil"/>
              <w:bottom w:val="nil"/>
              <w:right w:val="nil"/>
            </w:tcBorders>
            <w:noWrap/>
            <w:vAlign w:val="bottom"/>
            <w:hideMark/>
          </w:tcPr>
          <w:p w14:paraId="4364F10F"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48</w:t>
            </w:r>
          </w:p>
        </w:tc>
        <w:tc>
          <w:tcPr>
            <w:tcW w:w="631" w:type="dxa"/>
            <w:tcBorders>
              <w:top w:val="nil"/>
              <w:left w:val="nil"/>
              <w:bottom w:val="nil"/>
              <w:right w:val="nil"/>
            </w:tcBorders>
            <w:noWrap/>
            <w:vAlign w:val="bottom"/>
            <w:hideMark/>
          </w:tcPr>
          <w:p w14:paraId="128099E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34</w:t>
            </w:r>
          </w:p>
        </w:tc>
        <w:tc>
          <w:tcPr>
            <w:tcW w:w="1221" w:type="dxa"/>
            <w:tcBorders>
              <w:top w:val="nil"/>
              <w:left w:val="nil"/>
              <w:bottom w:val="nil"/>
              <w:right w:val="nil"/>
            </w:tcBorders>
            <w:noWrap/>
            <w:vAlign w:val="bottom"/>
            <w:hideMark/>
          </w:tcPr>
          <w:p w14:paraId="6A9DEBE4"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117</w:t>
            </w:r>
          </w:p>
        </w:tc>
      </w:tr>
      <w:tr w:rsidR="00ED7CF0" w:rsidRPr="00ED7CF0" w14:paraId="2F1BAC53" w14:textId="77777777" w:rsidTr="00ED7CF0">
        <w:trPr>
          <w:trHeight w:val="300"/>
        </w:trPr>
        <w:tc>
          <w:tcPr>
            <w:tcW w:w="2293" w:type="dxa"/>
            <w:tcBorders>
              <w:top w:val="nil"/>
              <w:left w:val="nil"/>
              <w:bottom w:val="nil"/>
              <w:right w:val="nil"/>
            </w:tcBorders>
            <w:noWrap/>
            <w:vAlign w:val="bottom"/>
            <w:hideMark/>
          </w:tcPr>
          <w:p w14:paraId="1B689997"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80000 - 90000</w:t>
            </w:r>
          </w:p>
        </w:tc>
        <w:tc>
          <w:tcPr>
            <w:tcW w:w="621" w:type="dxa"/>
            <w:tcBorders>
              <w:top w:val="nil"/>
              <w:left w:val="nil"/>
              <w:bottom w:val="nil"/>
              <w:right w:val="nil"/>
            </w:tcBorders>
            <w:noWrap/>
            <w:vAlign w:val="bottom"/>
            <w:hideMark/>
          </w:tcPr>
          <w:p w14:paraId="16D9073B"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39</w:t>
            </w:r>
          </w:p>
        </w:tc>
        <w:tc>
          <w:tcPr>
            <w:tcW w:w="815" w:type="dxa"/>
            <w:tcBorders>
              <w:top w:val="nil"/>
              <w:left w:val="nil"/>
              <w:bottom w:val="nil"/>
              <w:right w:val="nil"/>
            </w:tcBorders>
            <w:noWrap/>
            <w:vAlign w:val="bottom"/>
            <w:hideMark/>
          </w:tcPr>
          <w:p w14:paraId="1EF71FF4"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39</w:t>
            </w:r>
          </w:p>
        </w:tc>
        <w:tc>
          <w:tcPr>
            <w:tcW w:w="631" w:type="dxa"/>
            <w:tcBorders>
              <w:top w:val="nil"/>
              <w:left w:val="nil"/>
              <w:bottom w:val="nil"/>
              <w:right w:val="nil"/>
            </w:tcBorders>
            <w:noWrap/>
            <w:vAlign w:val="bottom"/>
            <w:hideMark/>
          </w:tcPr>
          <w:p w14:paraId="09918BF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30</w:t>
            </w:r>
          </w:p>
        </w:tc>
        <w:tc>
          <w:tcPr>
            <w:tcW w:w="1221" w:type="dxa"/>
            <w:tcBorders>
              <w:top w:val="nil"/>
              <w:left w:val="nil"/>
              <w:bottom w:val="nil"/>
              <w:right w:val="nil"/>
            </w:tcBorders>
            <w:noWrap/>
            <w:vAlign w:val="bottom"/>
            <w:hideMark/>
          </w:tcPr>
          <w:p w14:paraId="2FB4332A"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108</w:t>
            </w:r>
          </w:p>
        </w:tc>
      </w:tr>
      <w:tr w:rsidR="00ED7CF0" w:rsidRPr="00ED7CF0" w14:paraId="75DFB0E9" w14:textId="77777777" w:rsidTr="00ED7CF0">
        <w:trPr>
          <w:trHeight w:val="300"/>
        </w:trPr>
        <w:tc>
          <w:tcPr>
            <w:tcW w:w="2293" w:type="dxa"/>
            <w:tcBorders>
              <w:top w:val="nil"/>
              <w:left w:val="nil"/>
              <w:bottom w:val="nil"/>
              <w:right w:val="nil"/>
            </w:tcBorders>
            <w:noWrap/>
            <w:vAlign w:val="bottom"/>
            <w:hideMark/>
          </w:tcPr>
          <w:p w14:paraId="53AEAC5D"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90000 - 100000</w:t>
            </w:r>
          </w:p>
        </w:tc>
        <w:tc>
          <w:tcPr>
            <w:tcW w:w="621" w:type="dxa"/>
            <w:tcBorders>
              <w:top w:val="nil"/>
              <w:left w:val="nil"/>
              <w:bottom w:val="nil"/>
              <w:right w:val="nil"/>
            </w:tcBorders>
            <w:noWrap/>
            <w:vAlign w:val="bottom"/>
            <w:hideMark/>
          </w:tcPr>
          <w:p w14:paraId="6F175F2C"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29</w:t>
            </w:r>
          </w:p>
        </w:tc>
        <w:tc>
          <w:tcPr>
            <w:tcW w:w="815" w:type="dxa"/>
            <w:tcBorders>
              <w:top w:val="nil"/>
              <w:left w:val="nil"/>
              <w:bottom w:val="nil"/>
              <w:right w:val="nil"/>
            </w:tcBorders>
            <w:noWrap/>
            <w:vAlign w:val="bottom"/>
            <w:hideMark/>
          </w:tcPr>
          <w:p w14:paraId="6EAB10B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32</w:t>
            </w:r>
          </w:p>
        </w:tc>
        <w:tc>
          <w:tcPr>
            <w:tcW w:w="631" w:type="dxa"/>
            <w:tcBorders>
              <w:top w:val="nil"/>
              <w:left w:val="nil"/>
              <w:bottom w:val="nil"/>
              <w:right w:val="nil"/>
            </w:tcBorders>
            <w:noWrap/>
            <w:vAlign w:val="bottom"/>
            <w:hideMark/>
          </w:tcPr>
          <w:p w14:paraId="33AC644A"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29</w:t>
            </w:r>
          </w:p>
        </w:tc>
        <w:tc>
          <w:tcPr>
            <w:tcW w:w="1221" w:type="dxa"/>
            <w:tcBorders>
              <w:top w:val="nil"/>
              <w:left w:val="nil"/>
              <w:bottom w:val="nil"/>
              <w:right w:val="nil"/>
            </w:tcBorders>
            <w:noWrap/>
            <w:vAlign w:val="bottom"/>
            <w:hideMark/>
          </w:tcPr>
          <w:p w14:paraId="77904CD0"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90</w:t>
            </w:r>
          </w:p>
        </w:tc>
      </w:tr>
      <w:tr w:rsidR="00ED7CF0" w:rsidRPr="00ED7CF0" w14:paraId="6D853875" w14:textId="77777777" w:rsidTr="00ED7CF0">
        <w:trPr>
          <w:trHeight w:val="300"/>
        </w:trPr>
        <w:tc>
          <w:tcPr>
            <w:tcW w:w="2293" w:type="dxa"/>
            <w:tcBorders>
              <w:top w:val="nil"/>
              <w:left w:val="nil"/>
              <w:bottom w:val="nil"/>
              <w:right w:val="nil"/>
            </w:tcBorders>
            <w:noWrap/>
            <w:vAlign w:val="bottom"/>
            <w:hideMark/>
          </w:tcPr>
          <w:p w14:paraId="2192C379"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100000 - 110000</w:t>
            </w:r>
          </w:p>
        </w:tc>
        <w:tc>
          <w:tcPr>
            <w:tcW w:w="621" w:type="dxa"/>
            <w:tcBorders>
              <w:top w:val="nil"/>
              <w:left w:val="nil"/>
              <w:bottom w:val="nil"/>
              <w:right w:val="nil"/>
            </w:tcBorders>
            <w:noWrap/>
            <w:vAlign w:val="bottom"/>
            <w:hideMark/>
          </w:tcPr>
          <w:p w14:paraId="1661B0EE"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39</w:t>
            </w:r>
          </w:p>
        </w:tc>
        <w:tc>
          <w:tcPr>
            <w:tcW w:w="815" w:type="dxa"/>
            <w:tcBorders>
              <w:top w:val="nil"/>
              <w:left w:val="nil"/>
              <w:bottom w:val="nil"/>
              <w:right w:val="nil"/>
            </w:tcBorders>
            <w:noWrap/>
            <w:vAlign w:val="bottom"/>
            <w:hideMark/>
          </w:tcPr>
          <w:p w14:paraId="3CCD683D"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41</w:t>
            </w:r>
          </w:p>
        </w:tc>
        <w:tc>
          <w:tcPr>
            <w:tcW w:w="631" w:type="dxa"/>
            <w:tcBorders>
              <w:top w:val="nil"/>
              <w:left w:val="nil"/>
              <w:bottom w:val="nil"/>
              <w:right w:val="nil"/>
            </w:tcBorders>
            <w:noWrap/>
            <w:vAlign w:val="bottom"/>
            <w:hideMark/>
          </w:tcPr>
          <w:p w14:paraId="2F24B478"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25</w:t>
            </w:r>
          </w:p>
        </w:tc>
        <w:tc>
          <w:tcPr>
            <w:tcW w:w="1221" w:type="dxa"/>
            <w:tcBorders>
              <w:top w:val="nil"/>
              <w:left w:val="nil"/>
              <w:bottom w:val="nil"/>
              <w:right w:val="nil"/>
            </w:tcBorders>
            <w:noWrap/>
            <w:vAlign w:val="bottom"/>
            <w:hideMark/>
          </w:tcPr>
          <w:p w14:paraId="2E2C1DEF"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105</w:t>
            </w:r>
          </w:p>
        </w:tc>
      </w:tr>
      <w:tr w:rsidR="00ED7CF0" w:rsidRPr="00ED7CF0" w14:paraId="3992EC79" w14:textId="77777777" w:rsidTr="00ED7CF0">
        <w:trPr>
          <w:trHeight w:val="300"/>
        </w:trPr>
        <w:tc>
          <w:tcPr>
            <w:tcW w:w="2293" w:type="dxa"/>
            <w:tcBorders>
              <w:top w:val="nil"/>
              <w:left w:val="nil"/>
              <w:bottom w:val="nil"/>
              <w:right w:val="nil"/>
            </w:tcBorders>
            <w:noWrap/>
            <w:vAlign w:val="bottom"/>
            <w:hideMark/>
          </w:tcPr>
          <w:p w14:paraId="2AD3CA28" w14:textId="77777777" w:rsidR="00ED7CF0" w:rsidRPr="00ED7CF0" w:rsidRDefault="00ED7CF0" w:rsidP="00ED7CF0">
            <w:pPr>
              <w:spacing w:after="0" w:line="240" w:lineRule="auto"/>
              <w:rPr>
                <w:rFonts w:ascii="Aptos Narrow" w:eastAsia="Times New Roman" w:hAnsi="Aptos Narrow" w:cs="Times New Roman"/>
                <w:color w:val="000000"/>
              </w:rPr>
            </w:pPr>
            <w:r w:rsidRPr="00ED7CF0">
              <w:rPr>
                <w:rFonts w:ascii="Aptos Narrow" w:eastAsia="Times New Roman" w:hAnsi="Aptos Narrow" w:cs="Times New Roman"/>
                <w:color w:val="000000"/>
              </w:rPr>
              <w:t>110000 - 120000</w:t>
            </w:r>
          </w:p>
        </w:tc>
        <w:tc>
          <w:tcPr>
            <w:tcW w:w="621" w:type="dxa"/>
            <w:tcBorders>
              <w:top w:val="nil"/>
              <w:left w:val="nil"/>
              <w:bottom w:val="nil"/>
              <w:right w:val="nil"/>
            </w:tcBorders>
            <w:noWrap/>
            <w:vAlign w:val="bottom"/>
            <w:hideMark/>
          </w:tcPr>
          <w:p w14:paraId="19FF1881"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29</w:t>
            </w:r>
          </w:p>
        </w:tc>
        <w:tc>
          <w:tcPr>
            <w:tcW w:w="815" w:type="dxa"/>
            <w:tcBorders>
              <w:top w:val="nil"/>
              <w:left w:val="nil"/>
              <w:bottom w:val="nil"/>
              <w:right w:val="nil"/>
            </w:tcBorders>
            <w:noWrap/>
            <w:vAlign w:val="bottom"/>
            <w:hideMark/>
          </w:tcPr>
          <w:p w14:paraId="6A5BDAA3"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38</w:t>
            </w:r>
          </w:p>
        </w:tc>
        <w:tc>
          <w:tcPr>
            <w:tcW w:w="631" w:type="dxa"/>
            <w:tcBorders>
              <w:top w:val="nil"/>
              <w:left w:val="nil"/>
              <w:bottom w:val="nil"/>
              <w:right w:val="nil"/>
            </w:tcBorders>
            <w:noWrap/>
            <w:vAlign w:val="bottom"/>
            <w:hideMark/>
          </w:tcPr>
          <w:p w14:paraId="60DF8DE2"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30</w:t>
            </w:r>
          </w:p>
        </w:tc>
        <w:tc>
          <w:tcPr>
            <w:tcW w:w="1221" w:type="dxa"/>
            <w:tcBorders>
              <w:top w:val="nil"/>
              <w:left w:val="nil"/>
              <w:bottom w:val="nil"/>
              <w:right w:val="nil"/>
            </w:tcBorders>
            <w:noWrap/>
            <w:vAlign w:val="bottom"/>
            <w:hideMark/>
          </w:tcPr>
          <w:p w14:paraId="7B52FBCD" w14:textId="77777777" w:rsidR="00ED7CF0" w:rsidRPr="00ED7CF0" w:rsidRDefault="00ED7CF0" w:rsidP="00ED7CF0">
            <w:pPr>
              <w:spacing w:after="0" w:line="240" w:lineRule="auto"/>
              <w:jc w:val="right"/>
              <w:rPr>
                <w:rFonts w:ascii="Aptos Narrow" w:eastAsia="Times New Roman" w:hAnsi="Aptos Narrow" w:cs="Times New Roman"/>
                <w:color w:val="000000"/>
              </w:rPr>
            </w:pPr>
            <w:r w:rsidRPr="00ED7CF0">
              <w:rPr>
                <w:rFonts w:ascii="Aptos Narrow" w:eastAsia="Times New Roman" w:hAnsi="Aptos Narrow" w:cs="Times New Roman"/>
                <w:color w:val="000000"/>
              </w:rPr>
              <w:t>97</w:t>
            </w:r>
          </w:p>
        </w:tc>
      </w:tr>
      <w:tr w:rsidR="00ED7CF0" w:rsidRPr="00ED7CF0" w14:paraId="6DDF8501" w14:textId="77777777" w:rsidTr="00ED7CF0">
        <w:trPr>
          <w:trHeight w:val="300"/>
        </w:trPr>
        <w:tc>
          <w:tcPr>
            <w:tcW w:w="2293" w:type="dxa"/>
            <w:tcBorders>
              <w:top w:val="single" w:sz="4" w:space="0" w:color="44B3E1"/>
              <w:left w:val="nil"/>
              <w:bottom w:val="nil"/>
              <w:right w:val="nil"/>
            </w:tcBorders>
            <w:shd w:val="clear" w:color="C0E6F5" w:fill="C0E6F5"/>
            <w:noWrap/>
            <w:vAlign w:val="bottom"/>
            <w:hideMark/>
          </w:tcPr>
          <w:p w14:paraId="5486A151" w14:textId="77777777" w:rsidR="00ED7CF0" w:rsidRPr="00ED7CF0" w:rsidRDefault="00ED7CF0" w:rsidP="00ED7CF0">
            <w:pPr>
              <w:spacing w:after="0" w:line="240" w:lineRule="auto"/>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Grand Total</w:t>
            </w:r>
          </w:p>
        </w:tc>
        <w:tc>
          <w:tcPr>
            <w:tcW w:w="621" w:type="dxa"/>
            <w:tcBorders>
              <w:top w:val="single" w:sz="4" w:space="0" w:color="44B3E1"/>
              <w:left w:val="nil"/>
              <w:bottom w:val="nil"/>
              <w:right w:val="nil"/>
            </w:tcBorders>
            <w:shd w:val="clear" w:color="C0E6F5" w:fill="C0E6F5"/>
            <w:noWrap/>
            <w:vAlign w:val="bottom"/>
            <w:hideMark/>
          </w:tcPr>
          <w:p w14:paraId="4BE78594" w14:textId="77777777" w:rsidR="00ED7CF0" w:rsidRPr="00ED7CF0" w:rsidRDefault="00ED7CF0" w:rsidP="00ED7CF0">
            <w:pPr>
              <w:spacing w:after="0" w:line="240" w:lineRule="auto"/>
              <w:jc w:val="right"/>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335</w:t>
            </w:r>
          </w:p>
        </w:tc>
        <w:tc>
          <w:tcPr>
            <w:tcW w:w="815" w:type="dxa"/>
            <w:tcBorders>
              <w:top w:val="single" w:sz="4" w:space="0" w:color="44B3E1"/>
              <w:left w:val="nil"/>
              <w:bottom w:val="nil"/>
              <w:right w:val="nil"/>
            </w:tcBorders>
            <w:shd w:val="clear" w:color="C0E6F5" w:fill="C0E6F5"/>
            <w:noWrap/>
            <w:vAlign w:val="bottom"/>
            <w:hideMark/>
          </w:tcPr>
          <w:p w14:paraId="0BFC60DA" w14:textId="77777777" w:rsidR="00ED7CF0" w:rsidRPr="00ED7CF0" w:rsidRDefault="00ED7CF0" w:rsidP="00ED7CF0">
            <w:pPr>
              <w:spacing w:after="0" w:line="240" w:lineRule="auto"/>
              <w:jc w:val="right"/>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361</w:t>
            </w:r>
          </w:p>
        </w:tc>
        <w:tc>
          <w:tcPr>
            <w:tcW w:w="631" w:type="dxa"/>
            <w:tcBorders>
              <w:top w:val="single" w:sz="4" w:space="0" w:color="44B3E1"/>
              <w:left w:val="nil"/>
              <w:bottom w:val="nil"/>
              <w:right w:val="nil"/>
            </w:tcBorders>
            <w:shd w:val="clear" w:color="C0E6F5" w:fill="C0E6F5"/>
            <w:noWrap/>
            <w:vAlign w:val="bottom"/>
            <w:hideMark/>
          </w:tcPr>
          <w:p w14:paraId="6C1C35C1" w14:textId="77777777" w:rsidR="00ED7CF0" w:rsidRPr="00ED7CF0" w:rsidRDefault="00ED7CF0" w:rsidP="00ED7CF0">
            <w:pPr>
              <w:spacing w:after="0" w:line="240" w:lineRule="auto"/>
              <w:jc w:val="right"/>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250</w:t>
            </w:r>
          </w:p>
        </w:tc>
        <w:tc>
          <w:tcPr>
            <w:tcW w:w="1221" w:type="dxa"/>
            <w:tcBorders>
              <w:top w:val="single" w:sz="4" w:space="0" w:color="44B3E1"/>
              <w:left w:val="nil"/>
              <w:bottom w:val="nil"/>
              <w:right w:val="nil"/>
            </w:tcBorders>
            <w:shd w:val="clear" w:color="C0E6F5" w:fill="C0E6F5"/>
            <w:noWrap/>
            <w:vAlign w:val="bottom"/>
            <w:hideMark/>
          </w:tcPr>
          <w:p w14:paraId="11470D8D" w14:textId="77777777" w:rsidR="00ED7CF0" w:rsidRPr="00ED7CF0" w:rsidRDefault="00ED7CF0" w:rsidP="00ED7CF0">
            <w:pPr>
              <w:spacing w:after="0" w:line="240" w:lineRule="auto"/>
              <w:jc w:val="right"/>
              <w:rPr>
                <w:rFonts w:ascii="Aptos Narrow" w:eastAsia="Times New Roman" w:hAnsi="Aptos Narrow" w:cs="Times New Roman"/>
                <w:b/>
                <w:bCs/>
                <w:color w:val="000000"/>
              </w:rPr>
            </w:pPr>
            <w:r w:rsidRPr="00ED7CF0">
              <w:rPr>
                <w:rFonts w:ascii="Aptos Narrow" w:eastAsia="Times New Roman" w:hAnsi="Aptos Narrow" w:cs="Times New Roman"/>
                <w:b/>
                <w:bCs/>
                <w:color w:val="000000"/>
              </w:rPr>
              <w:t>946</w:t>
            </w:r>
          </w:p>
        </w:tc>
      </w:tr>
    </w:tbl>
    <w:p w14:paraId="0440D7CA" w14:textId="77777777" w:rsidR="00ED7CF0" w:rsidRDefault="00ED7CF0"/>
    <w:p w14:paraId="59F87A88" w14:textId="2BA2BB45" w:rsidR="00ED7CF0" w:rsidRDefault="00ED7CF0">
      <w:pPr>
        <w:rPr>
          <w:sz w:val="20"/>
          <w:szCs w:val="20"/>
        </w:rPr>
      </w:pPr>
    </w:p>
    <w:p w14:paraId="2261D7E1" w14:textId="77777777" w:rsidR="003478BA" w:rsidRDefault="003478BA">
      <w:pPr>
        <w:rPr>
          <w:sz w:val="20"/>
          <w:szCs w:val="20"/>
        </w:rPr>
      </w:pPr>
    </w:p>
    <w:p w14:paraId="075464A0" w14:textId="77777777" w:rsidR="003478BA" w:rsidRDefault="003478BA">
      <w:pPr>
        <w:rPr>
          <w:sz w:val="20"/>
          <w:szCs w:val="20"/>
        </w:rPr>
      </w:pPr>
    </w:p>
    <w:p w14:paraId="1204FC19" w14:textId="77777777" w:rsidR="003478BA" w:rsidRDefault="003478BA">
      <w:pPr>
        <w:rPr>
          <w:sz w:val="20"/>
          <w:szCs w:val="20"/>
        </w:rPr>
      </w:pPr>
    </w:p>
    <w:p w14:paraId="39DADBAA" w14:textId="77777777" w:rsidR="003478BA" w:rsidRDefault="003478BA">
      <w:pPr>
        <w:rPr>
          <w:sz w:val="20"/>
          <w:szCs w:val="20"/>
        </w:rPr>
      </w:pPr>
    </w:p>
    <w:p w14:paraId="0C460C02" w14:textId="77777777" w:rsidR="003478BA" w:rsidRDefault="003478BA">
      <w:pPr>
        <w:rPr>
          <w:sz w:val="20"/>
          <w:szCs w:val="20"/>
        </w:rPr>
      </w:pPr>
    </w:p>
    <w:p w14:paraId="2DE7C330" w14:textId="77777777" w:rsidR="003478BA" w:rsidRDefault="003478BA">
      <w:pPr>
        <w:rPr>
          <w:sz w:val="20"/>
          <w:szCs w:val="20"/>
        </w:rPr>
      </w:pPr>
    </w:p>
    <w:p w14:paraId="0DA01317" w14:textId="77777777" w:rsidR="003478BA" w:rsidRDefault="003478BA">
      <w:pPr>
        <w:rPr>
          <w:sz w:val="20"/>
          <w:szCs w:val="20"/>
        </w:rPr>
      </w:pPr>
    </w:p>
    <w:p w14:paraId="6338594F" w14:textId="77777777" w:rsidR="003478BA" w:rsidRDefault="003478BA">
      <w:pPr>
        <w:rPr>
          <w:sz w:val="20"/>
          <w:szCs w:val="20"/>
        </w:rPr>
      </w:pPr>
    </w:p>
    <w:p w14:paraId="0DF80754" w14:textId="77777777" w:rsidR="00912AA7" w:rsidRDefault="00912AA7">
      <w:pPr>
        <w:rPr>
          <w:sz w:val="20"/>
          <w:szCs w:val="20"/>
        </w:rPr>
      </w:pPr>
    </w:p>
    <w:p w14:paraId="04150F72" w14:textId="77777777" w:rsidR="00912AA7" w:rsidRDefault="00912AA7">
      <w:pPr>
        <w:rPr>
          <w:sz w:val="20"/>
          <w:szCs w:val="20"/>
        </w:rPr>
      </w:pPr>
    </w:p>
    <w:p w14:paraId="540157D7" w14:textId="77777777" w:rsidR="00912AA7" w:rsidRDefault="00912AA7">
      <w:pPr>
        <w:rPr>
          <w:sz w:val="20"/>
          <w:szCs w:val="20"/>
        </w:rPr>
      </w:pPr>
    </w:p>
    <w:p w14:paraId="0A2A25E1" w14:textId="77777777" w:rsidR="00912AA7" w:rsidRDefault="00912AA7">
      <w:pPr>
        <w:rPr>
          <w:sz w:val="20"/>
          <w:szCs w:val="20"/>
        </w:rPr>
      </w:pPr>
    </w:p>
    <w:p w14:paraId="106490DD" w14:textId="77777777" w:rsidR="00912AA7" w:rsidRDefault="00912AA7">
      <w:pPr>
        <w:rPr>
          <w:sz w:val="20"/>
          <w:szCs w:val="20"/>
        </w:rPr>
      </w:pPr>
    </w:p>
    <w:p w14:paraId="0657435C" w14:textId="7A6F6D00" w:rsidR="003478BA" w:rsidRPr="003478BA" w:rsidRDefault="003478BA">
      <w:pPr>
        <w:rPr>
          <w:b/>
          <w:bCs/>
          <w:sz w:val="28"/>
          <w:szCs w:val="28"/>
        </w:rPr>
      </w:pPr>
      <w:r w:rsidRPr="003478BA">
        <w:rPr>
          <w:b/>
          <w:bCs/>
          <w:sz w:val="28"/>
          <w:szCs w:val="28"/>
        </w:rPr>
        <w:t xml:space="preserve">                                          </w:t>
      </w:r>
      <w:r w:rsidRPr="003478BA">
        <w:rPr>
          <w:b/>
          <w:bCs/>
          <w:sz w:val="28"/>
          <w:szCs w:val="28"/>
        </w:rPr>
        <w:t>GENDER DISTRIBUTION</w:t>
      </w:r>
    </w:p>
    <w:tbl>
      <w:tblPr>
        <w:tblW w:w="8120" w:type="dxa"/>
        <w:tblLook w:val="04A0" w:firstRow="1" w:lastRow="0" w:firstColumn="1" w:lastColumn="0" w:noHBand="0" w:noVBand="1"/>
      </w:tblPr>
      <w:tblGrid>
        <w:gridCol w:w="1740"/>
        <w:gridCol w:w="1746"/>
        <w:gridCol w:w="659"/>
        <w:gridCol w:w="241"/>
        <w:gridCol w:w="1266"/>
        <w:gridCol w:w="493"/>
        <w:gridCol w:w="355"/>
        <w:gridCol w:w="1620"/>
      </w:tblGrid>
      <w:tr w:rsidR="003478BA" w:rsidRPr="003478BA" w14:paraId="6005E52F" w14:textId="77777777" w:rsidTr="003478BA">
        <w:trPr>
          <w:gridAfter w:val="2"/>
          <w:wAfter w:w="1975" w:type="dxa"/>
          <w:trHeight w:val="300"/>
        </w:trPr>
        <w:tc>
          <w:tcPr>
            <w:tcW w:w="4145" w:type="dxa"/>
            <w:gridSpan w:val="3"/>
            <w:tcBorders>
              <w:top w:val="nil"/>
              <w:left w:val="nil"/>
              <w:bottom w:val="nil"/>
              <w:right w:val="nil"/>
            </w:tcBorders>
            <w:noWrap/>
            <w:vAlign w:val="bottom"/>
            <w:hideMark/>
          </w:tcPr>
          <w:p w14:paraId="55EBA32C" w14:textId="51E223D8"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 xml:space="preserve">GENDER DISTRIBUTION BY REGION </w:t>
            </w:r>
          </w:p>
        </w:tc>
        <w:tc>
          <w:tcPr>
            <w:tcW w:w="2000" w:type="dxa"/>
            <w:gridSpan w:val="3"/>
            <w:tcBorders>
              <w:top w:val="nil"/>
              <w:left w:val="nil"/>
              <w:bottom w:val="nil"/>
              <w:right w:val="nil"/>
            </w:tcBorders>
            <w:noWrap/>
            <w:vAlign w:val="bottom"/>
            <w:hideMark/>
          </w:tcPr>
          <w:p w14:paraId="4BDFB3EA" w14:textId="77777777" w:rsidR="003478BA" w:rsidRPr="003478BA" w:rsidRDefault="003478BA" w:rsidP="003478BA">
            <w:pPr>
              <w:spacing w:after="0" w:line="240" w:lineRule="auto"/>
              <w:rPr>
                <w:rFonts w:ascii="Aptos Narrow" w:eastAsia="Times New Roman" w:hAnsi="Aptos Narrow" w:cs="Times New Roman"/>
                <w:b/>
                <w:bCs/>
                <w:color w:val="000000"/>
              </w:rPr>
            </w:pPr>
          </w:p>
        </w:tc>
      </w:tr>
      <w:tr w:rsidR="003478BA" w:rsidRPr="003478BA" w14:paraId="4F76EB95" w14:textId="77777777" w:rsidTr="003478BA">
        <w:trPr>
          <w:gridAfter w:val="2"/>
          <w:wAfter w:w="1975" w:type="dxa"/>
          <w:trHeight w:val="300"/>
        </w:trPr>
        <w:tc>
          <w:tcPr>
            <w:tcW w:w="1740" w:type="dxa"/>
            <w:tcBorders>
              <w:top w:val="nil"/>
              <w:left w:val="nil"/>
              <w:bottom w:val="nil"/>
              <w:right w:val="nil"/>
            </w:tcBorders>
            <w:noWrap/>
            <w:vAlign w:val="bottom"/>
            <w:hideMark/>
          </w:tcPr>
          <w:p w14:paraId="5D36195C"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1746" w:type="dxa"/>
            <w:tcBorders>
              <w:top w:val="nil"/>
              <w:left w:val="nil"/>
              <w:bottom w:val="nil"/>
              <w:right w:val="nil"/>
            </w:tcBorders>
            <w:noWrap/>
            <w:vAlign w:val="bottom"/>
            <w:hideMark/>
          </w:tcPr>
          <w:p w14:paraId="7F77BDBA"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659" w:type="dxa"/>
            <w:tcBorders>
              <w:top w:val="nil"/>
              <w:left w:val="nil"/>
              <w:bottom w:val="nil"/>
              <w:right w:val="nil"/>
            </w:tcBorders>
            <w:noWrap/>
            <w:vAlign w:val="bottom"/>
            <w:hideMark/>
          </w:tcPr>
          <w:p w14:paraId="2FB68A92"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2000" w:type="dxa"/>
            <w:gridSpan w:val="3"/>
            <w:tcBorders>
              <w:top w:val="nil"/>
              <w:left w:val="nil"/>
              <w:bottom w:val="nil"/>
              <w:right w:val="nil"/>
            </w:tcBorders>
            <w:noWrap/>
            <w:vAlign w:val="bottom"/>
            <w:hideMark/>
          </w:tcPr>
          <w:p w14:paraId="08EEE294" w14:textId="77777777" w:rsidR="003478BA" w:rsidRPr="003478BA" w:rsidRDefault="003478BA" w:rsidP="003478BA">
            <w:pPr>
              <w:spacing w:after="0" w:line="240" w:lineRule="auto"/>
              <w:rPr>
                <w:rFonts w:ascii="Times New Roman" w:eastAsia="Times New Roman" w:hAnsi="Times New Roman" w:cs="Times New Roman"/>
                <w:sz w:val="20"/>
                <w:szCs w:val="20"/>
              </w:rPr>
            </w:pPr>
          </w:p>
        </w:tc>
      </w:tr>
      <w:tr w:rsidR="003478BA" w:rsidRPr="003478BA" w14:paraId="35AB75F5" w14:textId="77777777" w:rsidTr="003478BA">
        <w:trPr>
          <w:gridAfter w:val="2"/>
          <w:wAfter w:w="1975" w:type="dxa"/>
          <w:trHeight w:val="300"/>
        </w:trPr>
        <w:tc>
          <w:tcPr>
            <w:tcW w:w="1740" w:type="dxa"/>
            <w:tcBorders>
              <w:top w:val="nil"/>
              <w:left w:val="nil"/>
              <w:bottom w:val="nil"/>
              <w:right w:val="nil"/>
            </w:tcBorders>
            <w:shd w:val="clear" w:color="C0E6F5" w:fill="C0E6F5"/>
            <w:noWrap/>
            <w:vAlign w:val="bottom"/>
            <w:hideMark/>
          </w:tcPr>
          <w:p w14:paraId="2038863A"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Count of Name</w:t>
            </w:r>
          </w:p>
        </w:tc>
        <w:tc>
          <w:tcPr>
            <w:tcW w:w="1746" w:type="dxa"/>
            <w:tcBorders>
              <w:top w:val="nil"/>
              <w:left w:val="nil"/>
              <w:bottom w:val="nil"/>
              <w:right w:val="nil"/>
            </w:tcBorders>
            <w:shd w:val="clear" w:color="C0E6F5" w:fill="C0E6F5"/>
            <w:noWrap/>
            <w:vAlign w:val="bottom"/>
            <w:hideMark/>
          </w:tcPr>
          <w:p w14:paraId="33822368"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Column Labels</w:t>
            </w:r>
          </w:p>
        </w:tc>
        <w:tc>
          <w:tcPr>
            <w:tcW w:w="659" w:type="dxa"/>
            <w:tcBorders>
              <w:top w:val="nil"/>
              <w:left w:val="nil"/>
              <w:bottom w:val="nil"/>
              <w:right w:val="nil"/>
            </w:tcBorders>
            <w:shd w:val="clear" w:color="C0E6F5" w:fill="C0E6F5"/>
            <w:noWrap/>
            <w:vAlign w:val="bottom"/>
            <w:hideMark/>
          </w:tcPr>
          <w:p w14:paraId="2295196F" w14:textId="77777777" w:rsidR="003478BA" w:rsidRPr="003478BA" w:rsidRDefault="003478BA" w:rsidP="003478BA">
            <w:pPr>
              <w:spacing w:after="0" w:line="240" w:lineRule="auto"/>
              <w:rPr>
                <w:rFonts w:ascii="Aptos Narrow" w:eastAsia="Times New Roman" w:hAnsi="Aptos Narrow" w:cs="Times New Roman"/>
                <w:b/>
                <w:bCs/>
                <w:color w:val="000000"/>
              </w:rPr>
            </w:pPr>
          </w:p>
        </w:tc>
        <w:tc>
          <w:tcPr>
            <w:tcW w:w="2000" w:type="dxa"/>
            <w:gridSpan w:val="3"/>
            <w:tcBorders>
              <w:top w:val="nil"/>
              <w:left w:val="nil"/>
              <w:bottom w:val="nil"/>
              <w:right w:val="nil"/>
            </w:tcBorders>
            <w:shd w:val="clear" w:color="C0E6F5" w:fill="C0E6F5"/>
            <w:noWrap/>
            <w:vAlign w:val="bottom"/>
            <w:hideMark/>
          </w:tcPr>
          <w:p w14:paraId="4CFD8A32" w14:textId="77777777" w:rsidR="003478BA" w:rsidRPr="003478BA" w:rsidRDefault="003478BA" w:rsidP="003478BA">
            <w:pPr>
              <w:spacing w:after="0" w:line="240" w:lineRule="auto"/>
              <w:rPr>
                <w:rFonts w:ascii="Times New Roman" w:eastAsia="Times New Roman" w:hAnsi="Times New Roman" w:cs="Times New Roman"/>
                <w:sz w:val="20"/>
                <w:szCs w:val="20"/>
              </w:rPr>
            </w:pPr>
          </w:p>
        </w:tc>
      </w:tr>
      <w:tr w:rsidR="003478BA" w:rsidRPr="003478BA" w14:paraId="62D086FB" w14:textId="77777777" w:rsidTr="003478BA">
        <w:trPr>
          <w:gridAfter w:val="2"/>
          <w:wAfter w:w="1975" w:type="dxa"/>
          <w:trHeight w:val="300"/>
        </w:trPr>
        <w:tc>
          <w:tcPr>
            <w:tcW w:w="1740" w:type="dxa"/>
            <w:tcBorders>
              <w:top w:val="nil"/>
              <w:left w:val="nil"/>
              <w:bottom w:val="single" w:sz="4" w:space="0" w:color="44B3E1"/>
              <w:right w:val="nil"/>
            </w:tcBorders>
            <w:shd w:val="clear" w:color="C0E6F5" w:fill="C0E6F5"/>
            <w:noWrap/>
            <w:vAlign w:val="bottom"/>
            <w:hideMark/>
          </w:tcPr>
          <w:p w14:paraId="0DD91106"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 xml:space="preserve">Gender </w:t>
            </w:r>
          </w:p>
        </w:tc>
        <w:tc>
          <w:tcPr>
            <w:tcW w:w="1746" w:type="dxa"/>
            <w:tcBorders>
              <w:top w:val="nil"/>
              <w:left w:val="nil"/>
              <w:bottom w:val="single" w:sz="4" w:space="0" w:color="44B3E1"/>
              <w:right w:val="nil"/>
            </w:tcBorders>
            <w:shd w:val="clear" w:color="C0E6F5" w:fill="C0E6F5"/>
            <w:noWrap/>
            <w:vAlign w:val="bottom"/>
            <w:hideMark/>
          </w:tcPr>
          <w:p w14:paraId="5B6EBE90"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Female</w:t>
            </w:r>
          </w:p>
        </w:tc>
        <w:tc>
          <w:tcPr>
            <w:tcW w:w="659" w:type="dxa"/>
            <w:tcBorders>
              <w:top w:val="nil"/>
              <w:left w:val="nil"/>
              <w:bottom w:val="single" w:sz="4" w:space="0" w:color="44B3E1"/>
              <w:right w:val="nil"/>
            </w:tcBorders>
            <w:shd w:val="clear" w:color="C0E6F5" w:fill="C0E6F5"/>
            <w:noWrap/>
            <w:vAlign w:val="bottom"/>
            <w:hideMark/>
          </w:tcPr>
          <w:p w14:paraId="42917AAC"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Male</w:t>
            </w:r>
          </w:p>
        </w:tc>
        <w:tc>
          <w:tcPr>
            <w:tcW w:w="2000" w:type="dxa"/>
            <w:gridSpan w:val="3"/>
            <w:tcBorders>
              <w:top w:val="nil"/>
              <w:left w:val="nil"/>
              <w:bottom w:val="single" w:sz="4" w:space="0" w:color="44B3E1"/>
              <w:right w:val="nil"/>
            </w:tcBorders>
            <w:shd w:val="clear" w:color="C0E6F5" w:fill="C0E6F5"/>
            <w:noWrap/>
            <w:vAlign w:val="bottom"/>
            <w:hideMark/>
          </w:tcPr>
          <w:p w14:paraId="621BE296"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Prefer not to say</w:t>
            </w:r>
          </w:p>
        </w:tc>
      </w:tr>
      <w:tr w:rsidR="003478BA" w:rsidRPr="003478BA" w14:paraId="641A3591" w14:textId="77777777" w:rsidTr="003478BA">
        <w:trPr>
          <w:gridAfter w:val="2"/>
          <w:wAfter w:w="1975" w:type="dxa"/>
          <w:trHeight w:val="300"/>
        </w:trPr>
        <w:tc>
          <w:tcPr>
            <w:tcW w:w="1740" w:type="dxa"/>
            <w:tcBorders>
              <w:top w:val="nil"/>
              <w:left w:val="nil"/>
              <w:bottom w:val="nil"/>
              <w:right w:val="nil"/>
            </w:tcBorders>
            <w:noWrap/>
            <w:vAlign w:val="bottom"/>
            <w:hideMark/>
          </w:tcPr>
          <w:p w14:paraId="74D73A00"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Abuja</w:t>
            </w:r>
          </w:p>
        </w:tc>
        <w:tc>
          <w:tcPr>
            <w:tcW w:w="1746" w:type="dxa"/>
            <w:tcBorders>
              <w:top w:val="nil"/>
              <w:left w:val="nil"/>
              <w:bottom w:val="nil"/>
              <w:right w:val="nil"/>
            </w:tcBorders>
            <w:noWrap/>
            <w:vAlign w:val="bottom"/>
            <w:hideMark/>
          </w:tcPr>
          <w:p w14:paraId="7FD904A3"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158</w:t>
            </w:r>
          </w:p>
        </w:tc>
        <w:tc>
          <w:tcPr>
            <w:tcW w:w="659" w:type="dxa"/>
            <w:tcBorders>
              <w:top w:val="nil"/>
              <w:left w:val="nil"/>
              <w:bottom w:val="nil"/>
              <w:right w:val="nil"/>
            </w:tcBorders>
            <w:noWrap/>
            <w:vAlign w:val="bottom"/>
            <w:hideMark/>
          </w:tcPr>
          <w:p w14:paraId="4393DE1F"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159</w:t>
            </w:r>
          </w:p>
        </w:tc>
        <w:tc>
          <w:tcPr>
            <w:tcW w:w="2000" w:type="dxa"/>
            <w:gridSpan w:val="3"/>
            <w:tcBorders>
              <w:top w:val="nil"/>
              <w:left w:val="nil"/>
              <w:bottom w:val="nil"/>
              <w:right w:val="nil"/>
            </w:tcBorders>
            <w:noWrap/>
            <w:vAlign w:val="bottom"/>
            <w:hideMark/>
          </w:tcPr>
          <w:p w14:paraId="1ABD1D50"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18</w:t>
            </w:r>
          </w:p>
        </w:tc>
      </w:tr>
      <w:tr w:rsidR="003478BA" w:rsidRPr="003478BA" w14:paraId="7484B7DE" w14:textId="77777777" w:rsidTr="003478BA">
        <w:trPr>
          <w:gridAfter w:val="2"/>
          <w:wAfter w:w="1975" w:type="dxa"/>
          <w:trHeight w:val="300"/>
        </w:trPr>
        <w:tc>
          <w:tcPr>
            <w:tcW w:w="1740" w:type="dxa"/>
            <w:tcBorders>
              <w:top w:val="nil"/>
              <w:left w:val="nil"/>
              <w:bottom w:val="nil"/>
              <w:right w:val="nil"/>
            </w:tcBorders>
            <w:noWrap/>
            <w:vAlign w:val="bottom"/>
            <w:hideMark/>
          </w:tcPr>
          <w:p w14:paraId="5C85DBA8"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Kaduna</w:t>
            </w:r>
          </w:p>
        </w:tc>
        <w:tc>
          <w:tcPr>
            <w:tcW w:w="1746" w:type="dxa"/>
            <w:tcBorders>
              <w:top w:val="nil"/>
              <w:left w:val="nil"/>
              <w:bottom w:val="nil"/>
              <w:right w:val="nil"/>
            </w:tcBorders>
            <w:noWrap/>
            <w:vAlign w:val="bottom"/>
            <w:hideMark/>
          </w:tcPr>
          <w:p w14:paraId="1648B006"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165</w:t>
            </w:r>
          </w:p>
        </w:tc>
        <w:tc>
          <w:tcPr>
            <w:tcW w:w="659" w:type="dxa"/>
            <w:tcBorders>
              <w:top w:val="nil"/>
              <w:left w:val="nil"/>
              <w:bottom w:val="nil"/>
              <w:right w:val="nil"/>
            </w:tcBorders>
            <w:noWrap/>
            <w:vAlign w:val="bottom"/>
            <w:hideMark/>
          </w:tcPr>
          <w:p w14:paraId="7D95908C"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182</w:t>
            </w:r>
          </w:p>
        </w:tc>
        <w:tc>
          <w:tcPr>
            <w:tcW w:w="2000" w:type="dxa"/>
            <w:gridSpan w:val="3"/>
            <w:tcBorders>
              <w:top w:val="nil"/>
              <w:left w:val="nil"/>
              <w:bottom w:val="nil"/>
              <w:right w:val="nil"/>
            </w:tcBorders>
            <w:noWrap/>
            <w:vAlign w:val="bottom"/>
            <w:hideMark/>
          </w:tcPr>
          <w:p w14:paraId="6DD737CD"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14</w:t>
            </w:r>
          </w:p>
        </w:tc>
      </w:tr>
      <w:tr w:rsidR="003478BA" w:rsidRPr="003478BA" w14:paraId="1D0B2280" w14:textId="77777777" w:rsidTr="003478BA">
        <w:trPr>
          <w:gridAfter w:val="2"/>
          <w:wAfter w:w="1975" w:type="dxa"/>
          <w:trHeight w:val="300"/>
        </w:trPr>
        <w:tc>
          <w:tcPr>
            <w:tcW w:w="1740" w:type="dxa"/>
            <w:tcBorders>
              <w:top w:val="nil"/>
              <w:left w:val="nil"/>
              <w:bottom w:val="nil"/>
              <w:right w:val="nil"/>
            </w:tcBorders>
            <w:noWrap/>
            <w:vAlign w:val="bottom"/>
            <w:hideMark/>
          </w:tcPr>
          <w:p w14:paraId="228EBE5B"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Lagos</w:t>
            </w:r>
          </w:p>
        </w:tc>
        <w:tc>
          <w:tcPr>
            <w:tcW w:w="1746" w:type="dxa"/>
            <w:tcBorders>
              <w:top w:val="nil"/>
              <w:left w:val="nil"/>
              <w:bottom w:val="nil"/>
              <w:right w:val="nil"/>
            </w:tcBorders>
            <w:noWrap/>
            <w:vAlign w:val="bottom"/>
            <w:hideMark/>
          </w:tcPr>
          <w:p w14:paraId="59296287"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118</w:t>
            </w:r>
          </w:p>
        </w:tc>
        <w:tc>
          <w:tcPr>
            <w:tcW w:w="659" w:type="dxa"/>
            <w:tcBorders>
              <w:top w:val="nil"/>
              <w:left w:val="nil"/>
              <w:bottom w:val="nil"/>
              <w:right w:val="nil"/>
            </w:tcBorders>
            <w:noWrap/>
            <w:vAlign w:val="bottom"/>
            <w:hideMark/>
          </w:tcPr>
          <w:p w14:paraId="23B5BB19"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124</w:t>
            </w:r>
          </w:p>
        </w:tc>
        <w:tc>
          <w:tcPr>
            <w:tcW w:w="2000" w:type="dxa"/>
            <w:gridSpan w:val="3"/>
            <w:tcBorders>
              <w:top w:val="nil"/>
              <w:left w:val="nil"/>
              <w:bottom w:val="nil"/>
              <w:right w:val="nil"/>
            </w:tcBorders>
            <w:noWrap/>
            <w:vAlign w:val="bottom"/>
            <w:hideMark/>
          </w:tcPr>
          <w:p w14:paraId="0DD770B2"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8</w:t>
            </w:r>
          </w:p>
        </w:tc>
      </w:tr>
      <w:tr w:rsidR="00912AA7" w:rsidRPr="003478BA" w14:paraId="2CFD7C21" w14:textId="77777777" w:rsidTr="003478BA">
        <w:trPr>
          <w:gridAfter w:val="2"/>
          <w:wAfter w:w="1975" w:type="dxa"/>
          <w:trHeight w:val="300"/>
        </w:trPr>
        <w:tc>
          <w:tcPr>
            <w:tcW w:w="1740" w:type="dxa"/>
            <w:tcBorders>
              <w:top w:val="nil"/>
              <w:left w:val="nil"/>
              <w:bottom w:val="nil"/>
              <w:right w:val="nil"/>
            </w:tcBorders>
            <w:noWrap/>
            <w:vAlign w:val="bottom"/>
          </w:tcPr>
          <w:p w14:paraId="0BE564E7" w14:textId="77777777" w:rsidR="00912AA7" w:rsidRDefault="00912AA7" w:rsidP="003478BA">
            <w:pPr>
              <w:spacing w:after="0" w:line="240" w:lineRule="auto"/>
              <w:rPr>
                <w:rFonts w:ascii="Aptos Narrow" w:eastAsia="Times New Roman" w:hAnsi="Aptos Narrow" w:cs="Times New Roman"/>
                <w:color w:val="000000"/>
              </w:rPr>
            </w:pPr>
          </w:p>
          <w:p w14:paraId="0FA02070" w14:textId="77777777" w:rsidR="00912AA7" w:rsidRPr="003478BA" w:rsidRDefault="00912AA7" w:rsidP="003478BA">
            <w:pPr>
              <w:spacing w:after="0" w:line="240" w:lineRule="auto"/>
              <w:rPr>
                <w:rFonts w:ascii="Aptos Narrow" w:eastAsia="Times New Roman" w:hAnsi="Aptos Narrow" w:cs="Times New Roman"/>
                <w:color w:val="000000"/>
              </w:rPr>
            </w:pPr>
          </w:p>
        </w:tc>
        <w:tc>
          <w:tcPr>
            <w:tcW w:w="1746" w:type="dxa"/>
            <w:tcBorders>
              <w:top w:val="nil"/>
              <w:left w:val="nil"/>
              <w:bottom w:val="nil"/>
              <w:right w:val="nil"/>
            </w:tcBorders>
            <w:noWrap/>
            <w:vAlign w:val="bottom"/>
          </w:tcPr>
          <w:p w14:paraId="0D092F46" w14:textId="77777777" w:rsidR="00912AA7" w:rsidRPr="003478BA" w:rsidRDefault="00912AA7" w:rsidP="003478BA">
            <w:pPr>
              <w:spacing w:after="0" w:line="240" w:lineRule="auto"/>
              <w:jc w:val="right"/>
              <w:rPr>
                <w:rFonts w:ascii="Aptos Narrow" w:eastAsia="Times New Roman" w:hAnsi="Aptos Narrow" w:cs="Times New Roman"/>
                <w:color w:val="000000"/>
              </w:rPr>
            </w:pPr>
          </w:p>
        </w:tc>
        <w:tc>
          <w:tcPr>
            <w:tcW w:w="659" w:type="dxa"/>
            <w:tcBorders>
              <w:top w:val="nil"/>
              <w:left w:val="nil"/>
              <w:bottom w:val="nil"/>
              <w:right w:val="nil"/>
            </w:tcBorders>
            <w:noWrap/>
            <w:vAlign w:val="bottom"/>
          </w:tcPr>
          <w:p w14:paraId="346747F4" w14:textId="77777777" w:rsidR="00912AA7" w:rsidRPr="003478BA" w:rsidRDefault="00912AA7" w:rsidP="003478BA">
            <w:pPr>
              <w:spacing w:after="0" w:line="240" w:lineRule="auto"/>
              <w:jc w:val="right"/>
              <w:rPr>
                <w:rFonts w:ascii="Aptos Narrow" w:eastAsia="Times New Roman" w:hAnsi="Aptos Narrow" w:cs="Times New Roman"/>
                <w:color w:val="000000"/>
              </w:rPr>
            </w:pPr>
          </w:p>
        </w:tc>
        <w:tc>
          <w:tcPr>
            <w:tcW w:w="2000" w:type="dxa"/>
            <w:gridSpan w:val="3"/>
            <w:tcBorders>
              <w:top w:val="nil"/>
              <w:left w:val="nil"/>
              <w:bottom w:val="nil"/>
              <w:right w:val="nil"/>
            </w:tcBorders>
            <w:noWrap/>
            <w:vAlign w:val="bottom"/>
          </w:tcPr>
          <w:p w14:paraId="794025F7" w14:textId="77777777" w:rsidR="00912AA7" w:rsidRPr="003478BA" w:rsidRDefault="00912AA7" w:rsidP="003478BA">
            <w:pPr>
              <w:spacing w:after="0" w:line="240" w:lineRule="auto"/>
              <w:jc w:val="right"/>
              <w:rPr>
                <w:rFonts w:ascii="Aptos Narrow" w:eastAsia="Times New Roman" w:hAnsi="Aptos Narrow" w:cs="Times New Roman"/>
                <w:color w:val="000000"/>
              </w:rPr>
            </w:pPr>
          </w:p>
        </w:tc>
      </w:tr>
      <w:tr w:rsidR="003478BA" w:rsidRPr="003478BA" w14:paraId="082FFB8B" w14:textId="77777777" w:rsidTr="003478BA">
        <w:trPr>
          <w:trHeight w:val="300"/>
        </w:trPr>
        <w:tc>
          <w:tcPr>
            <w:tcW w:w="6500" w:type="dxa"/>
            <w:gridSpan w:val="7"/>
            <w:tcBorders>
              <w:top w:val="nil"/>
              <w:left w:val="nil"/>
              <w:bottom w:val="nil"/>
              <w:right w:val="nil"/>
            </w:tcBorders>
            <w:noWrap/>
            <w:vAlign w:val="bottom"/>
            <w:hideMark/>
          </w:tcPr>
          <w:p w14:paraId="7BAB818F"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 xml:space="preserve">GENDER DISTRIBUTION BY DEPRATMENTS </w:t>
            </w:r>
          </w:p>
        </w:tc>
        <w:tc>
          <w:tcPr>
            <w:tcW w:w="1620" w:type="dxa"/>
            <w:tcBorders>
              <w:top w:val="nil"/>
              <w:left w:val="nil"/>
              <w:bottom w:val="nil"/>
              <w:right w:val="nil"/>
            </w:tcBorders>
            <w:noWrap/>
            <w:vAlign w:val="bottom"/>
            <w:hideMark/>
          </w:tcPr>
          <w:p w14:paraId="7D96405C" w14:textId="77777777" w:rsidR="003478BA" w:rsidRPr="003478BA" w:rsidRDefault="003478BA" w:rsidP="003478BA">
            <w:pPr>
              <w:spacing w:after="0" w:line="240" w:lineRule="auto"/>
              <w:rPr>
                <w:rFonts w:ascii="Aptos Narrow" w:eastAsia="Times New Roman" w:hAnsi="Aptos Narrow" w:cs="Times New Roman"/>
                <w:b/>
                <w:bCs/>
                <w:color w:val="000000"/>
              </w:rPr>
            </w:pPr>
          </w:p>
        </w:tc>
      </w:tr>
      <w:tr w:rsidR="003478BA" w:rsidRPr="003478BA" w14:paraId="3F2E1317" w14:textId="77777777" w:rsidTr="003478BA">
        <w:trPr>
          <w:trHeight w:val="300"/>
        </w:trPr>
        <w:tc>
          <w:tcPr>
            <w:tcW w:w="4386" w:type="dxa"/>
            <w:gridSpan w:val="4"/>
            <w:tcBorders>
              <w:top w:val="nil"/>
              <w:left w:val="nil"/>
              <w:bottom w:val="nil"/>
              <w:right w:val="nil"/>
            </w:tcBorders>
            <w:noWrap/>
            <w:vAlign w:val="bottom"/>
            <w:hideMark/>
          </w:tcPr>
          <w:p w14:paraId="33D1A930"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1266" w:type="dxa"/>
            <w:tcBorders>
              <w:top w:val="nil"/>
              <w:left w:val="nil"/>
              <w:bottom w:val="nil"/>
              <w:right w:val="nil"/>
            </w:tcBorders>
            <w:noWrap/>
            <w:vAlign w:val="bottom"/>
            <w:hideMark/>
          </w:tcPr>
          <w:p w14:paraId="0D5457EE"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848" w:type="dxa"/>
            <w:gridSpan w:val="2"/>
            <w:tcBorders>
              <w:top w:val="nil"/>
              <w:left w:val="nil"/>
              <w:bottom w:val="nil"/>
              <w:right w:val="nil"/>
            </w:tcBorders>
            <w:noWrap/>
            <w:vAlign w:val="bottom"/>
            <w:hideMark/>
          </w:tcPr>
          <w:p w14:paraId="77BDEF7E"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noWrap/>
            <w:vAlign w:val="bottom"/>
            <w:hideMark/>
          </w:tcPr>
          <w:p w14:paraId="4C99B127" w14:textId="77777777" w:rsidR="003478BA" w:rsidRPr="003478BA" w:rsidRDefault="003478BA" w:rsidP="003478BA">
            <w:pPr>
              <w:spacing w:after="0" w:line="240" w:lineRule="auto"/>
              <w:rPr>
                <w:rFonts w:ascii="Times New Roman" w:eastAsia="Times New Roman" w:hAnsi="Times New Roman" w:cs="Times New Roman"/>
                <w:sz w:val="20"/>
                <w:szCs w:val="20"/>
              </w:rPr>
            </w:pPr>
          </w:p>
        </w:tc>
      </w:tr>
      <w:tr w:rsidR="003478BA" w:rsidRPr="003478BA" w14:paraId="42A08CC8" w14:textId="77777777" w:rsidTr="003478BA">
        <w:trPr>
          <w:trHeight w:val="300"/>
        </w:trPr>
        <w:tc>
          <w:tcPr>
            <w:tcW w:w="4386" w:type="dxa"/>
            <w:gridSpan w:val="4"/>
            <w:tcBorders>
              <w:top w:val="nil"/>
              <w:left w:val="nil"/>
              <w:bottom w:val="nil"/>
              <w:right w:val="nil"/>
            </w:tcBorders>
            <w:shd w:val="clear" w:color="C0E6F5" w:fill="C0E6F5"/>
            <w:noWrap/>
            <w:vAlign w:val="bottom"/>
            <w:hideMark/>
          </w:tcPr>
          <w:p w14:paraId="659F1EBD"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DEPARTMENTS</w:t>
            </w:r>
          </w:p>
        </w:tc>
        <w:tc>
          <w:tcPr>
            <w:tcW w:w="1266" w:type="dxa"/>
            <w:tcBorders>
              <w:top w:val="nil"/>
              <w:left w:val="nil"/>
              <w:bottom w:val="nil"/>
              <w:right w:val="nil"/>
            </w:tcBorders>
            <w:shd w:val="clear" w:color="C0E6F5" w:fill="C0E6F5"/>
            <w:noWrap/>
            <w:vAlign w:val="bottom"/>
            <w:hideMark/>
          </w:tcPr>
          <w:p w14:paraId="246B1A25" w14:textId="77777777" w:rsidR="003478BA" w:rsidRPr="003478BA" w:rsidRDefault="003478BA" w:rsidP="003478BA">
            <w:pPr>
              <w:spacing w:after="0" w:line="240" w:lineRule="auto"/>
              <w:rPr>
                <w:rFonts w:ascii="Aptos Narrow" w:eastAsia="Times New Roman" w:hAnsi="Aptos Narrow" w:cs="Times New Roman"/>
                <w:b/>
                <w:bCs/>
                <w:color w:val="000000"/>
              </w:rPr>
            </w:pPr>
          </w:p>
        </w:tc>
        <w:tc>
          <w:tcPr>
            <w:tcW w:w="848" w:type="dxa"/>
            <w:gridSpan w:val="2"/>
            <w:tcBorders>
              <w:top w:val="nil"/>
              <w:left w:val="nil"/>
              <w:bottom w:val="nil"/>
              <w:right w:val="nil"/>
            </w:tcBorders>
            <w:shd w:val="clear" w:color="C0E6F5" w:fill="C0E6F5"/>
            <w:noWrap/>
            <w:vAlign w:val="bottom"/>
            <w:hideMark/>
          </w:tcPr>
          <w:p w14:paraId="3BD6BCFB"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1620" w:type="dxa"/>
            <w:tcBorders>
              <w:top w:val="nil"/>
              <w:left w:val="nil"/>
              <w:bottom w:val="nil"/>
              <w:right w:val="nil"/>
            </w:tcBorders>
            <w:shd w:val="clear" w:color="C0E6F5" w:fill="C0E6F5"/>
            <w:noWrap/>
            <w:vAlign w:val="bottom"/>
            <w:hideMark/>
          </w:tcPr>
          <w:p w14:paraId="381CC439" w14:textId="77777777" w:rsidR="003478BA" w:rsidRPr="003478BA" w:rsidRDefault="003478BA" w:rsidP="003478BA">
            <w:pPr>
              <w:spacing w:after="0" w:line="240" w:lineRule="auto"/>
              <w:rPr>
                <w:rFonts w:ascii="Times New Roman" w:eastAsia="Times New Roman" w:hAnsi="Times New Roman" w:cs="Times New Roman"/>
                <w:sz w:val="20"/>
                <w:szCs w:val="20"/>
              </w:rPr>
            </w:pPr>
          </w:p>
        </w:tc>
      </w:tr>
      <w:tr w:rsidR="003478BA" w:rsidRPr="003478BA" w14:paraId="5080F64D" w14:textId="77777777" w:rsidTr="003478BA">
        <w:trPr>
          <w:trHeight w:val="300"/>
        </w:trPr>
        <w:tc>
          <w:tcPr>
            <w:tcW w:w="4386" w:type="dxa"/>
            <w:gridSpan w:val="4"/>
            <w:tcBorders>
              <w:top w:val="nil"/>
              <w:left w:val="nil"/>
              <w:bottom w:val="single" w:sz="4" w:space="0" w:color="44B3E1"/>
              <w:right w:val="nil"/>
            </w:tcBorders>
            <w:shd w:val="clear" w:color="C0E6F5" w:fill="C0E6F5"/>
            <w:noWrap/>
            <w:vAlign w:val="bottom"/>
            <w:hideMark/>
          </w:tcPr>
          <w:p w14:paraId="2445B8D6" w14:textId="77777777" w:rsidR="003478BA" w:rsidRPr="003478BA" w:rsidRDefault="003478BA" w:rsidP="003478BA">
            <w:pPr>
              <w:spacing w:after="0" w:line="240" w:lineRule="auto"/>
              <w:rPr>
                <w:rFonts w:ascii="Times New Roman" w:eastAsia="Times New Roman" w:hAnsi="Times New Roman" w:cs="Times New Roman"/>
                <w:sz w:val="20"/>
                <w:szCs w:val="20"/>
              </w:rPr>
            </w:pPr>
          </w:p>
        </w:tc>
        <w:tc>
          <w:tcPr>
            <w:tcW w:w="1266" w:type="dxa"/>
            <w:tcBorders>
              <w:top w:val="nil"/>
              <w:left w:val="nil"/>
              <w:bottom w:val="single" w:sz="4" w:space="0" w:color="44B3E1"/>
              <w:right w:val="nil"/>
            </w:tcBorders>
            <w:shd w:val="clear" w:color="C0E6F5" w:fill="C0E6F5"/>
            <w:noWrap/>
            <w:vAlign w:val="bottom"/>
            <w:hideMark/>
          </w:tcPr>
          <w:p w14:paraId="21D0BDF7"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Female</w:t>
            </w:r>
          </w:p>
        </w:tc>
        <w:tc>
          <w:tcPr>
            <w:tcW w:w="848" w:type="dxa"/>
            <w:gridSpan w:val="2"/>
            <w:tcBorders>
              <w:top w:val="nil"/>
              <w:left w:val="nil"/>
              <w:bottom w:val="single" w:sz="4" w:space="0" w:color="44B3E1"/>
              <w:right w:val="nil"/>
            </w:tcBorders>
            <w:shd w:val="clear" w:color="C0E6F5" w:fill="C0E6F5"/>
            <w:noWrap/>
            <w:vAlign w:val="bottom"/>
            <w:hideMark/>
          </w:tcPr>
          <w:p w14:paraId="60146680"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Male</w:t>
            </w:r>
          </w:p>
        </w:tc>
        <w:tc>
          <w:tcPr>
            <w:tcW w:w="1620" w:type="dxa"/>
            <w:tcBorders>
              <w:top w:val="nil"/>
              <w:left w:val="nil"/>
              <w:bottom w:val="single" w:sz="4" w:space="0" w:color="44B3E1"/>
              <w:right w:val="nil"/>
            </w:tcBorders>
            <w:shd w:val="clear" w:color="C0E6F5" w:fill="C0E6F5"/>
            <w:noWrap/>
            <w:vAlign w:val="bottom"/>
            <w:hideMark/>
          </w:tcPr>
          <w:p w14:paraId="09AD1811" w14:textId="77777777" w:rsidR="003478BA" w:rsidRPr="003478BA" w:rsidRDefault="003478BA" w:rsidP="003478BA">
            <w:pPr>
              <w:spacing w:after="0" w:line="240" w:lineRule="auto"/>
              <w:rPr>
                <w:rFonts w:ascii="Aptos Narrow" w:eastAsia="Times New Roman" w:hAnsi="Aptos Narrow" w:cs="Times New Roman"/>
                <w:b/>
                <w:bCs/>
                <w:color w:val="000000"/>
              </w:rPr>
            </w:pPr>
            <w:r w:rsidRPr="003478BA">
              <w:rPr>
                <w:rFonts w:ascii="Aptos Narrow" w:eastAsia="Times New Roman" w:hAnsi="Aptos Narrow" w:cs="Times New Roman"/>
                <w:b/>
                <w:bCs/>
                <w:color w:val="000000"/>
              </w:rPr>
              <w:t>Prefer not to say</w:t>
            </w:r>
          </w:p>
        </w:tc>
      </w:tr>
      <w:tr w:rsidR="003478BA" w:rsidRPr="003478BA" w14:paraId="2C379430" w14:textId="77777777" w:rsidTr="003478BA">
        <w:trPr>
          <w:trHeight w:val="300"/>
        </w:trPr>
        <w:tc>
          <w:tcPr>
            <w:tcW w:w="4386" w:type="dxa"/>
            <w:gridSpan w:val="4"/>
            <w:tcBorders>
              <w:top w:val="nil"/>
              <w:left w:val="nil"/>
              <w:bottom w:val="nil"/>
              <w:right w:val="nil"/>
            </w:tcBorders>
            <w:noWrap/>
            <w:vAlign w:val="bottom"/>
            <w:hideMark/>
          </w:tcPr>
          <w:p w14:paraId="7E75D5AA"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Accounting</w:t>
            </w:r>
          </w:p>
        </w:tc>
        <w:tc>
          <w:tcPr>
            <w:tcW w:w="1266" w:type="dxa"/>
            <w:tcBorders>
              <w:top w:val="nil"/>
              <w:left w:val="nil"/>
              <w:bottom w:val="nil"/>
              <w:right w:val="nil"/>
            </w:tcBorders>
            <w:noWrap/>
            <w:vAlign w:val="bottom"/>
            <w:hideMark/>
          </w:tcPr>
          <w:p w14:paraId="0992D7F7"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28</w:t>
            </w:r>
          </w:p>
        </w:tc>
        <w:tc>
          <w:tcPr>
            <w:tcW w:w="848" w:type="dxa"/>
            <w:gridSpan w:val="2"/>
            <w:tcBorders>
              <w:top w:val="nil"/>
              <w:left w:val="nil"/>
              <w:bottom w:val="nil"/>
              <w:right w:val="nil"/>
            </w:tcBorders>
            <w:noWrap/>
            <w:vAlign w:val="bottom"/>
            <w:hideMark/>
          </w:tcPr>
          <w:p w14:paraId="6173E649"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37</w:t>
            </w:r>
          </w:p>
        </w:tc>
        <w:tc>
          <w:tcPr>
            <w:tcW w:w="1620" w:type="dxa"/>
            <w:tcBorders>
              <w:top w:val="nil"/>
              <w:left w:val="nil"/>
              <w:bottom w:val="nil"/>
              <w:right w:val="nil"/>
            </w:tcBorders>
            <w:noWrap/>
            <w:vAlign w:val="bottom"/>
            <w:hideMark/>
          </w:tcPr>
          <w:p w14:paraId="36566A4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2</w:t>
            </w:r>
          </w:p>
        </w:tc>
      </w:tr>
      <w:tr w:rsidR="003478BA" w:rsidRPr="003478BA" w14:paraId="307E380A" w14:textId="77777777" w:rsidTr="003478BA">
        <w:trPr>
          <w:trHeight w:val="300"/>
        </w:trPr>
        <w:tc>
          <w:tcPr>
            <w:tcW w:w="4386" w:type="dxa"/>
            <w:gridSpan w:val="4"/>
            <w:tcBorders>
              <w:top w:val="nil"/>
              <w:left w:val="nil"/>
              <w:bottom w:val="nil"/>
              <w:right w:val="nil"/>
            </w:tcBorders>
            <w:noWrap/>
            <w:vAlign w:val="bottom"/>
            <w:hideMark/>
          </w:tcPr>
          <w:p w14:paraId="6B3CB4F9"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Business Development</w:t>
            </w:r>
          </w:p>
        </w:tc>
        <w:tc>
          <w:tcPr>
            <w:tcW w:w="1266" w:type="dxa"/>
            <w:tcBorders>
              <w:top w:val="nil"/>
              <w:left w:val="nil"/>
              <w:bottom w:val="nil"/>
              <w:right w:val="nil"/>
            </w:tcBorders>
            <w:noWrap/>
            <w:vAlign w:val="bottom"/>
            <w:hideMark/>
          </w:tcPr>
          <w:p w14:paraId="12F7B5DC"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41</w:t>
            </w:r>
          </w:p>
        </w:tc>
        <w:tc>
          <w:tcPr>
            <w:tcW w:w="848" w:type="dxa"/>
            <w:gridSpan w:val="2"/>
            <w:tcBorders>
              <w:top w:val="nil"/>
              <w:left w:val="nil"/>
              <w:bottom w:val="nil"/>
              <w:right w:val="nil"/>
            </w:tcBorders>
            <w:noWrap/>
            <w:vAlign w:val="bottom"/>
            <w:hideMark/>
          </w:tcPr>
          <w:p w14:paraId="44088712"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37</w:t>
            </w:r>
          </w:p>
        </w:tc>
        <w:tc>
          <w:tcPr>
            <w:tcW w:w="1620" w:type="dxa"/>
            <w:tcBorders>
              <w:top w:val="nil"/>
              <w:left w:val="nil"/>
              <w:bottom w:val="nil"/>
              <w:right w:val="nil"/>
            </w:tcBorders>
            <w:noWrap/>
            <w:vAlign w:val="bottom"/>
            <w:hideMark/>
          </w:tcPr>
          <w:p w14:paraId="1632A8B0"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w:t>
            </w:r>
          </w:p>
        </w:tc>
      </w:tr>
      <w:tr w:rsidR="003478BA" w:rsidRPr="003478BA" w14:paraId="61276E49" w14:textId="77777777" w:rsidTr="003478BA">
        <w:trPr>
          <w:trHeight w:val="300"/>
        </w:trPr>
        <w:tc>
          <w:tcPr>
            <w:tcW w:w="4386" w:type="dxa"/>
            <w:gridSpan w:val="4"/>
            <w:tcBorders>
              <w:top w:val="nil"/>
              <w:left w:val="nil"/>
              <w:bottom w:val="nil"/>
              <w:right w:val="nil"/>
            </w:tcBorders>
            <w:noWrap/>
            <w:vAlign w:val="bottom"/>
            <w:hideMark/>
          </w:tcPr>
          <w:p w14:paraId="753891C6"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Engineering</w:t>
            </w:r>
          </w:p>
        </w:tc>
        <w:tc>
          <w:tcPr>
            <w:tcW w:w="1266" w:type="dxa"/>
            <w:tcBorders>
              <w:top w:val="nil"/>
              <w:left w:val="nil"/>
              <w:bottom w:val="nil"/>
              <w:right w:val="nil"/>
            </w:tcBorders>
            <w:noWrap/>
            <w:vAlign w:val="bottom"/>
            <w:hideMark/>
          </w:tcPr>
          <w:p w14:paraId="163D5756"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38</w:t>
            </w:r>
          </w:p>
        </w:tc>
        <w:tc>
          <w:tcPr>
            <w:tcW w:w="848" w:type="dxa"/>
            <w:gridSpan w:val="2"/>
            <w:tcBorders>
              <w:top w:val="nil"/>
              <w:left w:val="nil"/>
              <w:bottom w:val="nil"/>
              <w:right w:val="nil"/>
            </w:tcBorders>
            <w:noWrap/>
            <w:vAlign w:val="bottom"/>
            <w:hideMark/>
          </w:tcPr>
          <w:p w14:paraId="4A4C423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36</w:t>
            </w:r>
          </w:p>
        </w:tc>
        <w:tc>
          <w:tcPr>
            <w:tcW w:w="1620" w:type="dxa"/>
            <w:tcBorders>
              <w:top w:val="nil"/>
              <w:left w:val="nil"/>
              <w:bottom w:val="nil"/>
              <w:right w:val="nil"/>
            </w:tcBorders>
            <w:noWrap/>
            <w:vAlign w:val="bottom"/>
            <w:hideMark/>
          </w:tcPr>
          <w:p w14:paraId="6A949510"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6</w:t>
            </w:r>
          </w:p>
        </w:tc>
      </w:tr>
      <w:tr w:rsidR="003478BA" w:rsidRPr="003478BA" w14:paraId="4B066453" w14:textId="77777777" w:rsidTr="003478BA">
        <w:trPr>
          <w:trHeight w:val="300"/>
        </w:trPr>
        <w:tc>
          <w:tcPr>
            <w:tcW w:w="4386" w:type="dxa"/>
            <w:gridSpan w:val="4"/>
            <w:tcBorders>
              <w:top w:val="nil"/>
              <w:left w:val="nil"/>
              <w:bottom w:val="nil"/>
              <w:right w:val="nil"/>
            </w:tcBorders>
            <w:noWrap/>
            <w:vAlign w:val="bottom"/>
            <w:hideMark/>
          </w:tcPr>
          <w:p w14:paraId="40BEE0CE"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Human Resources</w:t>
            </w:r>
          </w:p>
        </w:tc>
        <w:tc>
          <w:tcPr>
            <w:tcW w:w="1266" w:type="dxa"/>
            <w:tcBorders>
              <w:top w:val="nil"/>
              <w:left w:val="nil"/>
              <w:bottom w:val="nil"/>
              <w:right w:val="nil"/>
            </w:tcBorders>
            <w:noWrap/>
            <w:vAlign w:val="bottom"/>
            <w:hideMark/>
          </w:tcPr>
          <w:p w14:paraId="75C30318"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41</w:t>
            </w:r>
          </w:p>
        </w:tc>
        <w:tc>
          <w:tcPr>
            <w:tcW w:w="848" w:type="dxa"/>
            <w:gridSpan w:val="2"/>
            <w:tcBorders>
              <w:top w:val="nil"/>
              <w:left w:val="nil"/>
              <w:bottom w:val="nil"/>
              <w:right w:val="nil"/>
            </w:tcBorders>
            <w:noWrap/>
            <w:vAlign w:val="bottom"/>
            <w:hideMark/>
          </w:tcPr>
          <w:p w14:paraId="555A9BC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38</w:t>
            </w:r>
          </w:p>
        </w:tc>
        <w:tc>
          <w:tcPr>
            <w:tcW w:w="1620" w:type="dxa"/>
            <w:tcBorders>
              <w:top w:val="nil"/>
              <w:left w:val="nil"/>
              <w:bottom w:val="nil"/>
              <w:right w:val="nil"/>
            </w:tcBorders>
            <w:noWrap/>
            <w:vAlign w:val="bottom"/>
            <w:hideMark/>
          </w:tcPr>
          <w:p w14:paraId="10168559"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w:t>
            </w:r>
          </w:p>
        </w:tc>
      </w:tr>
      <w:tr w:rsidR="003478BA" w:rsidRPr="003478BA" w14:paraId="2F5E1BB5" w14:textId="77777777" w:rsidTr="003478BA">
        <w:trPr>
          <w:trHeight w:val="300"/>
        </w:trPr>
        <w:tc>
          <w:tcPr>
            <w:tcW w:w="4386" w:type="dxa"/>
            <w:gridSpan w:val="4"/>
            <w:tcBorders>
              <w:top w:val="nil"/>
              <w:left w:val="nil"/>
              <w:bottom w:val="nil"/>
              <w:right w:val="nil"/>
            </w:tcBorders>
            <w:noWrap/>
            <w:vAlign w:val="bottom"/>
            <w:hideMark/>
          </w:tcPr>
          <w:p w14:paraId="4F439872"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Legal</w:t>
            </w:r>
          </w:p>
        </w:tc>
        <w:tc>
          <w:tcPr>
            <w:tcW w:w="1266" w:type="dxa"/>
            <w:tcBorders>
              <w:top w:val="nil"/>
              <w:left w:val="nil"/>
              <w:bottom w:val="nil"/>
              <w:right w:val="nil"/>
            </w:tcBorders>
            <w:noWrap/>
            <w:vAlign w:val="bottom"/>
            <w:hideMark/>
          </w:tcPr>
          <w:p w14:paraId="6F3C3483"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34</w:t>
            </w:r>
          </w:p>
        </w:tc>
        <w:tc>
          <w:tcPr>
            <w:tcW w:w="848" w:type="dxa"/>
            <w:gridSpan w:val="2"/>
            <w:tcBorders>
              <w:top w:val="nil"/>
              <w:left w:val="nil"/>
              <w:bottom w:val="nil"/>
              <w:right w:val="nil"/>
            </w:tcBorders>
            <w:noWrap/>
            <w:vAlign w:val="bottom"/>
            <w:hideMark/>
          </w:tcPr>
          <w:p w14:paraId="73B7836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49</w:t>
            </w:r>
          </w:p>
        </w:tc>
        <w:tc>
          <w:tcPr>
            <w:tcW w:w="1620" w:type="dxa"/>
            <w:tcBorders>
              <w:top w:val="nil"/>
              <w:left w:val="nil"/>
              <w:bottom w:val="nil"/>
              <w:right w:val="nil"/>
            </w:tcBorders>
            <w:noWrap/>
            <w:vAlign w:val="bottom"/>
            <w:hideMark/>
          </w:tcPr>
          <w:p w14:paraId="623892A1"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5</w:t>
            </w:r>
          </w:p>
        </w:tc>
      </w:tr>
      <w:tr w:rsidR="003478BA" w:rsidRPr="003478BA" w14:paraId="444D3194" w14:textId="77777777" w:rsidTr="003478BA">
        <w:trPr>
          <w:trHeight w:val="300"/>
        </w:trPr>
        <w:tc>
          <w:tcPr>
            <w:tcW w:w="4386" w:type="dxa"/>
            <w:gridSpan w:val="4"/>
            <w:tcBorders>
              <w:top w:val="nil"/>
              <w:left w:val="nil"/>
              <w:bottom w:val="nil"/>
              <w:right w:val="nil"/>
            </w:tcBorders>
            <w:noWrap/>
            <w:vAlign w:val="bottom"/>
            <w:hideMark/>
          </w:tcPr>
          <w:p w14:paraId="4859B3D6"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Marketing</w:t>
            </w:r>
          </w:p>
        </w:tc>
        <w:tc>
          <w:tcPr>
            <w:tcW w:w="1266" w:type="dxa"/>
            <w:tcBorders>
              <w:top w:val="nil"/>
              <w:left w:val="nil"/>
              <w:bottom w:val="nil"/>
              <w:right w:val="nil"/>
            </w:tcBorders>
            <w:noWrap/>
            <w:vAlign w:val="bottom"/>
            <w:hideMark/>
          </w:tcPr>
          <w:p w14:paraId="345504B7"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31</w:t>
            </w:r>
          </w:p>
        </w:tc>
        <w:tc>
          <w:tcPr>
            <w:tcW w:w="848" w:type="dxa"/>
            <w:gridSpan w:val="2"/>
            <w:tcBorders>
              <w:top w:val="nil"/>
              <w:left w:val="nil"/>
              <w:bottom w:val="nil"/>
              <w:right w:val="nil"/>
            </w:tcBorders>
            <w:noWrap/>
            <w:vAlign w:val="bottom"/>
            <w:hideMark/>
          </w:tcPr>
          <w:p w14:paraId="3CA2B081"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33</w:t>
            </w:r>
          </w:p>
        </w:tc>
        <w:tc>
          <w:tcPr>
            <w:tcW w:w="1620" w:type="dxa"/>
            <w:tcBorders>
              <w:top w:val="nil"/>
              <w:left w:val="nil"/>
              <w:bottom w:val="nil"/>
              <w:right w:val="nil"/>
            </w:tcBorders>
            <w:noWrap/>
            <w:vAlign w:val="bottom"/>
            <w:hideMark/>
          </w:tcPr>
          <w:p w14:paraId="485A1E67"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w:t>
            </w:r>
          </w:p>
        </w:tc>
      </w:tr>
      <w:tr w:rsidR="003478BA" w:rsidRPr="003478BA" w14:paraId="6CC34734" w14:textId="77777777" w:rsidTr="003478BA">
        <w:trPr>
          <w:trHeight w:val="300"/>
        </w:trPr>
        <w:tc>
          <w:tcPr>
            <w:tcW w:w="4386" w:type="dxa"/>
            <w:gridSpan w:val="4"/>
            <w:tcBorders>
              <w:top w:val="nil"/>
              <w:left w:val="nil"/>
              <w:bottom w:val="nil"/>
              <w:right w:val="nil"/>
            </w:tcBorders>
            <w:noWrap/>
            <w:vAlign w:val="bottom"/>
            <w:hideMark/>
          </w:tcPr>
          <w:p w14:paraId="6073E4A3"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Product Management</w:t>
            </w:r>
          </w:p>
        </w:tc>
        <w:tc>
          <w:tcPr>
            <w:tcW w:w="1266" w:type="dxa"/>
            <w:tcBorders>
              <w:top w:val="nil"/>
              <w:left w:val="nil"/>
              <w:bottom w:val="nil"/>
              <w:right w:val="nil"/>
            </w:tcBorders>
            <w:noWrap/>
            <w:vAlign w:val="bottom"/>
            <w:hideMark/>
          </w:tcPr>
          <w:p w14:paraId="5917344E"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41</w:t>
            </w:r>
          </w:p>
        </w:tc>
        <w:tc>
          <w:tcPr>
            <w:tcW w:w="848" w:type="dxa"/>
            <w:gridSpan w:val="2"/>
            <w:tcBorders>
              <w:top w:val="nil"/>
              <w:left w:val="nil"/>
              <w:bottom w:val="nil"/>
              <w:right w:val="nil"/>
            </w:tcBorders>
            <w:noWrap/>
            <w:vAlign w:val="bottom"/>
            <w:hideMark/>
          </w:tcPr>
          <w:p w14:paraId="6A3E6E2C"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47</w:t>
            </w:r>
          </w:p>
        </w:tc>
        <w:tc>
          <w:tcPr>
            <w:tcW w:w="1620" w:type="dxa"/>
            <w:tcBorders>
              <w:top w:val="nil"/>
              <w:left w:val="nil"/>
              <w:bottom w:val="nil"/>
              <w:right w:val="nil"/>
            </w:tcBorders>
            <w:noWrap/>
            <w:vAlign w:val="bottom"/>
            <w:hideMark/>
          </w:tcPr>
          <w:p w14:paraId="7815860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1</w:t>
            </w:r>
          </w:p>
        </w:tc>
      </w:tr>
      <w:tr w:rsidR="003478BA" w:rsidRPr="003478BA" w14:paraId="2A7C41AC" w14:textId="77777777" w:rsidTr="003478BA">
        <w:trPr>
          <w:trHeight w:val="300"/>
        </w:trPr>
        <w:tc>
          <w:tcPr>
            <w:tcW w:w="4386" w:type="dxa"/>
            <w:gridSpan w:val="4"/>
            <w:tcBorders>
              <w:top w:val="nil"/>
              <w:left w:val="nil"/>
              <w:bottom w:val="nil"/>
              <w:right w:val="nil"/>
            </w:tcBorders>
            <w:noWrap/>
            <w:vAlign w:val="bottom"/>
            <w:hideMark/>
          </w:tcPr>
          <w:p w14:paraId="1A8F8A8E"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Research and Development</w:t>
            </w:r>
          </w:p>
        </w:tc>
        <w:tc>
          <w:tcPr>
            <w:tcW w:w="1266" w:type="dxa"/>
            <w:tcBorders>
              <w:top w:val="nil"/>
              <w:left w:val="nil"/>
              <w:bottom w:val="nil"/>
              <w:right w:val="nil"/>
            </w:tcBorders>
            <w:noWrap/>
            <w:vAlign w:val="bottom"/>
            <w:hideMark/>
          </w:tcPr>
          <w:p w14:paraId="0FC33C63"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38</w:t>
            </w:r>
          </w:p>
        </w:tc>
        <w:tc>
          <w:tcPr>
            <w:tcW w:w="848" w:type="dxa"/>
            <w:gridSpan w:val="2"/>
            <w:tcBorders>
              <w:top w:val="nil"/>
              <w:left w:val="nil"/>
              <w:bottom w:val="nil"/>
              <w:right w:val="nil"/>
            </w:tcBorders>
            <w:noWrap/>
            <w:vAlign w:val="bottom"/>
            <w:hideMark/>
          </w:tcPr>
          <w:p w14:paraId="4FF04A6D"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31</w:t>
            </w:r>
          </w:p>
        </w:tc>
        <w:tc>
          <w:tcPr>
            <w:tcW w:w="1620" w:type="dxa"/>
            <w:tcBorders>
              <w:top w:val="nil"/>
              <w:left w:val="nil"/>
              <w:bottom w:val="nil"/>
              <w:right w:val="nil"/>
            </w:tcBorders>
            <w:noWrap/>
            <w:vAlign w:val="bottom"/>
            <w:hideMark/>
          </w:tcPr>
          <w:p w14:paraId="506414BC"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5</w:t>
            </w:r>
          </w:p>
        </w:tc>
      </w:tr>
      <w:tr w:rsidR="003478BA" w:rsidRPr="003478BA" w14:paraId="4A84C2FB" w14:textId="77777777" w:rsidTr="003478BA">
        <w:trPr>
          <w:trHeight w:val="300"/>
        </w:trPr>
        <w:tc>
          <w:tcPr>
            <w:tcW w:w="4386" w:type="dxa"/>
            <w:gridSpan w:val="4"/>
            <w:tcBorders>
              <w:top w:val="nil"/>
              <w:left w:val="nil"/>
              <w:bottom w:val="nil"/>
              <w:right w:val="nil"/>
            </w:tcBorders>
            <w:noWrap/>
            <w:vAlign w:val="bottom"/>
            <w:hideMark/>
          </w:tcPr>
          <w:p w14:paraId="7BF020FF"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Sales</w:t>
            </w:r>
          </w:p>
        </w:tc>
        <w:tc>
          <w:tcPr>
            <w:tcW w:w="1266" w:type="dxa"/>
            <w:tcBorders>
              <w:top w:val="nil"/>
              <w:left w:val="nil"/>
              <w:bottom w:val="nil"/>
              <w:right w:val="nil"/>
            </w:tcBorders>
            <w:noWrap/>
            <w:vAlign w:val="bottom"/>
            <w:hideMark/>
          </w:tcPr>
          <w:p w14:paraId="462EDBB6"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36</w:t>
            </w:r>
          </w:p>
        </w:tc>
        <w:tc>
          <w:tcPr>
            <w:tcW w:w="848" w:type="dxa"/>
            <w:gridSpan w:val="2"/>
            <w:tcBorders>
              <w:top w:val="nil"/>
              <w:left w:val="nil"/>
              <w:bottom w:val="nil"/>
              <w:right w:val="nil"/>
            </w:tcBorders>
            <w:noWrap/>
            <w:vAlign w:val="bottom"/>
            <w:hideMark/>
          </w:tcPr>
          <w:p w14:paraId="0EAF9F60"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40</w:t>
            </w:r>
          </w:p>
        </w:tc>
        <w:tc>
          <w:tcPr>
            <w:tcW w:w="1620" w:type="dxa"/>
            <w:tcBorders>
              <w:top w:val="nil"/>
              <w:left w:val="nil"/>
              <w:bottom w:val="nil"/>
              <w:right w:val="nil"/>
            </w:tcBorders>
            <w:noWrap/>
            <w:vAlign w:val="bottom"/>
            <w:hideMark/>
          </w:tcPr>
          <w:p w14:paraId="0281D99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w:t>
            </w:r>
          </w:p>
        </w:tc>
      </w:tr>
      <w:tr w:rsidR="003478BA" w:rsidRPr="003478BA" w14:paraId="749ED0BF" w14:textId="77777777" w:rsidTr="003478BA">
        <w:trPr>
          <w:trHeight w:val="300"/>
        </w:trPr>
        <w:tc>
          <w:tcPr>
            <w:tcW w:w="4386" w:type="dxa"/>
            <w:gridSpan w:val="4"/>
            <w:tcBorders>
              <w:top w:val="nil"/>
              <w:left w:val="nil"/>
              <w:bottom w:val="nil"/>
              <w:right w:val="nil"/>
            </w:tcBorders>
            <w:noWrap/>
            <w:vAlign w:val="bottom"/>
            <w:hideMark/>
          </w:tcPr>
          <w:p w14:paraId="6238E436"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Services</w:t>
            </w:r>
          </w:p>
        </w:tc>
        <w:tc>
          <w:tcPr>
            <w:tcW w:w="1266" w:type="dxa"/>
            <w:tcBorders>
              <w:top w:val="nil"/>
              <w:left w:val="nil"/>
              <w:bottom w:val="nil"/>
              <w:right w:val="nil"/>
            </w:tcBorders>
            <w:noWrap/>
            <w:vAlign w:val="bottom"/>
            <w:hideMark/>
          </w:tcPr>
          <w:p w14:paraId="3B97D1F8"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42</w:t>
            </w:r>
          </w:p>
        </w:tc>
        <w:tc>
          <w:tcPr>
            <w:tcW w:w="848" w:type="dxa"/>
            <w:gridSpan w:val="2"/>
            <w:tcBorders>
              <w:top w:val="nil"/>
              <w:left w:val="nil"/>
              <w:bottom w:val="nil"/>
              <w:right w:val="nil"/>
            </w:tcBorders>
            <w:noWrap/>
            <w:vAlign w:val="bottom"/>
            <w:hideMark/>
          </w:tcPr>
          <w:p w14:paraId="4A5EF59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37</w:t>
            </w:r>
          </w:p>
        </w:tc>
        <w:tc>
          <w:tcPr>
            <w:tcW w:w="1620" w:type="dxa"/>
            <w:tcBorders>
              <w:top w:val="nil"/>
              <w:left w:val="nil"/>
              <w:bottom w:val="nil"/>
              <w:right w:val="nil"/>
            </w:tcBorders>
            <w:noWrap/>
            <w:vAlign w:val="bottom"/>
            <w:hideMark/>
          </w:tcPr>
          <w:p w14:paraId="38000A7B"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w:t>
            </w:r>
          </w:p>
        </w:tc>
      </w:tr>
      <w:tr w:rsidR="003478BA" w:rsidRPr="003478BA" w14:paraId="32F833A6" w14:textId="77777777" w:rsidTr="003478BA">
        <w:trPr>
          <w:trHeight w:val="300"/>
        </w:trPr>
        <w:tc>
          <w:tcPr>
            <w:tcW w:w="4386" w:type="dxa"/>
            <w:gridSpan w:val="4"/>
            <w:tcBorders>
              <w:top w:val="nil"/>
              <w:left w:val="nil"/>
              <w:bottom w:val="nil"/>
              <w:right w:val="nil"/>
            </w:tcBorders>
            <w:noWrap/>
            <w:vAlign w:val="bottom"/>
            <w:hideMark/>
          </w:tcPr>
          <w:p w14:paraId="0BBB14D8"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Support</w:t>
            </w:r>
          </w:p>
        </w:tc>
        <w:tc>
          <w:tcPr>
            <w:tcW w:w="1266" w:type="dxa"/>
            <w:tcBorders>
              <w:top w:val="nil"/>
              <w:left w:val="nil"/>
              <w:bottom w:val="nil"/>
              <w:right w:val="nil"/>
            </w:tcBorders>
            <w:noWrap/>
            <w:vAlign w:val="bottom"/>
            <w:hideMark/>
          </w:tcPr>
          <w:p w14:paraId="231B53D9"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35</w:t>
            </w:r>
          </w:p>
        </w:tc>
        <w:tc>
          <w:tcPr>
            <w:tcW w:w="848" w:type="dxa"/>
            <w:gridSpan w:val="2"/>
            <w:tcBorders>
              <w:top w:val="nil"/>
              <w:left w:val="nil"/>
              <w:bottom w:val="nil"/>
              <w:right w:val="nil"/>
            </w:tcBorders>
            <w:noWrap/>
            <w:vAlign w:val="bottom"/>
            <w:hideMark/>
          </w:tcPr>
          <w:p w14:paraId="6A6C7A3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42</w:t>
            </w:r>
          </w:p>
        </w:tc>
        <w:tc>
          <w:tcPr>
            <w:tcW w:w="1620" w:type="dxa"/>
            <w:tcBorders>
              <w:top w:val="nil"/>
              <w:left w:val="nil"/>
              <w:bottom w:val="nil"/>
              <w:right w:val="nil"/>
            </w:tcBorders>
            <w:noWrap/>
            <w:vAlign w:val="bottom"/>
            <w:hideMark/>
          </w:tcPr>
          <w:p w14:paraId="5E991CF1"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4</w:t>
            </w:r>
          </w:p>
        </w:tc>
      </w:tr>
      <w:tr w:rsidR="003478BA" w:rsidRPr="003478BA" w14:paraId="7445B30F" w14:textId="77777777" w:rsidTr="003478BA">
        <w:trPr>
          <w:trHeight w:val="300"/>
        </w:trPr>
        <w:tc>
          <w:tcPr>
            <w:tcW w:w="4386" w:type="dxa"/>
            <w:gridSpan w:val="4"/>
            <w:tcBorders>
              <w:top w:val="nil"/>
              <w:left w:val="nil"/>
              <w:bottom w:val="nil"/>
              <w:right w:val="nil"/>
            </w:tcBorders>
            <w:noWrap/>
            <w:vAlign w:val="bottom"/>
            <w:hideMark/>
          </w:tcPr>
          <w:p w14:paraId="76E248EF" w14:textId="77777777" w:rsidR="003478BA" w:rsidRPr="003478BA" w:rsidRDefault="003478BA" w:rsidP="003478BA">
            <w:pPr>
              <w:spacing w:after="0" w:line="240" w:lineRule="auto"/>
              <w:rPr>
                <w:rFonts w:ascii="Aptos Narrow" w:eastAsia="Times New Roman" w:hAnsi="Aptos Narrow" w:cs="Times New Roman"/>
                <w:color w:val="000000"/>
              </w:rPr>
            </w:pPr>
            <w:r w:rsidRPr="003478BA">
              <w:rPr>
                <w:rFonts w:ascii="Aptos Narrow" w:eastAsia="Times New Roman" w:hAnsi="Aptos Narrow" w:cs="Times New Roman"/>
                <w:color w:val="000000"/>
              </w:rPr>
              <w:t>Training</w:t>
            </w:r>
          </w:p>
        </w:tc>
        <w:tc>
          <w:tcPr>
            <w:tcW w:w="1266" w:type="dxa"/>
            <w:tcBorders>
              <w:top w:val="nil"/>
              <w:left w:val="nil"/>
              <w:bottom w:val="nil"/>
              <w:right w:val="nil"/>
            </w:tcBorders>
            <w:noWrap/>
            <w:vAlign w:val="bottom"/>
            <w:hideMark/>
          </w:tcPr>
          <w:p w14:paraId="6214ECA9"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36</w:t>
            </w:r>
          </w:p>
        </w:tc>
        <w:tc>
          <w:tcPr>
            <w:tcW w:w="848" w:type="dxa"/>
            <w:gridSpan w:val="2"/>
            <w:tcBorders>
              <w:top w:val="nil"/>
              <w:left w:val="nil"/>
              <w:bottom w:val="nil"/>
              <w:right w:val="nil"/>
            </w:tcBorders>
            <w:noWrap/>
            <w:vAlign w:val="bottom"/>
            <w:hideMark/>
          </w:tcPr>
          <w:p w14:paraId="57C808B4"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38</w:t>
            </w:r>
          </w:p>
        </w:tc>
        <w:tc>
          <w:tcPr>
            <w:tcW w:w="1620" w:type="dxa"/>
            <w:tcBorders>
              <w:top w:val="nil"/>
              <w:left w:val="nil"/>
              <w:bottom w:val="nil"/>
              <w:right w:val="nil"/>
            </w:tcBorders>
            <w:noWrap/>
            <w:vAlign w:val="bottom"/>
            <w:hideMark/>
          </w:tcPr>
          <w:p w14:paraId="3002BE27" w14:textId="77777777" w:rsidR="003478BA" w:rsidRPr="003478BA" w:rsidRDefault="003478BA" w:rsidP="003478BA">
            <w:pPr>
              <w:spacing w:after="0" w:line="240" w:lineRule="auto"/>
              <w:jc w:val="right"/>
              <w:rPr>
                <w:rFonts w:ascii="Aptos Narrow" w:eastAsia="Times New Roman" w:hAnsi="Aptos Narrow" w:cs="Times New Roman"/>
                <w:color w:val="000000"/>
              </w:rPr>
            </w:pPr>
            <w:r w:rsidRPr="003478BA">
              <w:rPr>
                <w:rFonts w:ascii="Aptos Narrow" w:eastAsia="Times New Roman" w:hAnsi="Aptos Narrow" w:cs="Times New Roman"/>
                <w:color w:val="000000"/>
              </w:rPr>
              <w:t>3</w:t>
            </w:r>
          </w:p>
        </w:tc>
      </w:tr>
    </w:tbl>
    <w:p w14:paraId="4522BC62" w14:textId="77777777" w:rsidR="003478BA" w:rsidRDefault="003478BA">
      <w:pPr>
        <w:rPr>
          <w:sz w:val="20"/>
          <w:szCs w:val="20"/>
        </w:rPr>
      </w:pPr>
    </w:p>
    <w:p w14:paraId="76100ABD" w14:textId="77777777" w:rsidR="00912AA7" w:rsidRDefault="00912AA7">
      <w:pPr>
        <w:rPr>
          <w:sz w:val="20"/>
          <w:szCs w:val="20"/>
        </w:rPr>
      </w:pPr>
    </w:p>
    <w:p w14:paraId="7203AFA8" w14:textId="77777777" w:rsidR="00912AA7" w:rsidRPr="00912AA7" w:rsidRDefault="00912AA7" w:rsidP="00912AA7">
      <w:pPr>
        <w:rPr>
          <w:sz w:val="20"/>
          <w:szCs w:val="20"/>
        </w:rPr>
      </w:pPr>
      <w:r w:rsidRPr="00912AA7">
        <w:rPr>
          <w:sz w:val="20"/>
          <w:szCs w:val="20"/>
        </w:rPr>
        <w:t>Across Regions</w:t>
      </w:r>
    </w:p>
    <w:p w14:paraId="1276AA0F" w14:textId="77777777" w:rsidR="00912AA7" w:rsidRPr="00912AA7" w:rsidRDefault="00912AA7" w:rsidP="00912AA7">
      <w:pPr>
        <w:numPr>
          <w:ilvl w:val="0"/>
          <w:numId w:val="3"/>
        </w:numPr>
        <w:rPr>
          <w:sz w:val="20"/>
          <w:szCs w:val="20"/>
        </w:rPr>
      </w:pPr>
      <w:r w:rsidRPr="00912AA7">
        <w:rPr>
          <w:sz w:val="20"/>
          <w:szCs w:val="20"/>
        </w:rPr>
        <w:t>Kaduna has the highest headcount overall, with slightly more male than female employees.</w:t>
      </w:r>
    </w:p>
    <w:p w14:paraId="6D66B5D2" w14:textId="77777777" w:rsidR="00912AA7" w:rsidRPr="00912AA7" w:rsidRDefault="00912AA7" w:rsidP="00912AA7">
      <w:pPr>
        <w:numPr>
          <w:ilvl w:val="0"/>
          <w:numId w:val="3"/>
        </w:numPr>
        <w:rPr>
          <w:sz w:val="20"/>
          <w:szCs w:val="20"/>
        </w:rPr>
      </w:pPr>
      <w:r w:rsidRPr="00912AA7">
        <w:rPr>
          <w:sz w:val="20"/>
          <w:szCs w:val="20"/>
        </w:rPr>
        <w:t>Abuja shows a near-equal split between male (159) and female (158), which suggests strong gender balance.</w:t>
      </w:r>
    </w:p>
    <w:p w14:paraId="185A3838" w14:textId="77777777" w:rsidR="00912AA7" w:rsidRPr="00912AA7" w:rsidRDefault="00912AA7" w:rsidP="00912AA7">
      <w:pPr>
        <w:numPr>
          <w:ilvl w:val="0"/>
          <w:numId w:val="3"/>
        </w:numPr>
        <w:rPr>
          <w:sz w:val="20"/>
          <w:szCs w:val="20"/>
        </w:rPr>
      </w:pPr>
      <w:r w:rsidRPr="00912AA7">
        <w:rPr>
          <w:sz w:val="20"/>
          <w:szCs w:val="20"/>
        </w:rPr>
        <w:t>Lagos, while smaller in staff count, follows a similar pattern, though there is still a slightly higher number of male employees.</w:t>
      </w:r>
    </w:p>
    <w:p w14:paraId="582B8ACB" w14:textId="77777777" w:rsidR="00912AA7" w:rsidRPr="00912AA7" w:rsidRDefault="00912AA7" w:rsidP="00912AA7">
      <w:pPr>
        <w:rPr>
          <w:sz w:val="20"/>
          <w:szCs w:val="20"/>
        </w:rPr>
      </w:pPr>
      <w:r w:rsidRPr="00912AA7">
        <w:rPr>
          <w:sz w:val="20"/>
          <w:szCs w:val="20"/>
        </w:rPr>
        <w:lastRenderedPageBreak/>
        <w:t>Across Departments</w:t>
      </w:r>
    </w:p>
    <w:p w14:paraId="19786E68" w14:textId="77777777" w:rsidR="00912AA7" w:rsidRPr="00912AA7" w:rsidRDefault="00912AA7" w:rsidP="00912AA7">
      <w:pPr>
        <w:numPr>
          <w:ilvl w:val="0"/>
          <w:numId w:val="4"/>
        </w:numPr>
        <w:rPr>
          <w:sz w:val="20"/>
          <w:szCs w:val="20"/>
        </w:rPr>
      </w:pPr>
      <w:r w:rsidRPr="00912AA7">
        <w:rPr>
          <w:sz w:val="20"/>
          <w:szCs w:val="20"/>
        </w:rPr>
        <w:t>Most departments show moderate gender balance, but:</w:t>
      </w:r>
    </w:p>
    <w:p w14:paraId="3C304B65" w14:textId="77777777" w:rsidR="00912AA7" w:rsidRPr="00912AA7" w:rsidRDefault="00912AA7" w:rsidP="00912AA7">
      <w:pPr>
        <w:numPr>
          <w:ilvl w:val="1"/>
          <w:numId w:val="4"/>
        </w:numPr>
        <w:rPr>
          <w:sz w:val="20"/>
          <w:szCs w:val="20"/>
        </w:rPr>
      </w:pPr>
      <w:r w:rsidRPr="00912AA7">
        <w:rPr>
          <w:sz w:val="20"/>
          <w:szCs w:val="20"/>
        </w:rPr>
        <w:t>Legal and Support departments have a noticeable male majority.</w:t>
      </w:r>
    </w:p>
    <w:p w14:paraId="23C943B3" w14:textId="77777777" w:rsidR="00912AA7" w:rsidRPr="00912AA7" w:rsidRDefault="00912AA7" w:rsidP="00912AA7">
      <w:pPr>
        <w:numPr>
          <w:ilvl w:val="1"/>
          <w:numId w:val="4"/>
        </w:numPr>
        <w:rPr>
          <w:sz w:val="20"/>
          <w:szCs w:val="20"/>
        </w:rPr>
      </w:pPr>
      <w:r w:rsidRPr="00912AA7">
        <w:rPr>
          <w:sz w:val="20"/>
          <w:szCs w:val="20"/>
        </w:rPr>
        <w:t>Engineering has a more inclusive mix with 6 employees preferring not to disclose gender — the highest such number across departments.</w:t>
      </w:r>
    </w:p>
    <w:p w14:paraId="7B36F3FA" w14:textId="77777777" w:rsidR="00912AA7" w:rsidRPr="00912AA7" w:rsidRDefault="00912AA7" w:rsidP="00912AA7">
      <w:pPr>
        <w:numPr>
          <w:ilvl w:val="1"/>
          <w:numId w:val="4"/>
        </w:numPr>
        <w:rPr>
          <w:sz w:val="20"/>
          <w:szCs w:val="20"/>
        </w:rPr>
      </w:pPr>
      <w:r w:rsidRPr="00912AA7">
        <w:rPr>
          <w:sz w:val="20"/>
          <w:szCs w:val="20"/>
        </w:rPr>
        <w:t>Accounting, Training, and Services lean slightly toward female representation.</w:t>
      </w:r>
    </w:p>
    <w:p w14:paraId="063AC8BE" w14:textId="77777777" w:rsidR="00912AA7" w:rsidRPr="00912AA7" w:rsidRDefault="00912AA7" w:rsidP="00912AA7">
      <w:pPr>
        <w:rPr>
          <w:sz w:val="20"/>
          <w:szCs w:val="20"/>
        </w:rPr>
      </w:pPr>
      <w:r w:rsidRPr="00912AA7">
        <w:rPr>
          <w:sz w:val="20"/>
          <w:szCs w:val="20"/>
        </w:rPr>
        <w:t>Overall Reflection</w:t>
      </w:r>
    </w:p>
    <w:p w14:paraId="1833CB83" w14:textId="77777777" w:rsidR="00912AA7" w:rsidRPr="00912AA7" w:rsidRDefault="00912AA7" w:rsidP="00912AA7">
      <w:pPr>
        <w:rPr>
          <w:sz w:val="20"/>
          <w:szCs w:val="20"/>
        </w:rPr>
      </w:pPr>
      <w:r w:rsidRPr="00912AA7">
        <w:rPr>
          <w:sz w:val="20"/>
          <w:szCs w:val="20"/>
        </w:rPr>
        <w:t xml:space="preserve">While </w:t>
      </w:r>
      <w:proofErr w:type="spellStart"/>
      <w:r w:rsidRPr="00912AA7">
        <w:rPr>
          <w:sz w:val="20"/>
          <w:szCs w:val="20"/>
        </w:rPr>
        <w:t>Palmora</w:t>
      </w:r>
      <w:proofErr w:type="spellEnd"/>
      <w:r w:rsidRPr="00912AA7">
        <w:rPr>
          <w:sz w:val="20"/>
          <w:szCs w:val="20"/>
        </w:rPr>
        <w:t xml:space="preserve"> demonstrates a generally healthy gender spread, some departments still show traditional role clustering (e.g., more males in Legal and Support). The presence of a significant "Prefer not to say" group in certain units may point to underlying concerns about disclosure comfort, signaling the need to improve psychological safety and inclusion practices.</w:t>
      </w:r>
    </w:p>
    <w:p w14:paraId="3FD51266" w14:textId="77777777" w:rsidR="006D0518" w:rsidRDefault="006D0518">
      <w:pPr>
        <w:rPr>
          <w:sz w:val="20"/>
          <w:szCs w:val="20"/>
        </w:rPr>
      </w:pPr>
    </w:p>
    <w:p w14:paraId="7B7A5539" w14:textId="77777777" w:rsidR="006D0518" w:rsidRDefault="006D0518">
      <w:pPr>
        <w:rPr>
          <w:sz w:val="20"/>
          <w:szCs w:val="20"/>
        </w:rPr>
      </w:pPr>
    </w:p>
    <w:p w14:paraId="548E8CE8" w14:textId="77777777" w:rsidR="006D0518" w:rsidRDefault="006D0518">
      <w:pPr>
        <w:rPr>
          <w:sz w:val="20"/>
          <w:szCs w:val="20"/>
        </w:rPr>
      </w:pPr>
    </w:p>
    <w:p w14:paraId="4C97F0D5" w14:textId="77777777" w:rsidR="006D0518" w:rsidRDefault="006D0518">
      <w:pPr>
        <w:rPr>
          <w:sz w:val="20"/>
          <w:szCs w:val="20"/>
        </w:rPr>
      </w:pPr>
    </w:p>
    <w:p w14:paraId="7FECAD2F" w14:textId="77777777" w:rsidR="006D0518" w:rsidRDefault="006D0518">
      <w:pPr>
        <w:rPr>
          <w:sz w:val="20"/>
          <w:szCs w:val="20"/>
        </w:rPr>
      </w:pPr>
    </w:p>
    <w:p w14:paraId="299154EC" w14:textId="783B66D1" w:rsidR="006D0518" w:rsidRPr="006D0518" w:rsidRDefault="006D0518">
      <w:pPr>
        <w:rPr>
          <w:b/>
          <w:bCs/>
          <w:sz w:val="32"/>
          <w:szCs w:val="32"/>
        </w:rPr>
      </w:pPr>
      <w:r>
        <w:rPr>
          <w:b/>
          <w:bCs/>
          <w:sz w:val="32"/>
          <w:szCs w:val="32"/>
        </w:rPr>
        <w:t xml:space="preserve">                         </w:t>
      </w:r>
      <w:r w:rsidRPr="006D0518">
        <w:rPr>
          <w:b/>
          <w:bCs/>
          <w:sz w:val="32"/>
          <w:szCs w:val="32"/>
        </w:rPr>
        <w:t>RATING DISTRBUTION</w:t>
      </w:r>
    </w:p>
    <w:p w14:paraId="3BC50109" w14:textId="77777777" w:rsidR="006D0518" w:rsidRDefault="006D0518">
      <w:pPr>
        <w:rPr>
          <w:sz w:val="20"/>
          <w:szCs w:val="20"/>
        </w:rPr>
      </w:pPr>
    </w:p>
    <w:tbl>
      <w:tblPr>
        <w:tblW w:w="6039" w:type="dxa"/>
        <w:tblLook w:val="04A0" w:firstRow="1" w:lastRow="0" w:firstColumn="1" w:lastColumn="0" w:noHBand="0" w:noVBand="1"/>
      </w:tblPr>
      <w:tblGrid>
        <w:gridCol w:w="1080"/>
        <w:gridCol w:w="1329"/>
        <w:gridCol w:w="891"/>
        <w:gridCol w:w="1499"/>
        <w:gridCol w:w="1240"/>
      </w:tblGrid>
      <w:tr w:rsidR="006D0518" w:rsidRPr="006D0518" w14:paraId="7B6E29F3" w14:textId="77777777" w:rsidTr="006D0518">
        <w:trPr>
          <w:trHeight w:val="300"/>
        </w:trPr>
        <w:tc>
          <w:tcPr>
            <w:tcW w:w="1080" w:type="dxa"/>
            <w:tcBorders>
              <w:top w:val="nil"/>
              <w:left w:val="nil"/>
              <w:bottom w:val="nil"/>
              <w:right w:val="nil"/>
            </w:tcBorders>
            <w:shd w:val="clear" w:color="C0E6F5" w:fill="C0E6F5"/>
            <w:noWrap/>
            <w:vAlign w:val="bottom"/>
            <w:hideMark/>
          </w:tcPr>
          <w:p w14:paraId="5888DEFA"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Ratings</w:t>
            </w:r>
          </w:p>
        </w:tc>
        <w:tc>
          <w:tcPr>
            <w:tcW w:w="2220" w:type="dxa"/>
            <w:gridSpan w:val="2"/>
            <w:tcBorders>
              <w:top w:val="nil"/>
              <w:left w:val="nil"/>
              <w:bottom w:val="nil"/>
              <w:right w:val="nil"/>
            </w:tcBorders>
            <w:shd w:val="clear" w:color="C0E6F5" w:fill="C0E6F5"/>
            <w:noWrap/>
            <w:vAlign w:val="bottom"/>
            <w:hideMark/>
          </w:tcPr>
          <w:p w14:paraId="15DEF29E"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Gender</w:t>
            </w:r>
          </w:p>
        </w:tc>
        <w:tc>
          <w:tcPr>
            <w:tcW w:w="1499" w:type="dxa"/>
            <w:tcBorders>
              <w:top w:val="nil"/>
              <w:left w:val="nil"/>
              <w:bottom w:val="nil"/>
              <w:right w:val="nil"/>
            </w:tcBorders>
            <w:shd w:val="clear" w:color="C0E6F5" w:fill="C0E6F5"/>
            <w:noWrap/>
            <w:vAlign w:val="bottom"/>
            <w:hideMark/>
          </w:tcPr>
          <w:p w14:paraId="250E4A0D" w14:textId="77777777" w:rsidR="006D0518" w:rsidRPr="006D0518" w:rsidRDefault="006D0518" w:rsidP="006D0518">
            <w:pPr>
              <w:spacing w:after="0" w:line="240" w:lineRule="auto"/>
              <w:rPr>
                <w:rFonts w:ascii="Aptos Narrow" w:eastAsia="Times New Roman" w:hAnsi="Aptos Narrow" w:cs="Times New Roman"/>
                <w:b/>
                <w:bCs/>
                <w:color w:val="000000"/>
              </w:rPr>
            </w:pPr>
          </w:p>
        </w:tc>
        <w:tc>
          <w:tcPr>
            <w:tcW w:w="1240" w:type="dxa"/>
            <w:tcBorders>
              <w:top w:val="nil"/>
              <w:left w:val="nil"/>
              <w:bottom w:val="nil"/>
              <w:right w:val="nil"/>
            </w:tcBorders>
            <w:shd w:val="clear" w:color="C0E6F5" w:fill="C0E6F5"/>
            <w:noWrap/>
            <w:vAlign w:val="bottom"/>
            <w:hideMark/>
          </w:tcPr>
          <w:p w14:paraId="303BA679" w14:textId="77777777" w:rsidR="006D0518" w:rsidRPr="006D0518" w:rsidRDefault="006D0518" w:rsidP="006D0518">
            <w:pPr>
              <w:spacing w:after="0" w:line="240" w:lineRule="auto"/>
              <w:rPr>
                <w:rFonts w:ascii="Times New Roman" w:eastAsia="Times New Roman" w:hAnsi="Times New Roman" w:cs="Times New Roman"/>
                <w:sz w:val="20"/>
                <w:szCs w:val="20"/>
              </w:rPr>
            </w:pPr>
          </w:p>
        </w:tc>
      </w:tr>
      <w:tr w:rsidR="006D0518" w:rsidRPr="006D0518" w14:paraId="6DB7D30A" w14:textId="77777777" w:rsidTr="006D0518">
        <w:trPr>
          <w:trHeight w:val="300"/>
        </w:trPr>
        <w:tc>
          <w:tcPr>
            <w:tcW w:w="1080" w:type="dxa"/>
            <w:tcBorders>
              <w:top w:val="nil"/>
              <w:left w:val="nil"/>
              <w:bottom w:val="single" w:sz="4" w:space="0" w:color="44B3E1"/>
              <w:right w:val="nil"/>
            </w:tcBorders>
            <w:shd w:val="clear" w:color="C0E6F5" w:fill="C0E6F5"/>
            <w:noWrap/>
            <w:vAlign w:val="bottom"/>
            <w:hideMark/>
          </w:tcPr>
          <w:p w14:paraId="4C4C3FBF" w14:textId="77777777" w:rsidR="006D0518" w:rsidRPr="006D0518" w:rsidRDefault="006D0518" w:rsidP="006D0518">
            <w:pPr>
              <w:spacing w:after="0" w:line="240" w:lineRule="auto"/>
              <w:rPr>
                <w:rFonts w:ascii="Times New Roman" w:eastAsia="Times New Roman" w:hAnsi="Times New Roman" w:cs="Times New Roman"/>
                <w:sz w:val="20"/>
                <w:szCs w:val="20"/>
              </w:rPr>
            </w:pPr>
          </w:p>
        </w:tc>
        <w:tc>
          <w:tcPr>
            <w:tcW w:w="1329" w:type="dxa"/>
            <w:tcBorders>
              <w:top w:val="nil"/>
              <w:left w:val="nil"/>
              <w:bottom w:val="single" w:sz="4" w:space="0" w:color="44B3E1"/>
              <w:right w:val="nil"/>
            </w:tcBorders>
            <w:shd w:val="clear" w:color="C0E6F5" w:fill="C0E6F5"/>
            <w:noWrap/>
            <w:vAlign w:val="bottom"/>
            <w:hideMark/>
          </w:tcPr>
          <w:p w14:paraId="24364E97"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Female</w:t>
            </w:r>
          </w:p>
        </w:tc>
        <w:tc>
          <w:tcPr>
            <w:tcW w:w="891" w:type="dxa"/>
            <w:tcBorders>
              <w:top w:val="nil"/>
              <w:left w:val="nil"/>
              <w:bottom w:val="single" w:sz="4" w:space="0" w:color="44B3E1"/>
              <w:right w:val="nil"/>
            </w:tcBorders>
            <w:shd w:val="clear" w:color="C0E6F5" w:fill="C0E6F5"/>
            <w:noWrap/>
            <w:vAlign w:val="bottom"/>
            <w:hideMark/>
          </w:tcPr>
          <w:p w14:paraId="5271C647"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Male</w:t>
            </w:r>
          </w:p>
        </w:tc>
        <w:tc>
          <w:tcPr>
            <w:tcW w:w="1499" w:type="dxa"/>
            <w:tcBorders>
              <w:top w:val="nil"/>
              <w:left w:val="nil"/>
              <w:bottom w:val="single" w:sz="4" w:space="0" w:color="44B3E1"/>
              <w:right w:val="nil"/>
            </w:tcBorders>
            <w:shd w:val="clear" w:color="C0E6F5" w:fill="C0E6F5"/>
            <w:noWrap/>
            <w:vAlign w:val="bottom"/>
            <w:hideMark/>
          </w:tcPr>
          <w:p w14:paraId="71D0804F"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Prefer not to say</w:t>
            </w:r>
          </w:p>
        </w:tc>
        <w:tc>
          <w:tcPr>
            <w:tcW w:w="1240" w:type="dxa"/>
            <w:tcBorders>
              <w:top w:val="nil"/>
              <w:left w:val="nil"/>
              <w:bottom w:val="single" w:sz="4" w:space="0" w:color="44B3E1"/>
              <w:right w:val="nil"/>
            </w:tcBorders>
            <w:shd w:val="clear" w:color="C0E6F5" w:fill="C0E6F5"/>
            <w:noWrap/>
            <w:vAlign w:val="bottom"/>
            <w:hideMark/>
          </w:tcPr>
          <w:p w14:paraId="66D753D4"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Grand Total</w:t>
            </w:r>
          </w:p>
        </w:tc>
      </w:tr>
      <w:tr w:rsidR="006D0518" w:rsidRPr="006D0518" w14:paraId="2DD4148E" w14:textId="77777777" w:rsidTr="006D0518">
        <w:trPr>
          <w:trHeight w:val="300"/>
        </w:trPr>
        <w:tc>
          <w:tcPr>
            <w:tcW w:w="1080" w:type="dxa"/>
            <w:tcBorders>
              <w:top w:val="nil"/>
              <w:left w:val="nil"/>
              <w:bottom w:val="nil"/>
              <w:right w:val="nil"/>
            </w:tcBorders>
            <w:noWrap/>
            <w:vAlign w:val="bottom"/>
            <w:hideMark/>
          </w:tcPr>
          <w:p w14:paraId="40281D78"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Average</w:t>
            </w:r>
          </w:p>
        </w:tc>
        <w:tc>
          <w:tcPr>
            <w:tcW w:w="1329" w:type="dxa"/>
            <w:tcBorders>
              <w:top w:val="nil"/>
              <w:left w:val="nil"/>
              <w:bottom w:val="nil"/>
              <w:right w:val="nil"/>
            </w:tcBorders>
            <w:noWrap/>
            <w:vAlign w:val="bottom"/>
            <w:hideMark/>
          </w:tcPr>
          <w:p w14:paraId="5DFF61BA"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190</w:t>
            </w:r>
          </w:p>
        </w:tc>
        <w:tc>
          <w:tcPr>
            <w:tcW w:w="891" w:type="dxa"/>
            <w:tcBorders>
              <w:top w:val="nil"/>
              <w:left w:val="nil"/>
              <w:bottom w:val="nil"/>
              <w:right w:val="nil"/>
            </w:tcBorders>
            <w:noWrap/>
            <w:vAlign w:val="bottom"/>
            <w:hideMark/>
          </w:tcPr>
          <w:p w14:paraId="2955144F"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212</w:t>
            </w:r>
          </w:p>
        </w:tc>
        <w:tc>
          <w:tcPr>
            <w:tcW w:w="1499" w:type="dxa"/>
            <w:tcBorders>
              <w:top w:val="nil"/>
              <w:left w:val="nil"/>
              <w:bottom w:val="nil"/>
              <w:right w:val="nil"/>
            </w:tcBorders>
            <w:noWrap/>
            <w:vAlign w:val="bottom"/>
            <w:hideMark/>
          </w:tcPr>
          <w:p w14:paraId="3FF8D837"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18</w:t>
            </w:r>
          </w:p>
        </w:tc>
        <w:tc>
          <w:tcPr>
            <w:tcW w:w="1240" w:type="dxa"/>
            <w:tcBorders>
              <w:top w:val="nil"/>
              <w:left w:val="nil"/>
              <w:bottom w:val="nil"/>
              <w:right w:val="nil"/>
            </w:tcBorders>
            <w:noWrap/>
            <w:vAlign w:val="bottom"/>
            <w:hideMark/>
          </w:tcPr>
          <w:p w14:paraId="488B94B1"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420</w:t>
            </w:r>
          </w:p>
        </w:tc>
      </w:tr>
      <w:tr w:rsidR="006D0518" w:rsidRPr="006D0518" w14:paraId="7C322801" w14:textId="77777777" w:rsidTr="006D0518">
        <w:trPr>
          <w:trHeight w:val="300"/>
        </w:trPr>
        <w:tc>
          <w:tcPr>
            <w:tcW w:w="1080" w:type="dxa"/>
            <w:tcBorders>
              <w:top w:val="nil"/>
              <w:left w:val="nil"/>
              <w:bottom w:val="nil"/>
              <w:right w:val="nil"/>
            </w:tcBorders>
            <w:noWrap/>
            <w:vAlign w:val="bottom"/>
            <w:hideMark/>
          </w:tcPr>
          <w:p w14:paraId="3C2565A6"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Good</w:t>
            </w:r>
          </w:p>
        </w:tc>
        <w:tc>
          <w:tcPr>
            <w:tcW w:w="1329" w:type="dxa"/>
            <w:tcBorders>
              <w:top w:val="nil"/>
              <w:left w:val="nil"/>
              <w:bottom w:val="nil"/>
              <w:right w:val="nil"/>
            </w:tcBorders>
            <w:noWrap/>
            <w:vAlign w:val="bottom"/>
            <w:hideMark/>
          </w:tcPr>
          <w:p w14:paraId="01B977E3"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89</w:t>
            </w:r>
          </w:p>
        </w:tc>
        <w:tc>
          <w:tcPr>
            <w:tcW w:w="891" w:type="dxa"/>
            <w:tcBorders>
              <w:top w:val="nil"/>
              <w:left w:val="nil"/>
              <w:bottom w:val="nil"/>
              <w:right w:val="nil"/>
            </w:tcBorders>
            <w:noWrap/>
            <w:vAlign w:val="bottom"/>
            <w:hideMark/>
          </w:tcPr>
          <w:p w14:paraId="4338E621"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82</w:t>
            </w:r>
          </w:p>
        </w:tc>
        <w:tc>
          <w:tcPr>
            <w:tcW w:w="1499" w:type="dxa"/>
            <w:tcBorders>
              <w:top w:val="nil"/>
              <w:left w:val="nil"/>
              <w:bottom w:val="nil"/>
              <w:right w:val="nil"/>
            </w:tcBorders>
            <w:noWrap/>
            <w:vAlign w:val="bottom"/>
            <w:hideMark/>
          </w:tcPr>
          <w:p w14:paraId="78E14F56"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9</w:t>
            </w:r>
          </w:p>
        </w:tc>
        <w:tc>
          <w:tcPr>
            <w:tcW w:w="1240" w:type="dxa"/>
            <w:tcBorders>
              <w:top w:val="nil"/>
              <w:left w:val="nil"/>
              <w:bottom w:val="nil"/>
              <w:right w:val="nil"/>
            </w:tcBorders>
            <w:noWrap/>
            <w:vAlign w:val="bottom"/>
            <w:hideMark/>
          </w:tcPr>
          <w:p w14:paraId="76AD94CB"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180</w:t>
            </w:r>
          </w:p>
        </w:tc>
      </w:tr>
      <w:tr w:rsidR="006D0518" w:rsidRPr="006D0518" w14:paraId="796090BF" w14:textId="77777777" w:rsidTr="006D0518">
        <w:trPr>
          <w:trHeight w:val="300"/>
        </w:trPr>
        <w:tc>
          <w:tcPr>
            <w:tcW w:w="1080" w:type="dxa"/>
            <w:tcBorders>
              <w:top w:val="nil"/>
              <w:left w:val="nil"/>
              <w:bottom w:val="nil"/>
              <w:right w:val="nil"/>
            </w:tcBorders>
            <w:noWrap/>
            <w:vAlign w:val="bottom"/>
            <w:hideMark/>
          </w:tcPr>
          <w:p w14:paraId="2B359CBC"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Not Rated</w:t>
            </w:r>
          </w:p>
        </w:tc>
        <w:tc>
          <w:tcPr>
            <w:tcW w:w="1329" w:type="dxa"/>
            <w:tcBorders>
              <w:top w:val="nil"/>
              <w:left w:val="nil"/>
              <w:bottom w:val="nil"/>
              <w:right w:val="nil"/>
            </w:tcBorders>
            <w:noWrap/>
            <w:vAlign w:val="bottom"/>
            <w:hideMark/>
          </w:tcPr>
          <w:p w14:paraId="42CAA134"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35</w:t>
            </w:r>
          </w:p>
        </w:tc>
        <w:tc>
          <w:tcPr>
            <w:tcW w:w="891" w:type="dxa"/>
            <w:tcBorders>
              <w:top w:val="nil"/>
              <w:left w:val="nil"/>
              <w:bottom w:val="nil"/>
              <w:right w:val="nil"/>
            </w:tcBorders>
            <w:noWrap/>
            <w:vAlign w:val="bottom"/>
            <w:hideMark/>
          </w:tcPr>
          <w:p w14:paraId="7297179D"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34</w:t>
            </w:r>
          </w:p>
        </w:tc>
        <w:tc>
          <w:tcPr>
            <w:tcW w:w="1499" w:type="dxa"/>
            <w:tcBorders>
              <w:top w:val="nil"/>
              <w:left w:val="nil"/>
              <w:bottom w:val="nil"/>
              <w:right w:val="nil"/>
            </w:tcBorders>
            <w:noWrap/>
            <w:vAlign w:val="bottom"/>
            <w:hideMark/>
          </w:tcPr>
          <w:p w14:paraId="2971C611"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2</w:t>
            </w:r>
          </w:p>
        </w:tc>
        <w:tc>
          <w:tcPr>
            <w:tcW w:w="1240" w:type="dxa"/>
            <w:tcBorders>
              <w:top w:val="nil"/>
              <w:left w:val="nil"/>
              <w:bottom w:val="nil"/>
              <w:right w:val="nil"/>
            </w:tcBorders>
            <w:noWrap/>
            <w:vAlign w:val="bottom"/>
            <w:hideMark/>
          </w:tcPr>
          <w:p w14:paraId="0CC84089"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71</w:t>
            </w:r>
          </w:p>
        </w:tc>
      </w:tr>
      <w:tr w:rsidR="006D0518" w:rsidRPr="006D0518" w14:paraId="29018519" w14:textId="77777777" w:rsidTr="006D0518">
        <w:trPr>
          <w:trHeight w:val="300"/>
        </w:trPr>
        <w:tc>
          <w:tcPr>
            <w:tcW w:w="1080" w:type="dxa"/>
            <w:tcBorders>
              <w:top w:val="nil"/>
              <w:left w:val="nil"/>
              <w:bottom w:val="nil"/>
              <w:right w:val="nil"/>
            </w:tcBorders>
            <w:noWrap/>
            <w:vAlign w:val="bottom"/>
            <w:hideMark/>
          </w:tcPr>
          <w:p w14:paraId="089DEC72"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Poor</w:t>
            </w:r>
          </w:p>
        </w:tc>
        <w:tc>
          <w:tcPr>
            <w:tcW w:w="1329" w:type="dxa"/>
            <w:tcBorders>
              <w:top w:val="nil"/>
              <w:left w:val="nil"/>
              <w:bottom w:val="nil"/>
              <w:right w:val="nil"/>
            </w:tcBorders>
            <w:noWrap/>
            <w:vAlign w:val="bottom"/>
            <w:hideMark/>
          </w:tcPr>
          <w:p w14:paraId="2D848B09"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58</w:t>
            </w:r>
          </w:p>
        </w:tc>
        <w:tc>
          <w:tcPr>
            <w:tcW w:w="891" w:type="dxa"/>
            <w:tcBorders>
              <w:top w:val="nil"/>
              <w:left w:val="nil"/>
              <w:bottom w:val="nil"/>
              <w:right w:val="nil"/>
            </w:tcBorders>
            <w:noWrap/>
            <w:vAlign w:val="bottom"/>
            <w:hideMark/>
          </w:tcPr>
          <w:p w14:paraId="50D6A5E5"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70</w:t>
            </w:r>
          </w:p>
        </w:tc>
        <w:tc>
          <w:tcPr>
            <w:tcW w:w="1499" w:type="dxa"/>
            <w:tcBorders>
              <w:top w:val="nil"/>
              <w:left w:val="nil"/>
              <w:bottom w:val="nil"/>
              <w:right w:val="nil"/>
            </w:tcBorders>
            <w:noWrap/>
            <w:vAlign w:val="bottom"/>
            <w:hideMark/>
          </w:tcPr>
          <w:p w14:paraId="55A722EC"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w:t>
            </w:r>
          </w:p>
        </w:tc>
        <w:tc>
          <w:tcPr>
            <w:tcW w:w="1240" w:type="dxa"/>
            <w:tcBorders>
              <w:top w:val="nil"/>
              <w:left w:val="nil"/>
              <w:bottom w:val="nil"/>
              <w:right w:val="nil"/>
            </w:tcBorders>
            <w:noWrap/>
            <w:vAlign w:val="bottom"/>
            <w:hideMark/>
          </w:tcPr>
          <w:p w14:paraId="07F3A4AF"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131</w:t>
            </w:r>
          </w:p>
        </w:tc>
      </w:tr>
      <w:tr w:rsidR="006D0518" w:rsidRPr="006D0518" w14:paraId="20846E96" w14:textId="77777777" w:rsidTr="006D0518">
        <w:trPr>
          <w:trHeight w:val="300"/>
        </w:trPr>
        <w:tc>
          <w:tcPr>
            <w:tcW w:w="1080" w:type="dxa"/>
            <w:tcBorders>
              <w:top w:val="nil"/>
              <w:left w:val="nil"/>
              <w:bottom w:val="nil"/>
              <w:right w:val="nil"/>
            </w:tcBorders>
            <w:noWrap/>
            <w:vAlign w:val="bottom"/>
            <w:hideMark/>
          </w:tcPr>
          <w:p w14:paraId="3A5BDA69"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Very Good</w:t>
            </w:r>
          </w:p>
        </w:tc>
        <w:tc>
          <w:tcPr>
            <w:tcW w:w="1329" w:type="dxa"/>
            <w:tcBorders>
              <w:top w:val="nil"/>
              <w:left w:val="nil"/>
              <w:bottom w:val="nil"/>
              <w:right w:val="nil"/>
            </w:tcBorders>
            <w:noWrap/>
            <w:vAlign w:val="bottom"/>
            <w:hideMark/>
          </w:tcPr>
          <w:p w14:paraId="70D6CF2D"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49</w:t>
            </w:r>
          </w:p>
        </w:tc>
        <w:tc>
          <w:tcPr>
            <w:tcW w:w="891" w:type="dxa"/>
            <w:tcBorders>
              <w:top w:val="nil"/>
              <w:left w:val="nil"/>
              <w:bottom w:val="nil"/>
              <w:right w:val="nil"/>
            </w:tcBorders>
            <w:noWrap/>
            <w:vAlign w:val="bottom"/>
            <w:hideMark/>
          </w:tcPr>
          <w:p w14:paraId="7BD6D3CD"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36</w:t>
            </w:r>
          </w:p>
        </w:tc>
        <w:tc>
          <w:tcPr>
            <w:tcW w:w="1499" w:type="dxa"/>
            <w:tcBorders>
              <w:top w:val="nil"/>
              <w:left w:val="nil"/>
              <w:bottom w:val="nil"/>
              <w:right w:val="nil"/>
            </w:tcBorders>
            <w:noWrap/>
            <w:vAlign w:val="bottom"/>
            <w:hideMark/>
          </w:tcPr>
          <w:p w14:paraId="7B885362"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5</w:t>
            </w:r>
          </w:p>
        </w:tc>
        <w:tc>
          <w:tcPr>
            <w:tcW w:w="1240" w:type="dxa"/>
            <w:tcBorders>
              <w:top w:val="nil"/>
              <w:left w:val="nil"/>
              <w:bottom w:val="nil"/>
              <w:right w:val="nil"/>
            </w:tcBorders>
            <w:noWrap/>
            <w:vAlign w:val="bottom"/>
            <w:hideMark/>
          </w:tcPr>
          <w:p w14:paraId="37F3D6CE"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90</w:t>
            </w:r>
          </w:p>
        </w:tc>
      </w:tr>
      <w:tr w:rsidR="006D0518" w:rsidRPr="006D0518" w14:paraId="1051FE55" w14:textId="77777777" w:rsidTr="006D0518">
        <w:trPr>
          <w:trHeight w:val="300"/>
        </w:trPr>
        <w:tc>
          <w:tcPr>
            <w:tcW w:w="1080" w:type="dxa"/>
            <w:tcBorders>
              <w:top w:val="nil"/>
              <w:left w:val="nil"/>
              <w:bottom w:val="nil"/>
              <w:right w:val="nil"/>
            </w:tcBorders>
            <w:noWrap/>
            <w:vAlign w:val="bottom"/>
            <w:hideMark/>
          </w:tcPr>
          <w:p w14:paraId="13932A7D"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Very Poor</w:t>
            </w:r>
          </w:p>
        </w:tc>
        <w:tc>
          <w:tcPr>
            <w:tcW w:w="1329" w:type="dxa"/>
            <w:tcBorders>
              <w:top w:val="nil"/>
              <w:left w:val="nil"/>
              <w:bottom w:val="nil"/>
              <w:right w:val="nil"/>
            </w:tcBorders>
            <w:noWrap/>
            <w:vAlign w:val="bottom"/>
            <w:hideMark/>
          </w:tcPr>
          <w:p w14:paraId="0FD1C784"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20</w:t>
            </w:r>
          </w:p>
        </w:tc>
        <w:tc>
          <w:tcPr>
            <w:tcW w:w="891" w:type="dxa"/>
            <w:tcBorders>
              <w:top w:val="nil"/>
              <w:left w:val="nil"/>
              <w:bottom w:val="nil"/>
              <w:right w:val="nil"/>
            </w:tcBorders>
            <w:noWrap/>
            <w:vAlign w:val="bottom"/>
            <w:hideMark/>
          </w:tcPr>
          <w:p w14:paraId="7DDFDF14"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31</w:t>
            </w:r>
          </w:p>
        </w:tc>
        <w:tc>
          <w:tcPr>
            <w:tcW w:w="1499" w:type="dxa"/>
            <w:tcBorders>
              <w:top w:val="nil"/>
              <w:left w:val="nil"/>
              <w:bottom w:val="nil"/>
              <w:right w:val="nil"/>
            </w:tcBorders>
            <w:noWrap/>
            <w:vAlign w:val="bottom"/>
            <w:hideMark/>
          </w:tcPr>
          <w:p w14:paraId="107DF116"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3</w:t>
            </w:r>
          </w:p>
        </w:tc>
        <w:tc>
          <w:tcPr>
            <w:tcW w:w="1240" w:type="dxa"/>
            <w:tcBorders>
              <w:top w:val="nil"/>
              <w:left w:val="nil"/>
              <w:bottom w:val="nil"/>
              <w:right w:val="nil"/>
            </w:tcBorders>
            <w:noWrap/>
            <w:vAlign w:val="bottom"/>
            <w:hideMark/>
          </w:tcPr>
          <w:p w14:paraId="4A96A558" w14:textId="77777777" w:rsidR="006D0518" w:rsidRPr="006D0518" w:rsidRDefault="006D0518" w:rsidP="006D0518">
            <w:pPr>
              <w:spacing w:after="0" w:line="240" w:lineRule="auto"/>
              <w:jc w:val="right"/>
              <w:rPr>
                <w:rFonts w:ascii="Aptos Narrow" w:eastAsia="Times New Roman" w:hAnsi="Aptos Narrow" w:cs="Times New Roman"/>
                <w:color w:val="000000"/>
              </w:rPr>
            </w:pPr>
            <w:r w:rsidRPr="006D0518">
              <w:rPr>
                <w:rFonts w:ascii="Aptos Narrow" w:eastAsia="Times New Roman" w:hAnsi="Aptos Narrow" w:cs="Times New Roman"/>
                <w:color w:val="000000"/>
              </w:rPr>
              <w:t>54</w:t>
            </w:r>
          </w:p>
        </w:tc>
      </w:tr>
      <w:tr w:rsidR="006D0518" w:rsidRPr="006D0518" w14:paraId="39F6FDB8" w14:textId="77777777" w:rsidTr="006D0518">
        <w:trPr>
          <w:trHeight w:val="300"/>
        </w:trPr>
        <w:tc>
          <w:tcPr>
            <w:tcW w:w="1080" w:type="dxa"/>
            <w:tcBorders>
              <w:top w:val="single" w:sz="4" w:space="0" w:color="44B3E1"/>
              <w:left w:val="nil"/>
              <w:bottom w:val="nil"/>
              <w:right w:val="nil"/>
            </w:tcBorders>
            <w:shd w:val="clear" w:color="C0E6F5" w:fill="C0E6F5"/>
            <w:noWrap/>
            <w:vAlign w:val="bottom"/>
            <w:hideMark/>
          </w:tcPr>
          <w:p w14:paraId="3496C2CB"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Grand Total</w:t>
            </w:r>
          </w:p>
        </w:tc>
        <w:tc>
          <w:tcPr>
            <w:tcW w:w="1329" w:type="dxa"/>
            <w:tcBorders>
              <w:top w:val="single" w:sz="4" w:space="0" w:color="44B3E1"/>
              <w:left w:val="nil"/>
              <w:bottom w:val="nil"/>
              <w:right w:val="nil"/>
            </w:tcBorders>
            <w:shd w:val="clear" w:color="C0E6F5" w:fill="C0E6F5"/>
            <w:noWrap/>
            <w:vAlign w:val="bottom"/>
            <w:hideMark/>
          </w:tcPr>
          <w:p w14:paraId="16BBBD44" w14:textId="77777777" w:rsidR="006D0518" w:rsidRPr="006D0518" w:rsidRDefault="006D0518" w:rsidP="006D0518">
            <w:pPr>
              <w:spacing w:after="0" w:line="240" w:lineRule="auto"/>
              <w:jc w:val="right"/>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441</w:t>
            </w:r>
          </w:p>
        </w:tc>
        <w:tc>
          <w:tcPr>
            <w:tcW w:w="891" w:type="dxa"/>
            <w:tcBorders>
              <w:top w:val="single" w:sz="4" w:space="0" w:color="44B3E1"/>
              <w:left w:val="nil"/>
              <w:bottom w:val="nil"/>
              <w:right w:val="nil"/>
            </w:tcBorders>
            <w:shd w:val="clear" w:color="C0E6F5" w:fill="C0E6F5"/>
            <w:noWrap/>
            <w:vAlign w:val="bottom"/>
            <w:hideMark/>
          </w:tcPr>
          <w:p w14:paraId="3B58932C" w14:textId="77777777" w:rsidR="006D0518" w:rsidRPr="006D0518" w:rsidRDefault="006D0518" w:rsidP="006D0518">
            <w:pPr>
              <w:spacing w:after="0" w:line="240" w:lineRule="auto"/>
              <w:jc w:val="right"/>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465</w:t>
            </w:r>
          </w:p>
        </w:tc>
        <w:tc>
          <w:tcPr>
            <w:tcW w:w="1499" w:type="dxa"/>
            <w:tcBorders>
              <w:top w:val="single" w:sz="4" w:space="0" w:color="44B3E1"/>
              <w:left w:val="nil"/>
              <w:bottom w:val="nil"/>
              <w:right w:val="nil"/>
            </w:tcBorders>
            <w:shd w:val="clear" w:color="C0E6F5" w:fill="C0E6F5"/>
            <w:noWrap/>
            <w:vAlign w:val="bottom"/>
            <w:hideMark/>
          </w:tcPr>
          <w:p w14:paraId="5012E509" w14:textId="77777777" w:rsidR="006D0518" w:rsidRPr="006D0518" w:rsidRDefault="006D0518" w:rsidP="006D0518">
            <w:pPr>
              <w:spacing w:after="0" w:line="240" w:lineRule="auto"/>
              <w:jc w:val="right"/>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40</w:t>
            </w:r>
          </w:p>
        </w:tc>
        <w:tc>
          <w:tcPr>
            <w:tcW w:w="1240" w:type="dxa"/>
            <w:tcBorders>
              <w:top w:val="single" w:sz="4" w:space="0" w:color="44B3E1"/>
              <w:left w:val="nil"/>
              <w:bottom w:val="nil"/>
              <w:right w:val="nil"/>
            </w:tcBorders>
            <w:shd w:val="clear" w:color="C0E6F5" w:fill="C0E6F5"/>
            <w:noWrap/>
            <w:vAlign w:val="bottom"/>
            <w:hideMark/>
          </w:tcPr>
          <w:p w14:paraId="7FE9733E" w14:textId="77777777" w:rsidR="006D0518" w:rsidRPr="006D0518" w:rsidRDefault="006D0518" w:rsidP="006D0518">
            <w:pPr>
              <w:spacing w:after="0" w:line="240" w:lineRule="auto"/>
              <w:jc w:val="right"/>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946</w:t>
            </w:r>
          </w:p>
        </w:tc>
      </w:tr>
    </w:tbl>
    <w:p w14:paraId="279B4657" w14:textId="77777777" w:rsidR="006D0518" w:rsidRDefault="006D0518">
      <w:pPr>
        <w:rPr>
          <w:sz w:val="20"/>
          <w:szCs w:val="20"/>
        </w:rPr>
      </w:pPr>
    </w:p>
    <w:p w14:paraId="20AD0678" w14:textId="77777777" w:rsidR="00751C1C" w:rsidRPr="00751C1C" w:rsidRDefault="00751C1C" w:rsidP="00751C1C">
      <w:pPr>
        <w:numPr>
          <w:ilvl w:val="0"/>
          <w:numId w:val="5"/>
        </w:numPr>
        <w:rPr>
          <w:sz w:val="20"/>
          <w:szCs w:val="20"/>
        </w:rPr>
      </w:pPr>
      <w:r w:rsidRPr="00751C1C">
        <w:rPr>
          <w:sz w:val="20"/>
          <w:szCs w:val="20"/>
        </w:rPr>
        <w:t>"Average" is the most common rating, given to 420 employees, with slightly more males (212) than females (190).</w:t>
      </w:r>
    </w:p>
    <w:p w14:paraId="28DDF0A1" w14:textId="77777777" w:rsidR="00751C1C" w:rsidRPr="00751C1C" w:rsidRDefault="00751C1C" w:rsidP="00751C1C">
      <w:pPr>
        <w:numPr>
          <w:ilvl w:val="0"/>
          <w:numId w:val="5"/>
        </w:numPr>
        <w:rPr>
          <w:sz w:val="20"/>
          <w:szCs w:val="20"/>
        </w:rPr>
      </w:pPr>
      <w:r w:rsidRPr="00751C1C">
        <w:rPr>
          <w:sz w:val="20"/>
          <w:szCs w:val="20"/>
        </w:rPr>
        <w:t>71 employees were not rated at all — nearly 8% of the workforce. This raises concerns about inconsistency in performance evaluation practices.</w:t>
      </w:r>
    </w:p>
    <w:p w14:paraId="65650B74" w14:textId="77777777" w:rsidR="00751C1C" w:rsidRPr="00751C1C" w:rsidRDefault="00751C1C" w:rsidP="00751C1C">
      <w:pPr>
        <w:numPr>
          <w:ilvl w:val="0"/>
          <w:numId w:val="5"/>
        </w:numPr>
        <w:rPr>
          <w:sz w:val="20"/>
          <w:szCs w:val="20"/>
        </w:rPr>
      </w:pPr>
      <w:r w:rsidRPr="00751C1C">
        <w:rPr>
          <w:sz w:val="20"/>
          <w:szCs w:val="20"/>
        </w:rPr>
        <w:lastRenderedPageBreak/>
        <w:t>Females were more frequently rated “Very Good” (49) compared to males (36), but males were more often rated “Very Poor” (31) than females (20).</w:t>
      </w:r>
    </w:p>
    <w:p w14:paraId="70755F78" w14:textId="77777777" w:rsidR="00751C1C" w:rsidRPr="00751C1C" w:rsidRDefault="00751C1C" w:rsidP="00751C1C">
      <w:pPr>
        <w:numPr>
          <w:ilvl w:val="0"/>
          <w:numId w:val="5"/>
        </w:numPr>
        <w:rPr>
          <w:sz w:val="20"/>
          <w:szCs w:val="20"/>
        </w:rPr>
      </w:pPr>
      <w:r w:rsidRPr="00751C1C">
        <w:rPr>
          <w:sz w:val="20"/>
          <w:szCs w:val="20"/>
        </w:rPr>
        <w:t>The relatively even distribution of ratings suggests some effort at fairness, but the presence of unrated employees and outliers in extreme ratings indicates room for improvement.</w:t>
      </w:r>
    </w:p>
    <w:p w14:paraId="61DC61DF" w14:textId="77777777" w:rsidR="00751C1C" w:rsidRPr="00751C1C" w:rsidRDefault="00751C1C" w:rsidP="00751C1C">
      <w:pPr>
        <w:rPr>
          <w:sz w:val="20"/>
          <w:szCs w:val="20"/>
        </w:rPr>
      </w:pPr>
      <w:r w:rsidRPr="00751C1C">
        <w:rPr>
          <w:sz w:val="20"/>
          <w:szCs w:val="20"/>
        </w:rPr>
        <w:t>What This Tells Us:</w:t>
      </w:r>
    </w:p>
    <w:p w14:paraId="5EA39BC6" w14:textId="77777777" w:rsidR="00751C1C" w:rsidRPr="00751C1C" w:rsidRDefault="00751C1C" w:rsidP="00751C1C">
      <w:pPr>
        <w:rPr>
          <w:sz w:val="20"/>
          <w:szCs w:val="20"/>
        </w:rPr>
      </w:pPr>
      <w:proofErr w:type="spellStart"/>
      <w:r w:rsidRPr="00751C1C">
        <w:rPr>
          <w:sz w:val="20"/>
          <w:szCs w:val="20"/>
        </w:rPr>
        <w:t>Palmora</w:t>
      </w:r>
      <w:proofErr w:type="spellEnd"/>
      <w:r w:rsidRPr="00751C1C">
        <w:rPr>
          <w:sz w:val="20"/>
          <w:szCs w:val="20"/>
        </w:rPr>
        <w:t xml:space="preserve"> needs a more consistent and transparent performance review system. The gap in “Not Rated” staff shows potential oversight or bias in how evaluations are managed, which could impact bonuses, promotions, and morale</w:t>
      </w:r>
    </w:p>
    <w:p w14:paraId="6903A6D6" w14:textId="77777777" w:rsidR="006D0518" w:rsidRDefault="006D0518">
      <w:pPr>
        <w:rPr>
          <w:sz w:val="20"/>
          <w:szCs w:val="20"/>
        </w:rPr>
      </w:pPr>
    </w:p>
    <w:p w14:paraId="290EC945" w14:textId="77777777" w:rsidR="006D0518" w:rsidRDefault="006D0518">
      <w:pPr>
        <w:rPr>
          <w:sz w:val="20"/>
          <w:szCs w:val="20"/>
        </w:rPr>
      </w:pPr>
    </w:p>
    <w:p w14:paraId="00D9C12D" w14:textId="77777777" w:rsidR="006D0518" w:rsidRDefault="006D0518">
      <w:pPr>
        <w:rPr>
          <w:sz w:val="20"/>
          <w:szCs w:val="20"/>
        </w:rPr>
      </w:pPr>
    </w:p>
    <w:tbl>
      <w:tblPr>
        <w:tblW w:w="4230" w:type="dxa"/>
        <w:tblLook w:val="04A0" w:firstRow="1" w:lastRow="0" w:firstColumn="1" w:lastColumn="0" w:noHBand="0" w:noVBand="1"/>
      </w:tblPr>
      <w:tblGrid>
        <w:gridCol w:w="222"/>
        <w:gridCol w:w="2112"/>
        <w:gridCol w:w="1896"/>
      </w:tblGrid>
      <w:tr w:rsidR="006D0518" w:rsidRPr="006D0518" w14:paraId="7AFDBCB6" w14:textId="77777777" w:rsidTr="006D0518">
        <w:trPr>
          <w:trHeight w:val="300"/>
        </w:trPr>
        <w:tc>
          <w:tcPr>
            <w:tcW w:w="4230" w:type="dxa"/>
            <w:gridSpan w:val="3"/>
            <w:tcBorders>
              <w:top w:val="nil"/>
              <w:left w:val="nil"/>
              <w:bottom w:val="nil"/>
              <w:right w:val="nil"/>
            </w:tcBorders>
            <w:noWrap/>
            <w:vAlign w:val="bottom"/>
            <w:hideMark/>
          </w:tcPr>
          <w:p w14:paraId="3FE15AB9" w14:textId="77777777" w:rsidR="007A7BBF" w:rsidRDefault="007A7BBF" w:rsidP="006D0518">
            <w:pPr>
              <w:spacing w:after="0" w:line="240" w:lineRule="auto"/>
              <w:rPr>
                <w:rFonts w:ascii="Aptos Narrow" w:eastAsia="Times New Roman" w:hAnsi="Aptos Narrow" w:cs="Times New Roman"/>
                <w:b/>
                <w:bCs/>
                <w:color w:val="000000"/>
              </w:rPr>
            </w:pPr>
          </w:p>
          <w:p w14:paraId="2AA3DEAE" w14:textId="77777777" w:rsidR="007A7BBF" w:rsidRDefault="007A7BBF" w:rsidP="006D0518">
            <w:pPr>
              <w:spacing w:after="0" w:line="240" w:lineRule="auto"/>
              <w:rPr>
                <w:rFonts w:ascii="Aptos Narrow" w:eastAsia="Times New Roman" w:hAnsi="Aptos Narrow" w:cs="Times New Roman"/>
                <w:b/>
                <w:bCs/>
                <w:color w:val="000000"/>
              </w:rPr>
            </w:pPr>
          </w:p>
          <w:p w14:paraId="56DC0C4C" w14:textId="77777777" w:rsidR="007A7BBF" w:rsidRDefault="007A7BBF" w:rsidP="006D0518">
            <w:pPr>
              <w:spacing w:after="0" w:line="240" w:lineRule="auto"/>
              <w:rPr>
                <w:rFonts w:ascii="Aptos Narrow" w:eastAsia="Times New Roman" w:hAnsi="Aptos Narrow" w:cs="Times New Roman"/>
                <w:b/>
                <w:bCs/>
                <w:color w:val="000000"/>
              </w:rPr>
            </w:pPr>
          </w:p>
          <w:p w14:paraId="2BDFF14F" w14:textId="77777777" w:rsidR="007A7BBF" w:rsidRDefault="007A7BBF" w:rsidP="006D0518">
            <w:pPr>
              <w:spacing w:after="0" w:line="240" w:lineRule="auto"/>
              <w:rPr>
                <w:rFonts w:ascii="Aptos Narrow" w:eastAsia="Times New Roman" w:hAnsi="Aptos Narrow" w:cs="Times New Roman"/>
                <w:b/>
                <w:bCs/>
                <w:color w:val="000000"/>
              </w:rPr>
            </w:pPr>
          </w:p>
          <w:p w14:paraId="2F321FE6" w14:textId="77777777" w:rsidR="007A7BBF" w:rsidRDefault="007A7BBF" w:rsidP="006D0518">
            <w:pPr>
              <w:spacing w:after="0" w:line="240" w:lineRule="auto"/>
              <w:rPr>
                <w:rFonts w:ascii="Aptos Narrow" w:eastAsia="Times New Roman" w:hAnsi="Aptos Narrow" w:cs="Times New Roman"/>
                <w:b/>
                <w:bCs/>
                <w:color w:val="000000"/>
              </w:rPr>
            </w:pPr>
          </w:p>
          <w:p w14:paraId="73C58149" w14:textId="49391D9E"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 xml:space="preserve">TOTAL PAYOUT BY REGION AND COMPANY WIDE </w:t>
            </w:r>
          </w:p>
        </w:tc>
      </w:tr>
      <w:tr w:rsidR="006D0518" w:rsidRPr="006D0518" w14:paraId="209902BC" w14:textId="77777777" w:rsidTr="006D0518">
        <w:trPr>
          <w:trHeight w:val="360"/>
        </w:trPr>
        <w:tc>
          <w:tcPr>
            <w:tcW w:w="222" w:type="dxa"/>
            <w:tcBorders>
              <w:top w:val="nil"/>
              <w:left w:val="nil"/>
              <w:bottom w:val="nil"/>
              <w:right w:val="nil"/>
            </w:tcBorders>
            <w:noWrap/>
            <w:vAlign w:val="bottom"/>
            <w:hideMark/>
          </w:tcPr>
          <w:p w14:paraId="733D813C" w14:textId="77777777" w:rsidR="006D0518" w:rsidRPr="006D0518" w:rsidRDefault="006D0518" w:rsidP="006D0518">
            <w:pPr>
              <w:spacing w:after="0" w:line="240" w:lineRule="auto"/>
              <w:rPr>
                <w:rFonts w:ascii="Aptos Narrow" w:eastAsia="Times New Roman" w:hAnsi="Aptos Narrow" w:cs="Times New Roman"/>
                <w:b/>
                <w:bCs/>
                <w:color w:val="000000"/>
              </w:rPr>
            </w:pPr>
          </w:p>
        </w:tc>
        <w:tc>
          <w:tcPr>
            <w:tcW w:w="2112" w:type="dxa"/>
            <w:tcBorders>
              <w:top w:val="nil"/>
              <w:left w:val="nil"/>
              <w:bottom w:val="nil"/>
              <w:right w:val="nil"/>
            </w:tcBorders>
            <w:noWrap/>
            <w:vAlign w:val="bottom"/>
            <w:hideMark/>
          </w:tcPr>
          <w:p w14:paraId="1993C306" w14:textId="77777777" w:rsidR="006D0518" w:rsidRPr="006D0518" w:rsidRDefault="006D0518" w:rsidP="006D0518">
            <w:pPr>
              <w:spacing w:after="0" w:line="240" w:lineRule="auto"/>
              <w:rPr>
                <w:rFonts w:ascii="Times New Roman" w:eastAsia="Times New Roman" w:hAnsi="Times New Roman" w:cs="Times New Roman"/>
                <w:sz w:val="20"/>
                <w:szCs w:val="20"/>
              </w:rPr>
            </w:pPr>
          </w:p>
        </w:tc>
        <w:tc>
          <w:tcPr>
            <w:tcW w:w="1896" w:type="dxa"/>
            <w:tcBorders>
              <w:top w:val="nil"/>
              <w:left w:val="nil"/>
              <w:bottom w:val="nil"/>
              <w:right w:val="nil"/>
            </w:tcBorders>
            <w:noWrap/>
            <w:vAlign w:val="bottom"/>
            <w:hideMark/>
          </w:tcPr>
          <w:p w14:paraId="54AD8A21" w14:textId="77777777" w:rsidR="006D0518" w:rsidRPr="006D0518" w:rsidRDefault="006D0518" w:rsidP="006D0518">
            <w:pPr>
              <w:spacing w:after="0" w:line="240" w:lineRule="auto"/>
              <w:rPr>
                <w:rFonts w:ascii="Times New Roman" w:eastAsia="Times New Roman" w:hAnsi="Times New Roman" w:cs="Times New Roman"/>
                <w:sz w:val="20"/>
                <w:szCs w:val="20"/>
              </w:rPr>
            </w:pPr>
          </w:p>
        </w:tc>
      </w:tr>
      <w:tr w:rsidR="006D0518" w:rsidRPr="006D0518" w14:paraId="02A97CBB" w14:textId="77777777" w:rsidTr="006D0518">
        <w:trPr>
          <w:trHeight w:val="300"/>
        </w:trPr>
        <w:tc>
          <w:tcPr>
            <w:tcW w:w="222" w:type="dxa"/>
            <w:tcBorders>
              <w:top w:val="nil"/>
              <w:left w:val="nil"/>
              <w:bottom w:val="nil"/>
              <w:right w:val="nil"/>
            </w:tcBorders>
            <w:noWrap/>
            <w:vAlign w:val="bottom"/>
            <w:hideMark/>
          </w:tcPr>
          <w:p w14:paraId="290AAB9B" w14:textId="77777777" w:rsidR="006D0518" w:rsidRPr="006D0518" w:rsidRDefault="006D0518" w:rsidP="006D0518">
            <w:pPr>
              <w:spacing w:after="0" w:line="240" w:lineRule="auto"/>
              <w:rPr>
                <w:rFonts w:ascii="Times New Roman" w:eastAsia="Times New Roman" w:hAnsi="Times New Roman" w:cs="Times New Roman"/>
                <w:sz w:val="20"/>
                <w:szCs w:val="20"/>
              </w:rPr>
            </w:pPr>
          </w:p>
        </w:tc>
        <w:tc>
          <w:tcPr>
            <w:tcW w:w="2112" w:type="dxa"/>
            <w:tcBorders>
              <w:top w:val="nil"/>
              <w:left w:val="nil"/>
              <w:bottom w:val="single" w:sz="4" w:space="0" w:color="44B3E1"/>
              <w:right w:val="nil"/>
            </w:tcBorders>
            <w:shd w:val="clear" w:color="C0E6F5" w:fill="C0E6F5"/>
            <w:noWrap/>
            <w:vAlign w:val="bottom"/>
            <w:hideMark/>
          </w:tcPr>
          <w:p w14:paraId="196633D3"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Region</w:t>
            </w:r>
          </w:p>
        </w:tc>
        <w:tc>
          <w:tcPr>
            <w:tcW w:w="1896" w:type="dxa"/>
            <w:tcBorders>
              <w:top w:val="nil"/>
              <w:left w:val="nil"/>
              <w:bottom w:val="single" w:sz="4" w:space="0" w:color="44B3E1"/>
              <w:right w:val="nil"/>
            </w:tcBorders>
            <w:shd w:val="clear" w:color="C0E6F5" w:fill="C0E6F5"/>
            <w:noWrap/>
            <w:vAlign w:val="bottom"/>
            <w:hideMark/>
          </w:tcPr>
          <w:p w14:paraId="00DEE951"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 xml:space="preserve"> Total Payouts </w:t>
            </w:r>
          </w:p>
        </w:tc>
      </w:tr>
      <w:tr w:rsidR="006D0518" w:rsidRPr="006D0518" w14:paraId="7A9D1E33" w14:textId="77777777" w:rsidTr="006D0518">
        <w:trPr>
          <w:trHeight w:val="300"/>
        </w:trPr>
        <w:tc>
          <w:tcPr>
            <w:tcW w:w="222" w:type="dxa"/>
            <w:tcBorders>
              <w:top w:val="nil"/>
              <w:left w:val="nil"/>
              <w:bottom w:val="nil"/>
              <w:right w:val="nil"/>
            </w:tcBorders>
            <w:noWrap/>
            <w:vAlign w:val="bottom"/>
            <w:hideMark/>
          </w:tcPr>
          <w:p w14:paraId="3B22BD2B" w14:textId="77777777" w:rsidR="006D0518" w:rsidRPr="006D0518" w:rsidRDefault="006D0518" w:rsidP="006D0518">
            <w:pPr>
              <w:spacing w:after="0" w:line="240" w:lineRule="auto"/>
              <w:rPr>
                <w:rFonts w:ascii="Aptos Narrow" w:eastAsia="Times New Roman" w:hAnsi="Aptos Narrow" w:cs="Times New Roman"/>
                <w:b/>
                <w:bCs/>
                <w:color w:val="000000"/>
              </w:rPr>
            </w:pPr>
          </w:p>
        </w:tc>
        <w:tc>
          <w:tcPr>
            <w:tcW w:w="2112" w:type="dxa"/>
            <w:tcBorders>
              <w:top w:val="nil"/>
              <w:left w:val="nil"/>
              <w:bottom w:val="nil"/>
              <w:right w:val="nil"/>
            </w:tcBorders>
            <w:noWrap/>
            <w:vAlign w:val="bottom"/>
            <w:hideMark/>
          </w:tcPr>
          <w:p w14:paraId="3EBFF88B"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Abuja</w:t>
            </w:r>
          </w:p>
        </w:tc>
        <w:tc>
          <w:tcPr>
            <w:tcW w:w="1896" w:type="dxa"/>
            <w:tcBorders>
              <w:top w:val="nil"/>
              <w:left w:val="nil"/>
              <w:bottom w:val="nil"/>
              <w:right w:val="nil"/>
            </w:tcBorders>
            <w:noWrap/>
            <w:vAlign w:val="bottom"/>
            <w:hideMark/>
          </w:tcPr>
          <w:p w14:paraId="65AEB686"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 xml:space="preserve"> </w:t>
            </w:r>
            <w:proofErr w:type="gramStart"/>
            <w:r w:rsidRPr="006D0518">
              <w:rPr>
                <w:rFonts w:ascii="Aptos Narrow" w:eastAsia="Times New Roman" w:hAnsi="Aptos Narrow" w:cs="Times New Roman"/>
                <w:color w:val="000000"/>
              </w:rPr>
              <w:t>$  24,917,424.21</w:t>
            </w:r>
            <w:proofErr w:type="gramEnd"/>
            <w:r w:rsidRPr="006D0518">
              <w:rPr>
                <w:rFonts w:ascii="Aptos Narrow" w:eastAsia="Times New Roman" w:hAnsi="Aptos Narrow" w:cs="Times New Roman"/>
                <w:color w:val="000000"/>
              </w:rPr>
              <w:t xml:space="preserve"> </w:t>
            </w:r>
          </w:p>
        </w:tc>
      </w:tr>
      <w:tr w:rsidR="006D0518" w:rsidRPr="006D0518" w14:paraId="2E8B4904" w14:textId="77777777" w:rsidTr="006D0518">
        <w:trPr>
          <w:trHeight w:val="300"/>
        </w:trPr>
        <w:tc>
          <w:tcPr>
            <w:tcW w:w="222" w:type="dxa"/>
            <w:tcBorders>
              <w:top w:val="nil"/>
              <w:left w:val="nil"/>
              <w:bottom w:val="nil"/>
              <w:right w:val="nil"/>
            </w:tcBorders>
            <w:noWrap/>
            <w:vAlign w:val="bottom"/>
            <w:hideMark/>
          </w:tcPr>
          <w:p w14:paraId="789C7D77" w14:textId="77777777" w:rsidR="006D0518" w:rsidRPr="006D0518" w:rsidRDefault="006D0518" w:rsidP="006D0518">
            <w:pPr>
              <w:spacing w:after="0" w:line="240" w:lineRule="auto"/>
              <w:rPr>
                <w:rFonts w:ascii="Aptos Narrow" w:eastAsia="Times New Roman" w:hAnsi="Aptos Narrow" w:cs="Times New Roman"/>
                <w:color w:val="000000"/>
              </w:rPr>
            </w:pPr>
          </w:p>
        </w:tc>
        <w:tc>
          <w:tcPr>
            <w:tcW w:w="2112" w:type="dxa"/>
            <w:tcBorders>
              <w:top w:val="nil"/>
              <w:left w:val="nil"/>
              <w:bottom w:val="nil"/>
              <w:right w:val="nil"/>
            </w:tcBorders>
            <w:noWrap/>
            <w:vAlign w:val="bottom"/>
            <w:hideMark/>
          </w:tcPr>
          <w:p w14:paraId="268630A6"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Kaduna</w:t>
            </w:r>
          </w:p>
        </w:tc>
        <w:tc>
          <w:tcPr>
            <w:tcW w:w="1896" w:type="dxa"/>
            <w:tcBorders>
              <w:top w:val="nil"/>
              <w:left w:val="nil"/>
              <w:bottom w:val="nil"/>
              <w:right w:val="nil"/>
            </w:tcBorders>
            <w:noWrap/>
            <w:vAlign w:val="bottom"/>
            <w:hideMark/>
          </w:tcPr>
          <w:p w14:paraId="050511DF"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 xml:space="preserve"> </w:t>
            </w:r>
            <w:proofErr w:type="gramStart"/>
            <w:r w:rsidRPr="006D0518">
              <w:rPr>
                <w:rFonts w:ascii="Aptos Narrow" w:eastAsia="Times New Roman" w:hAnsi="Aptos Narrow" w:cs="Times New Roman"/>
                <w:color w:val="000000"/>
              </w:rPr>
              <w:t>$  27,478,731.78</w:t>
            </w:r>
            <w:proofErr w:type="gramEnd"/>
            <w:r w:rsidRPr="006D0518">
              <w:rPr>
                <w:rFonts w:ascii="Aptos Narrow" w:eastAsia="Times New Roman" w:hAnsi="Aptos Narrow" w:cs="Times New Roman"/>
                <w:color w:val="000000"/>
              </w:rPr>
              <w:t xml:space="preserve"> </w:t>
            </w:r>
          </w:p>
        </w:tc>
      </w:tr>
      <w:tr w:rsidR="006D0518" w:rsidRPr="006D0518" w14:paraId="36D07793" w14:textId="77777777" w:rsidTr="006D0518">
        <w:trPr>
          <w:trHeight w:val="300"/>
        </w:trPr>
        <w:tc>
          <w:tcPr>
            <w:tcW w:w="222" w:type="dxa"/>
            <w:tcBorders>
              <w:top w:val="nil"/>
              <w:left w:val="nil"/>
              <w:bottom w:val="nil"/>
              <w:right w:val="nil"/>
            </w:tcBorders>
            <w:noWrap/>
            <w:vAlign w:val="bottom"/>
            <w:hideMark/>
          </w:tcPr>
          <w:p w14:paraId="307CF05A" w14:textId="77777777" w:rsidR="006D0518" w:rsidRPr="006D0518" w:rsidRDefault="006D0518" w:rsidP="006D0518">
            <w:pPr>
              <w:spacing w:after="0" w:line="240" w:lineRule="auto"/>
              <w:rPr>
                <w:rFonts w:ascii="Aptos Narrow" w:eastAsia="Times New Roman" w:hAnsi="Aptos Narrow" w:cs="Times New Roman"/>
                <w:color w:val="000000"/>
              </w:rPr>
            </w:pPr>
          </w:p>
        </w:tc>
        <w:tc>
          <w:tcPr>
            <w:tcW w:w="2112" w:type="dxa"/>
            <w:tcBorders>
              <w:top w:val="nil"/>
              <w:left w:val="nil"/>
              <w:bottom w:val="nil"/>
              <w:right w:val="nil"/>
            </w:tcBorders>
            <w:noWrap/>
            <w:vAlign w:val="bottom"/>
            <w:hideMark/>
          </w:tcPr>
          <w:p w14:paraId="441D74A0"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Lagos</w:t>
            </w:r>
          </w:p>
        </w:tc>
        <w:tc>
          <w:tcPr>
            <w:tcW w:w="1896" w:type="dxa"/>
            <w:tcBorders>
              <w:top w:val="nil"/>
              <w:left w:val="nil"/>
              <w:bottom w:val="nil"/>
              <w:right w:val="nil"/>
            </w:tcBorders>
            <w:noWrap/>
            <w:vAlign w:val="bottom"/>
            <w:hideMark/>
          </w:tcPr>
          <w:p w14:paraId="3910065A" w14:textId="77777777" w:rsidR="006D0518" w:rsidRPr="006D0518" w:rsidRDefault="006D0518" w:rsidP="006D0518">
            <w:pPr>
              <w:spacing w:after="0" w:line="240" w:lineRule="auto"/>
              <w:rPr>
                <w:rFonts w:ascii="Aptos Narrow" w:eastAsia="Times New Roman" w:hAnsi="Aptos Narrow" w:cs="Times New Roman"/>
                <w:color w:val="000000"/>
              </w:rPr>
            </w:pPr>
            <w:r w:rsidRPr="006D0518">
              <w:rPr>
                <w:rFonts w:ascii="Aptos Narrow" w:eastAsia="Times New Roman" w:hAnsi="Aptos Narrow" w:cs="Times New Roman"/>
                <w:color w:val="000000"/>
              </w:rPr>
              <w:t xml:space="preserve"> </w:t>
            </w:r>
            <w:proofErr w:type="gramStart"/>
            <w:r w:rsidRPr="006D0518">
              <w:rPr>
                <w:rFonts w:ascii="Aptos Narrow" w:eastAsia="Times New Roman" w:hAnsi="Aptos Narrow" w:cs="Times New Roman"/>
                <w:color w:val="000000"/>
              </w:rPr>
              <w:t>$  19,526,793.31</w:t>
            </w:r>
            <w:proofErr w:type="gramEnd"/>
            <w:r w:rsidRPr="006D0518">
              <w:rPr>
                <w:rFonts w:ascii="Aptos Narrow" w:eastAsia="Times New Roman" w:hAnsi="Aptos Narrow" w:cs="Times New Roman"/>
                <w:color w:val="000000"/>
              </w:rPr>
              <w:t xml:space="preserve"> </w:t>
            </w:r>
          </w:p>
        </w:tc>
      </w:tr>
      <w:tr w:rsidR="006D0518" w:rsidRPr="006D0518" w14:paraId="78D216B5" w14:textId="77777777" w:rsidTr="006D0518">
        <w:trPr>
          <w:trHeight w:val="300"/>
        </w:trPr>
        <w:tc>
          <w:tcPr>
            <w:tcW w:w="222" w:type="dxa"/>
            <w:tcBorders>
              <w:top w:val="nil"/>
              <w:left w:val="nil"/>
              <w:bottom w:val="nil"/>
              <w:right w:val="nil"/>
            </w:tcBorders>
            <w:noWrap/>
            <w:vAlign w:val="bottom"/>
            <w:hideMark/>
          </w:tcPr>
          <w:p w14:paraId="768803D0" w14:textId="77777777" w:rsidR="006D0518" w:rsidRPr="006D0518" w:rsidRDefault="006D0518" w:rsidP="006D0518">
            <w:pPr>
              <w:spacing w:after="0" w:line="240" w:lineRule="auto"/>
              <w:rPr>
                <w:rFonts w:ascii="Aptos Narrow" w:eastAsia="Times New Roman" w:hAnsi="Aptos Narrow" w:cs="Times New Roman"/>
                <w:color w:val="000000"/>
              </w:rPr>
            </w:pPr>
          </w:p>
        </w:tc>
        <w:tc>
          <w:tcPr>
            <w:tcW w:w="2112" w:type="dxa"/>
            <w:tcBorders>
              <w:top w:val="single" w:sz="4" w:space="0" w:color="44B3E1"/>
              <w:left w:val="nil"/>
              <w:bottom w:val="nil"/>
              <w:right w:val="nil"/>
            </w:tcBorders>
            <w:shd w:val="clear" w:color="C0E6F5" w:fill="C0E6F5"/>
            <w:noWrap/>
            <w:vAlign w:val="bottom"/>
            <w:hideMark/>
          </w:tcPr>
          <w:p w14:paraId="5B07325B" w14:textId="77777777"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Total Company Payout</w:t>
            </w:r>
          </w:p>
        </w:tc>
        <w:tc>
          <w:tcPr>
            <w:tcW w:w="1896" w:type="dxa"/>
            <w:tcBorders>
              <w:top w:val="single" w:sz="4" w:space="0" w:color="44B3E1"/>
              <w:left w:val="nil"/>
              <w:bottom w:val="nil"/>
              <w:right w:val="nil"/>
            </w:tcBorders>
            <w:shd w:val="clear" w:color="C0E6F5" w:fill="C0E6F5"/>
            <w:noWrap/>
            <w:vAlign w:val="bottom"/>
            <w:hideMark/>
          </w:tcPr>
          <w:p w14:paraId="3E23A733" w14:textId="6167FC41" w:rsidR="006D0518" w:rsidRPr="006D0518" w:rsidRDefault="006D0518" w:rsidP="006D0518">
            <w:pPr>
              <w:spacing w:after="0" w:line="240" w:lineRule="auto"/>
              <w:rPr>
                <w:rFonts w:ascii="Aptos Narrow" w:eastAsia="Times New Roman" w:hAnsi="Aptos Narrow" w:cs="Times New Roman"/>
                <w:b/>
                <w:bCs/>
                <w:color w:val="000000"/>
              </w:rPr>
            </w:pPr>
            <w:r w:rsidRPr="006D0518">
              <w:rPr>
                <w:rFonts w:ascii="Aptos Narrow" w:eastAsia="Times New Roman" w:hAnsi="Aptos Narrow" w:cs="Times New Roman"/>
                <w:b/>
                <w:bCs/>
                <w:color w:val="000000"/>
              </w:rPr>
              <w:t xml:space="preserve"> $ 71,922,949.30 </w:t>
            </w:r>
          </w:p>
        </w:tc>
      </w:tr>
    </w:tbl>
    <w:p w14:paraId="3E72C91D" w14:textId="77777777" w:rsidR="006D0518" w:rsidRDefault="006D0518">
      <w:pPr>
        <w:rPr>
          <w:sz w:val="20"/>
          <w:szCs w:val="20"/>
        </w:rPr>
      </w:pPr>
    </w:p>
    <w:p w14:paraId="2E3C92CC" w14:textId="77777777" w:rsidR="00751C1C" w:rsidRPr="00751C1C" w:rsidRDefault="00751C1C" w:rsidP="00751C1C">
      <w:pPr>
        <w:rPr>
          <w:sz w:val="20"/>
          <w:szCs w:val="20"/>
        </w:rPr>
      </w:pPr>
      <w:r w:rsidRPr="00751C1C">
        <w:rPr>
          <w:sz w:val="20"/>
          <w:szCs w:val="20"/>
        </w:rPr>
        <w:t xml:space="preserve">Total Payout Insights </w:t>
      </w:r>
    </w:p>
    <w:p w14:paraId="64D86C35" w14:textId="73A1E36B" w:rsidR="00751C1C" w:rsidRPr="00751C1C" w:rsidRDefault="00751C1C" w:rsidP="00751C1C">
      <w:pPr>
        <w:rPr>
          <w:sz w:val="20"/>
          <w:szCs w:val="20"/>
        </w:rPr>
      </w:pPr>
      <w:proofErr w:type="spellStart"/>
      <w:r w:rsidRPr="00751C1C">
        <w:rPr>
          <w:sz w:val="20"/>
          <w:szCs w:val="20"/>
        </w:rPr>
        <w:t>Palmora</w:t>
      </w:r>
      <w:proofErr w:type="spellEnd"/>
      <w:r w:rsidRPr="00751C1C">
        <w:rPr>
          <w:sz w:val="20"/>
          <w:szCs w:val="20"/>
        </w:rPr>
        <w:t xml:space="preserve"> Group spent over </w:t>
      </w:r>
      <w:r w:rsidR="00277766">
        <w:rPr>
          <w:sz w:val="20"/>
          <w:szCs w:val="20"/>
        </w:rPr>
        <w:t>$</w:t>
      </w:r>
      <w:r w:rsidRPr="00751C1C">
        <w:rPr>
          <w:sz w:val="20"/>
          <w:szCs w:val="20"/>
        </w:rPr>
        <w:t xml:space="preserve">71.9 million in total employee compensation across all three regions. </w:t>
      </w:r>
    </w:p>
    <w:p w14:paraId="5DBC0DC3" w14:textId="77777777" w:rsidR="00751C1C" w:rsidRPr="00751C1C" w:rsidRDefault="00751C1C" w:rsidP="00751C1C">
      <w:pPr>
        <w:rPr>
          <w:sz w:val="20"/>
          <w:szCs w:val="20"/>
        </w:rPr>
      </w:pPr>
      <w:r w:rsidRPr="00751C1C">
        <w:rPr>
          <w:sz w:val="20"/>
          <w:szCs w:val="20"/>
        </w:rPr>
        <w:t xml:space="preserve">Regional Breakdown: </w:t>
      </w:r>
    </w:p>
    <w:p w14:paraId="1268C9E2" w14:textId="6F08F1A1" w:rsidR="00751C1C" w:rsidRPr="00751C1C" w:rsidRDefault="00751C1C" w:rsidP="00751C1C">
      <w:pPr>
        <w:rPr>
          <w:sz w:val="20"/>
          <w:szCs w:val="20"/>
        </w:rPr>
      </w:pPr>
      <w:r w:rsidRPr="00751C1C">
        <w:rPr>
          <w:sz w:val="20"/>
          <w:szCs w:val="20"/>
        </w:rPr>
        <w:t xml:space="preserve">• Kaduna had the highest payout at </w:t>
      </w:r>
      <w:r w:rsidR="00277766">
        <w:rPr>
          <w:sz w:val="20"/>
          <w:szCs w:val="20"/>
        </w:rPr>
        <w:t>$</w:t>
      </w:r>
      <w:r w:rsidRPr="00751C1C">
        <w:rPr>
          <w:sz w:val="20"/>
          <w:szCs w:val="20"/>
        </w:rPr>
        <w:t xml:space="preserve">27.48 million, likely due to a larger headcount or higher salary allocations in specific departments. </w:t>
      </w:r>
    </w:p>
    <w:p w14:paraId="5915A6FC" w14:textId="112B12EA" w:rsidR="00751C1C" w:rsidRPr="00751C1C" w:rsidRDefault="00751C1C" w:rsidP="00751C1C">
      <w:pPr>
        <w:rPr>
          <w:sz w:val="20"/>
          <w:szCs w:val="20"/>
        </w:rPr>
      </w:pPr>
      <w:r w:rsidRPr="00751C1C">
        <w:rPr>
          <w:sz w:val="20"/>
          <w:szCs w:val="20"/>
        </w:rPr>
        <w:t xml:space="preserve">• Abuja followed with </w:t>
      </w:r>
      <w:r w:rsidR="00277766">
        <w:rPr>
          <w:sz w:val="20"/>
          <w:szCs w:val="20"/>
        </w:rPr>
        <w:t>$</w:t>
      </w:r>
      <w:r w:rsidRPr="00751C1C">
        <w:rPr>
          <w:sz w:val="20"/>
          <w:szCs w:val="20"/>
        </w:rPr>
        <w:t xml:space="preserve">24.91 million, showing a fairly balanced compensation structure. </w:t>
      </w:r>
    </w:p>
    <w:p w14:paraId="2EB4011E" w14:textId="4B1F3504" w:rsidR="00751C1C" w:rsidRPr="00751C1C" w:rsidRDefault="00751C1C" w:rsidP="00751C1C">
      <w:pPr>
        <w:rPr>
          <w:sz w:val="20"/>
          <w:szCs w:val="20"/>
        </w:rPr>
      </w:pPr>
      <w:r w:rsidRPr="00751C1C">
        <w:rPr>
          <w:sz w:val="20"/>
          <w:szCs w:val="20"/>
        </w:rPr>
        <w:t xml:space="preserve">• Lagos, despite being the commercial hub, had the lowest payout at </w:t>
      </w:r>
      <w:r w:rsidR="00277766">
        <w:rPr>
          <w:sz w:val="20"/>
          <w:szCs w:val="20"/>
        </w:rPr>
        <w:t>$</w:t>
      </w:r>
      <w:r w:rsidRPr="00751C1C">
        <w:rPr>
          <w:sz w:val="20"/>
          <w:szCs w:val="20"/>
        </w:rPr>
        <w:t xml:space="preserve">19.52 million, which may suggest either fewer employees or more staff in lower salary bands. </w:t>
      </w:r>
    </w:p>
    <w:p w14:paraId="4A9BA122" w14:textId="77777777" w:rsidR="00751C1C" w:rsidRPr="00751C1C" w:rsidRDefault="00751C1C" w:rsidP="00751C1C">
      <w:pPr>
        <w:rPr>
          <w:sz w:val="20"/>
          <w:szCs w:val="20"/>
        </w:rPr>
      </w:pPr>
      <w:r w:rsidRPr="00751C1C">
        <w:rPr>
          <w:sz w:val="20"/>
          <w:szCs w:val="20"/>
        </w:rPr>
        <w:t xml:space="preserve">What This Means: </w:t>
      </w:r>
    </w:p>
    <w:p w14:paraId="4F8168E5" w14:textId="77777777" w:rsidR="00751C1C" w:rsidRPr="00751C1C" w:rsidRDefault="00751C1C" w:rsidP="00751C1C">
      <w:pPr>
        <w:rPr>
          <w:sz w:val="20"/>
          <w:szCs w:val="20"/>
        </w:rPr>
      </w:pPr>
      <w:r w:rsidRPr="00751C1C">
        <w:rPr>
          <w:sz w:val="20"/>
          <w:szCs w:val="20"/>
        </w:rPr>
        <w:t xml:space="preserve">The variation in payouts highlights regional differences in either staffing levels, salary structures, or role distributions. This insight can guide resource planning, cost optimization, and future compensation audits. </w:t>
      </w:r>
    </w:p>
    <w:p w14:paraId="0FA7F78A" w14:textId="77777777" w:rsidR="00751C1C" w:rsidRPr="00ED7CF0" w:rsidRDefault="00751C1C">
      <w:pPr>
        <w:rPr>
          <w:sz w:val="20"/>
          <w:szCs w:val="20"/>
        </w:rPr>
      </w:pPr>
    </w:p>
    <w:sectPr w:rsidR="00751C1C" w:rsidRPr="00ED7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erriweather-Light">
    <w:altName w:val="Merriweather"/>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96C"/>
    <w:multiLevelType w:val="multilevel"/>
    <w:tmpl w:val="DC70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7B0C"/>
    <w:multiLevelType w:val="multilevel"/>
    <w:tmpl w:val="7BFE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65598"/>
    <w:multiLevelType w:val="multilevel"/>
    <w:tmpl w:val="DAD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B5C80"/>
    <w:multiLevelType w:val="multilevel"/>
    <w:tmpl w:val="A8A2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9119E"/>
    <w:multiLevelType w:val="multilevel"/>
    <w:tmpl w:val="F6DC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B3C1E"/>
    <w:multiLevelType w:val="multilevel"/>
    <w:tmpl w:val="103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217794">
    <w:abstractNumId w:val="0"/>
  </w:num>
  <w:num w:numId="2" w16cid:durableId="1627664675">
    <w:abstractNumId w:val="5"/>
  </w:num>
  <w:num w:numId="3" w16cid:durableId="1751610160">
    <w:abstractNumId w:val="1"/>
  </w:num>
  <w:num w:numId="4" w16cid:durableId="951017213">
    <w:abstractNumId w:val="4"/>
  </w:num>
  <w:num w:numId="5" w16cid:durableId="791752411">
    <w:abstractNumId w:val="2"/>
  </w:num>
  <w:num w:numId="6" w16cid:durableId="561911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F0"/>
    <w:rsid w:val="00277766"/>
    <w:rsid w:val="003478BA"/>
    <w:rsid w:val="00482E9E"/>
    <w:rsid w:val="006D0518"/>
    <w:rsid w:val="00751C1C"/>
    <w:rsid w:val="007727E7"/>
    <w:rsid w:val="007A7BBF"/>
    <w:rsid w:val="00912AA7"/>
    <w:rsid w:val="00950F69"/>
    <w:rsid w:val="00A602B1"/>
    <w:rsid w:val="00C7206F"/>
    <w:rsid w:val="00ED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8725"/>
  <w15:chartTrackingRefBased/>
  <w15:docId w15:val="{AAC9E80C-8C30-4806-BF27-16CABC41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7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7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CF0"/>
    <w:rPr>
      <w:rFonts w:eastAsiaTheme="majorEastAsia" w:cstheme="majorBidi"/>
      <w:color w:val="272727" w:themeColor="text1" w:themeTint="D8"/>
    </w:rPr>
  </w:style>
  <w:style w:type="paragraph" w:styleId="Title">
    <w:name w:val="Title"/>
    <w:basedOn w:val="Normal"/>
    <w:next w:val="Normal"/>
    <w:link w:val="TitleChar"/>
    <w:uiPriority w:val="10"/>
    <w:qFormat/>
    <w:rsid w:val="00ED7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CF0"/>
    <w:pPr>
      <w:spacing w:before="160"/>
      <w:jc w:val="center"/>
    </w:pPr>
    <w:rPr>
      <w:i/>
      <w:iCs/>
      <w:color w:val="404040" w:themeColor="text1" w:themeTint="BF"/>
    </w:rPr>
  </w:style>
  <w:style w:type="character" w:customStyle="1" w:styleId="QuoteChar">
    <w:name w:val="Quote Char"/>
    <w:basedOn w:val="DefaultParagraphFont"/>
    <w:link w:val="Quote"/>
    <w:uiPriority w:val="29"/>
    <w:rsid w:val="00ED7CF0"/>
    <w:rPr>
      <w:i/>
      <w:iCs/>
      <w:color w:val="404040" w:themeColor="text1" w:themeTint="BF"/>
    </w:rPr>
  </w:style>
  <w:style w:type="paragraph" w:styleId="ListParagraph">
    <w:name w:val="List Paragraph"/>
    <w:basedOn w:val="Normal"/>
    <w:uiPriority w:val="34"/>
    <w:qFormat/>
    <w:rsid w:val="00ED7CF0"/>
    <w:pPr>
      <w:ind w:left="720"/>
      <w:contextualSpacing/>
    </w:pPr>
  </w:style>
  <w:style w:type="character" w:styleId="IntenseEmphasis">
    <w:name w:val="Intense Emphasis"/>
    <w:basedOn w:val="DefaultParagraphFont"/>
    <w:uiPriority w:val="21"/>
    <w:qFormat/>
    <w:rsid w:val="00ED7CF0"/>
    <w:rPr>
      <w:i/>
      <w:iCs/>
      <w:color w:val="0F4761" w:themeColor="accent1" w:themeShade="BF"/>
    </w:rPr>
  </w:style>
  <w:style w:type="paragraph" w:styleId="IntenseQuote">
    <w:name w:val="Intense Quote"/>
    <w:basedOn w:val="Normal"/>
    <w:next w:val="Normal"/>
    <w:link w:val="IntenseQuoteChar"/>
    <w:uiPriority w:val="30"/>
    <w:qFormat/>
    <w:rsid w:val="00ED7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CF0"/>
    <w:rPr>
      <w:i/>
      <w:iCs/>
      <w:color w:val="0F4761" w:themeColor="accent1" w:themeShade="BF"/>
    </w:rPr>
  </w:style>
  <w:style w:type="character" w:styleId="IntenseReference">
    <w:name w:val="Intense Reference"/>
    <w:basedOn w:val="DefaultParagraphFont"/>
    <w:uiPriority w:val="32"/>
    <w:qFormat/>
    <w:rsid w:val="00ED7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675367">
      <w:bodyDiv w:val="1"/>
      <w:marLeft w:val="0"/>
      <w:marRight w:val="0"/>
      <w:marTop w:val="0"/>
      <w:marBottom w:val="0"/>
      <w:divBdr>
        <w:top w:val="none" w:sz="0" w:space="0" w:color="auto"/>
        <w:left w:val="none" w:sz="0" w:space="0" w:color="auto"/>
        <w:bottom w:val="none" w:sz="0" w:space="0" w:color="auto"/>
        <w:right w:val="none" w:sz="0" w:space="0" w:color="auto"/>
      </w:divBdr>
    </w:div>
    <w:div w:id="151608767">
      <w:bodyDiv w:val="1"/>
      <w:marLeft w:val="0"/>
      <w:marRight w:val="0"/>
      <w:marTop w:val="0"/>
      <w:marBottom w:val="0"/>
      <w:divBdr>
        <w:top w:val="none" w:sz="0" w:space="0" w:color="auto"/>
        <w:left w:val="none" w:sz="0" w:space="0" w:color="auto"/>
        <w:bottom w:val="none" w:sz="0" w:space="0" w:color="auto"/>
        <w:right w:val="none" w:sz="0" w:space="0" w:color="auto"/>
      </w:divBdr>
    </w:div>
    <w:div w:id="164516899">
      <w:bodyDiv w:val="1"/>
      <w:marLeft w:val="0"/>
      <w:marRight w:val="0"/>
      <w:marTop w:val="0"/>
      <w:marBottom w:val="0"/>
      <w:divBdr>
        <w:top w:val="none" w:sz="0" w:space="0" w:color="auto"/>
        <w:left w:val="none" w:sz="0" w:space="0" w:color="auto"/>
        <w:bottom w:val="none" w:sz="0" w:space="0" w:color="auto"/>
        <w:right w:val="none" w:sz="0" w:space="0" w:color="auto"/>
      </w:divBdr>
    </w:div>
    <w:div w:id="185409599">
      <w:bodyDiv w:val="1"/>
      <w:marLeft w:val="0"/>
      <w:marRight w:val="0"/>
      <w:marTop w:val="0"/>
      <w:marBottom w:val="0"/>
      <w:divBdr>
        <w:top w:val="none" w:sz="0" w:space="0" w:color="auto"/>
        <w:left w:val="none" w:sz="0" w:space="0" w:color="auto"/>
        <w:bottom w:val="none" w:sz="0" w:space="0" w:color="auto"/>
        <w:right w:val="none" w:sz="0" w:space="0" w:color="auto"/>
      </w:divBdr>
    </w:div>
    <w:div w:id="397214607">
      <w:bodyDiv w:val="1"/>
      <w:marLeft w:val="0"/>
      <w:marRight w:val="0"/>
      <w:marTop w:val="0"/>
      <w:marBottom w:val="0"/>
      <w:divBdr>
        <w:top w:val="none" w:sz="0" w:space="0" w:color="auto"/>
        <w:left w:val="none" w:sz="0" w:space="0" w:color="auto"/>
        <w:bottom w:val="none" w:sz="0" w:space="0" w:color="auto"/>
        <w:right w:val="none" w:sz="0" w:space="0" w:color="auto"/>
      </w:divBdr>
    </w:div>
    <w:div w:id="440419361">
      <w:bodyDiv w:val="1"/>
      <w:marLeft w:val="0"/>
      <w:marRight w:val="0"/>
      <w:marTop w:val="0"/>
      <w:marBottom w:val="0"/>
      <w:divBdr>
        <w:top w:val="none" w:sz="0" w:space="0" w:color="auto"/>
        <w:left w:val="none" w:sz="0" w:space="0" w:color="auto"/>
        <w:bottom w:val="none" w:sz="0" w:space="0" w:color="auto"/>
        <w:right w:val="none" w:sz="0" w:space="0" w:color="auto"/>
      </w:divBdr>
    </w:div>
    <w:div w:id="618999814">
      <w:bodyDiv w:val="1"/>
      <w:marLeft w:val="0"/>
      <w:marRight w:val="0"/>
      <w:marTop w:val="0"/>
      <w:marBottom w:val="0"/>
      <w:divBdr>
        <w:top w:val="none" w:sz="0" w:space="0" w:color="auto"/>
        <w:left w:val="none" w:sz="0" w:space="0" w:color="auto"/>
        <w:bottom w:val="none" w:sz="0" w:space="0" w:color="auto"/>
        <w:right w:val="none" w:sz="0" w:space="0" w:color="auto"/>
      </w:divBdr>
    </w:div>
    <w:div w:id="630552961">
      <w:bodyDiv w:val="1"/>
      <w:marLeft w:val="0"/>
      <w:marRight w:val="0"/>
      <w:marTop w:val="0"/>
      <w:marBottom w:val="0"/>
      <w:divBdr>
        <w:top w:val="none" w:sz="0" w:space="0" w:color="auto"/>
        <w:left w:val="none" w:sz="0" w:space="0" w:color="auto"/>
        <w:bottom w:val="none" w:sz="0" w:space="0" w:color="auto"/>
        <w:right w:val="none" w:sz="0" w:space="0" w:color="auto"/>
      </w:divBdr>
    </w:div>
    <w:div w:id="844051434">
      <w:bodyDiv w:val="1"/>
      <w:marLeft w:val="0"/>
      <w:marRight w:val="0"/>
      <w:marTop w:val="0"/>
      <w:marBottom w:val="0"/>
      <w:divBdr>
        <w:top w:val="none" w:sz="0" w:space="0" w:color="auto"/>
        <w:left w:val="none" w:sz="0" w:space="0" w:color="auto"/>
        <w:bottom w:val="none" w:sz="0" w:space="0" w:color="auto"/>
        <w:right w:val="none" w:sz="0" w:space="0" w:color="auto"/>
      </w:divBdr>
    </w:div>
    <w:div w:id="1004356058">
      <w:bodyDiv w:val="1"/>
      <w:marLeft w:val="0"/>
      <w:marRight w:val="0"/>
      <w:marTop w:val="0"/>
      <w:marBottom w:val="0"/>
      <w:divBdr>
        <w:top w:val="none" w:sz="0" w:space="0" w:color="auto"/>
        <w:left w:val="none" w:sz="0" w:space="0" w:color="auto"/>
        <w:bottom w:val="none" w:sz="0" w:space="0" w:color="auto"/>
        <w:right w:val="none" w:sz="0" w:space="0" w:color="auto"/>
      </w:divBdr>
    </w:div>
    <w:div w:id="1015229054">
      <w:bodyDiv w:val="1"/>
      <w:marLeft w:val="0"/>
      <w:marRight w:val="0"/>
      <w:marTop w:val="0"/>
      <w:marBottom w:val="0"/>
      <w:divBdr>
        <w:top w:val="none" w:sz="0" w:space="0" w:color="auto"/>
        <w:left w:val="none" w:sz="0" w:space="0" w:color="auto"/>
        <w:bottom w:val="none" w:sz="0" w:space="0" w:color="auto"/>
        <w:right w:val="none" w:sz="0" w:space="0" w:color="auto"/>
      </w:divBdr>
    </w:div>
    <w:div w:id="1422607025">
      <w:bodyDiv w:val="1"/>
      <w:marLeft w:val="0"/>
      <w:marRight w:val="0"/>
      <w:marTop w:val="0"/>
      <w:marBottom w:val="0"/>
      <w:divBdr>
        <w:top w:val="none" w:sz="0" w:space="0" w:color="auto"/>
        <w:left w:val="none" w:sz="0" w:space="0" w:color="auto"/>
        <w:bottom w:val="none" w:sz="0" w:space="0" w:color="auto"/>
        <w:right w:val="none" w:sz="0" w:space="0" w:color="auto"/>
      </w:divBdr>
    </w:div>
    <w:div w:id="1525905313">
      <w:bodyDiv w:val="1"/>
      <w:marLeft w:val="0"/>
      <w:marRight w:val="0"/>
      <w:marTop w:val="0"/>
      <w:marBottom w:val="0"/>
      <w:divBdr>
        <w:top w:val="none" w:sz="0" w:space="0" w:color="auto"/>
        <w:left w:val="none" w:sz="0" w:space="0" w:color="auto"/>
        <w:bottom w:val="none" w:sz="0" w:space="0" w:color="auto"/>
        <w:right w:val="none" w:sz="0" w:space="0" w:color="auto"/>
      </w:divBdr>
    </w:div>
    <w:div w:id="1540359701">
      <w:bodyDiv w:val="1"/>
      <w:marLeft w:val="0"/>
      <w:marRight w:val="0"/>
      <w:marTop w:val="0"/>
      <w:marBottom w:val="0"/>
      <w:divBdr>
        <w:top w:val="none" w:sz="0" w:space="0" w:color="auto"/>
        <w:left w:val="none" w:sz="0" w:space="0" w:color="auto"/>
        <w:bottom w:val="none" w:sz="0" w:space="0" w:color="auto"/>
        <w:right w:val="none" w:sz="0" w:space="0" w:color="auto"/>
      </w:divBdr>
    </w:div>
    <w:div w:id="1545829043">
      <w:bodyDiv w:val="1"/>
      <w:marLeft w:val="0"/>
      <w:marRight w:val="0"/>
      <w:marTop w:val="0"/>
      <w:marBottom w:val="0"/>
      <w:divBdr>
        <w:top w:val="none" w:sz="0" w:space="0" w:color="auto"/>
        <w:left w:val="none" w:sz="0" w:space="0" w:color="auto"/>
        <w:bottom w:val="none" w:sz="0" w:space="0" w:color="auto"/>
        <w:right w:val="none" w:sz="0" w:space="0" w:color="auto"/>
      </w:divBdr>
    </w:div>
    <w:div w:id="1564441284">
      <w:bodyDiv w:val="1"/>
      <w:marLeft w:val="0"/>
      <w:marRight w:val="0"/>
      <w:marTop w:val="0"/>
      <w:marBottom w:val="0"/>
      <w:divBdr>
        <w:top w:val="none" w:sz="0" w:space="0" w:color="auto"/>
        <w:left w:val="none" w:sz="0" w:space="0" w:color="auto"/>
        <w:bottom w:val="none" w:sz="0" w:space="0" w:color="auto"/>
        <w:right w:val="none" w:sz="0" w:space="0" w:color="auto"/>
      </w:divBdr>
    </w:div>
    <w:div w:id="1572738448">
      <w:bodyDiv w:val="1"/>
      <w:marLeft w:val="0"/>
      <w:marRight w:val="0"/>
      <w:marTop w:val="0"/>
      <w:marBottom w:val="0"/>
      <w:divBdr>
        <w:top w:val="none" w:sz="0" w:space="0" w:color="auto"/>
        <w:left w:val="none" w:sz="0" w:space="0" w:color="auto"/>
        <w:bottom w:val="none" w:sz="0" w:space="0" w:color="auto"/>
        <w:right w:val="none" w:sz="0" w:space="0" w:color="auto"/>
      </w:divBdr>
    </w:div>
    <w:div w:id="1679236169">
      <w:bodyDiv w:val="1"/>
      <w:marLeft w:val="0"/>
      <w:marRight w:val="0"/>
      <w:marTop w:val="0"/>
      <w:marBottom w:val="0"/>
      <w:divBdr>
        <w:top w:val="none" w:sz="0" w:space="0" w:color="auto"/>
        <w:left w:val="none" w:sz="0" w:space="0" w:color="auto"/>
        <w:bottom w:val="none" w:sz="0" w:space="0" w:color="auto"/>
        <w:right w:val="none" w:sz="0" w:space="0" w:color="auto"/>
      </w:divBdr>
    </w:div>
    <w:div w:id="1750425230">
      <w:bodyDiv w:val="1"/>
      <w:marLeft w:val="0"/>
      <w:marRight w:val="0"/>
      <w:marTop w:val="0"/>
      <w:marBottom w:val="0"/>
      <w:divBdr>
        <w:top w:val="none" w:sz="0" w:space="0" w:color="auto"/>
        <w:left w:val="none" w:sz="0" w:space="0" w:color="auto"/>
        <w:bottom w:val="none" w:sz="0" w:space="0" w:color="auto"/>
        <w:right w:val="none" w:sz="0" w:space="0" w:color="auto"/>
      </w:divBdr>
    </w:div>
    <w:div w:id="1932082514">
      <w:bodyDiv w:val="1"/>
      <w:marLeft w:val="0"/>
      <w:marRight w:val="0"/>
      <w:marTop w:val="0"/>
      <w:marBottom w:val="0"/>
      <w:divBdr>
        <w:top w:val="none" w:sz="0" w:space="0" w:color="auto"/>
        <w:left w:val="none" w:sz="0" w:space="0" w:color="auto"/>
        <w:bottom w:val="none" w:sz="0" w:space="0" w:color="auto"/>
        <w:right w:val="none" w:sz="0" w:space="0" w:color="auto"/>
      </w:divBdr>
    </w:div>
    <w:div w:id="1961955648">
      <w:bodyDiv w:val="1"/>
      <w:marLeft w:val="0"/>
      <w:marRight w:val="0"/>
      <w:marTop w:val="0"/>
      <w:marBottom w:val="0"/>
      <w:divBdr>
        <w:top w:val="none" w:sz="0" w:space="0" w:color="auto"/>
        <w:left w:val="none" w:sz="0" w:space="0" w:color="auto"/>
        <w:bottom w:val="none" w:sz="0" w:space="0" w:color="auto"/>
        <w:right w:val="none" w:sz="0" w:space="0" w:color="auto"/>
      </w:divBdr>
    </w:div>
    <w:div w:id="19672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Inioluwa</dc:creator>
  <cp:keywords/>
  <dc:description/>
  <cp:lastModifiedBy>Blessed Inioluwa</cp:lastModifiedBy>
  <cp:revision>7</cp:revision>
  <dcterms:created xsi:type="dcterms:W3CDTF">2025-07-18T18:26:00Z</dcterms:created>
  <dcterms:modified xsi:type="dcterms:W3CDTF">2025-07-18T19:19:00Z</dcterms:modified>
</cp:coreProperties>
</file>