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Lab 4 Guide: Azure Monitor, Log Analytics &amp; KQL Telemetry Architecture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747BA1D2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BD02DE2">
      <w:pPr>
        <w:pBdr/>
        <w:spacing/>
        <w:ind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Step-by-Step Implementation &amp; Proof Guide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49D295A8">
      <w:pPr>
        <w:pBdr/>
        <w:spacing/>
        <w:ind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1: Provision Central Log Analytics Workspace (LAW)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43C623E1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90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6.1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1C3C60FD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Figure 1a: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log analytics workspace creation.jpeg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(Capture the completed resource overview page showing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law-enterprise-monitoring-eastus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active)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6196D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Establishes the single, centralized repository for enterprise log ingestion, storage, and analysis.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1020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Log Analytics Workspace acts as the foundational analytical engine for Azure Monitor, enabling aggregated KQL querying across distinct cloud components.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9825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Azure Storage Account.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Chosen LAW instead because Storage Accounts provide raw blob storage without real-time KQL querying, visualization, or alert-trigger capabilities.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7CC9A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2: Configure Azure Monitor Agent (AMA) &amp; Data Collection Rules (DCR)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4F53F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559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6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03667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2a: data collection rule configuration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31658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Installs and configures telemetry collection rules on virtual machine workloads.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5D01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Uses Azure Monitor Agent (AMA) via DCRs to granularly define what logs and metrics to harvest, reducing unnecessary data ingestion costs.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758E6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Legacy Log Analytics Agent (MMA/OMS).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Chosen AMA/DCR because MMA is deprecated and DCRs allow targeted multi-homing log collection per VM.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1D9FC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6B2BB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3: Stream NSG Flow Logs &amp; Entra ID Audit Logs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718DD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Part 1: Stream NSG Flow Logs (Network Layer)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 &amp; 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Part 2: Stream Entra ID Audit &amp; Sign-in Logs (Identity Layer)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3771A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12AAA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121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6.1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75051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3a:nsg flow logs workspace integration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78F60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Streams network traffic decisions and identity authentication logs into the central workspace.</w:t>
      </w:r>
      <w:r>
        <w:rPr>
          <w:rFonts w:ascii="Arial" w:hAnsi="Arial" w:eastAsia="Arial" w:cs="Arial"/>
          <w:sz w:val="22"/>
          <w:szCs w:val="22"/>
        </w:rPr>
      </w:r>
    </w:p>
    <w:p w14:paraId="20D73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Provides cross-layer observability by linking network layer drops (Layer 4) with identity layer authentication logs (Layer 7).</w:t>
      </w:r>
      <w:r>
        <w:rPr>
          <w:rFonts w:ascii="Arial" w:hAnsi="Arial" w:eastAsia="Arial" w:cs="Arial"/>
          <w:sz w:val="22"/>
          <w:szCs w:val="22"/>
        </w:rPr>
      </w:r>
    </w:p>
    <w:p w14:paraId="12D19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Third-Party SIEM Syslog Export.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Chosen direct native streaming to avoid extra network egress costs and maintain native KQL syntax alignment.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D1F7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4: Author Production KQL Telemetry Queries</w:t>
      </w:r>
      <w:r>
        <w:rPr>
          <w:rFonts w:ascii="Arial" w:hAnsi="Arial" w:eastAsia="Arial" w:cs="Arial"/>
          <w:sz w:val="22"/>
          <w:szCs w:val="22"/>
        </w:rPr>
      </w:r>
    </w:p>
    <w:p w14:paraId="0A6F4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Step 1: Open KQL Query Console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4F560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Navigated to intended area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26E9F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2140D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Step 2: Execute Query 1 (Failed Entra ID Sign-ins)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14425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903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76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63F5A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4a: kql query failed signins execution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15197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Command ran above: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u w:val="none"/>
        </w:rPr>
        <w:t xml:space="preserve">Query 1 (Failed Sign-ins)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9120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“SigninLogs</w:t>
      </w:r>
      <w:r>
        <w:rPr>
          <w:rFonts w:ascii="Arial" w:hAnsi="Arial" w:eastAsia="Arial" w:cs="Arial"/>
          <w:sz w:val="22"/>
          <w:szCs w:val="22"/>
        </w:rPr>
      </w:r>
    </w:p>
    <w:p w14:paraId="7B878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| where TimeGenerated &gt; ago(24h)</w:t>
      </w:r>
      <w:r>
        <w:rPr>
          <w:rFonts w:ascii="Arial" w:hAnsi="Arial" w:eastAsia="Arial" w:cs="Arial"/>
          <w:sz w:val="22"/>
          <w:szCs w:val="22"/>
        </w:rPr>
      </w:r>
    </w:p>
    <w:p w14:paraId="5050D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| where ResultType != 0</w:t>
      </w:r>
      <w:r>
        <w:rPr>
          <w:rFonts w:ascii="Arial" w:hAnsi="Arial" w:eastAsia="Arial" w:cs="Arial"/>
          <w:sz w:val="22"/>
          <w:szCs w:val="22"/>
        </w:rPr>
      </w:r>
    </w:p>
    <w:p w14:paraId="15A61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| summarize FailedCount = count() by UserPrincipalName, IPAddress, ResultDescription, AppDisplayName</w:t>
      </w:r>
      <w:r>
        <w:rPr>
          <w:rFonts w:ascii="Arial" w:hAnsi="Arial" w:eastAsia="Arial" w:cs="Arial"/>
          <w:sz w:val="22"/>
          <w:szCs w:val="22"/>
        </w:rPr>
      </w:r>
    </w:p>
    <w:p w14:paraId="34977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| sort by FailedCount desc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t xml:space="preserve">”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13C76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624AD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560E0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4776B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19956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16E69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015C1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0F515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Step 3: Execute Query 2 (Denied Network Traffic)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 w14:paraId="5F06C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279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76.1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334B4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4b: kql query nsg denied traffic results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6DF83375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  <w:t xml:space="preserve">Command ran above:</w:t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Query 2 (Denied Network Traffic)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2BAE4BF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“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NTTFlowLogs</w:t>
      </w:r>
      <w:r>
        <w:rPr>
          <w:rFonts w:ascii="Arial" w:hAnsi="Arial" w:eastAsia="Arial" w:cs="Arial"/>
          <w:sz w:val="22"/>
          <w:szCs w:val="22"/>
        </w:rPr>
      </w:r>
    </w:p>
    <w:p w14:paraId="49239E44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| where TimeGenerated &gt; ago(12h)</w:t>
      </w:r>
      <w:r>
        <w:rPr>
          <w:rFonts w:ascii="Arial" w:hAnsi="Arial" w:eastAsia="Arial" w:cs="Arial"/>
          <w:sz w:val="22"/>
          <w:szCs w:val="22"/>
        </w:rPr>
      </w:r>
    </w:p>
    <w:p w14:paraId="1F33B2FB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| where FlowDecision == "D"</w:t>
      </w:r>
      <w:r>
        <w:rPr>
          <w:rFonts w:ascii="Arial" w:hAnsi="Arial" w:eastAsia="Arial" w:cs="Arial"/>
          <w:sz w:val="22"/>
          <w:szCs w:val="22"/>
        </w:rPr>
      </w:r>
    </w:p>
    <w:p w14:paraId="51F2160F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| summarize DeniedPackets = sum(Packets) by SrcIP, DestIP, DestPort, L7Protocol</w:t>
      </w:r>
      <w:r>
        <w:rPr>
          <w:rFonts w:ascii="Arial" w:hAnsi="Arial" w:eastAsia="Arial" w:cs="Arial"/>
          <w:sz w:val="22"/>
          <w:szCs w:val="22"/>
        </w:rPr>
      </w:r>
    </w:p>
    <w:p w14:paraId="5A206799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| sort by DeniedPackets desc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”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2D1AC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Extracts actionable threat and operational intelligence from raw log telemetry.</w:t>
      </w:r>
      <w:r>
        <w:rPr>
          <w:rFonts w:ascii="Arial" w:hAnsi="Arial" w:eastAsia="Arial" w:cs="Arial"/>
          <w:sz w:val="22"/>
          <w:szCs w:val="22"/>
        </w:rPr>
      </w:r>
    </w:p>
    <w:p w14:paraId="35AD5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KQL provides high-performance, real-time aggregation across millions of log records within seconds.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22F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Manual CSV Log Export.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Chosen KQL because manual exports cannot scale, lack real-time insights, and cannot feed automated Azure dashboard tiles or alerts.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06093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 w14:paraId="595DB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5: Build Enterprise Operations Dashboard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5714D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744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4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0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76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BD50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5a: enterprise observability dashboard view.jpeg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(Capture the full visual dashboard with pinned charts and tables).</w:t>
      </w:r>
      <w:r>
        <w:rPr>
          <w:rFonts w:ascii="Arial" w:hAnsi="Arial" w:eastAsia="Arial" w:cs="Arial"/>
          <w:sz w:val="22"/>
          <w:szCs w:val="22"/>
        </w:rPr>
      </w:r>
    </w:p>
    <w:p w14:paraId="3158C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Consolidates multi-resource telemetry into a single-pane-of-glass executive view.</w:t>
      </w:r>
      <w:r>
        <w:rPr>
          <w:rFonts w:ascii="Arial" w:hAnsi="Arial" w:eastAsia="Arial" w:cs="Arial"/>
          <w:sz w:val="22"/>
          <w:szCs w:val="22"/>
        </w:rPr>
      </w:r>
    </w:p>
    <w:p w14:paraId="667B1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Provides immediate operational visibility for cloud engineering teams without requiring manual query execution.</w:t>
      </w:r>
      <w:r>
        <w:rPr>
          <w:rFonts w:ascii="Arial" w:hAnsi="Arial" w:eastAsia="Arial" w:cs="Arial"/>
          <w:sz w:val="22"/>
          <w:szCs w:val="22"/>
        </w:rPr>
      </w:r>
    </w:p>
    <w:p w14:paraId="05304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Power BI Dashboard.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 Chosen Azure Portal Dashboards because they are built-in, cost-free, and maintain native context-switching within Azure resources.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76F9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Why "No Data for the given query" Appears</w:t>
      </w:r>
      <w:r>
        <w:rPr>
          <w:rFonts w:ascii="Arial" w:hAnsi="Arial" w:eastAsia="Arial" w:cs="Arial"/>
          <w:sz w:val="22"/>
          <w:szCs w:val="22"/>
        </w:rPr>
      </w:r>
    </w:p>
    <w:p w14:paraId="277B1523">
      <w:pPr>
        <w:pStyle w:val="8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Ingestion Latency: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Newly configured Azure Monitor Agents (AMA) and Data Collection Rules (DCRs) take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10 to 15 minutes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to start flowing performance telemetry (Perf) into Log Analytics.</w:t>
      </w:r>
      <w:r>
        <w:rPr>
          <w:rFonts w:ascii="Arial" w:hAnsi="Arial" w:eastAsia="Arial" w:cs="Arial"/>
          <w:sz w:val="22"/>
          <w:szCs w:val="22"/>
        </w:rPr>
      </w:r>
    </w:p>
    <w:p w14:paraId="5ACB741E">
      <w:pPr>
        <w:pStyle w:val="8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Idle Environment: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If your VM is off/idle, or if no failed sign-ins have occurred in the last 24 hours, the KQL queries (SigninLogs / NTTFlowLogs) will legitimately return zero rows.</w:t>
      </w:r>
      <w:r>
        <w:rPr>
          <w:rFonts w:ascii="Arial" w:hAnsi="Arial" w:eastAsia="Arial" w:cs="Arial"/>
          <w:sz w:val="22"/>
          <w:szCs w:val="22"/>
        </w:rPr>
      </w:r>
    </w:p>
    <w:p w14:paraId="04D20359">
      <w:pPr>
        <w:pStyle w:val="89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Time Range Mismatch: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The banner inside the tile notes: 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"The query's time range may be different from the one on the dashboard."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The dashboard top bar is set to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Past 24 hours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while your KQL script uses a specific window like ago(4h).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EE65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3AEDB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  <w:t xml:space="preserve">Task 6: Configure Metric Alert Rules &amp; Action Groups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7C46C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67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74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716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92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1865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Figure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6a: azure monitor alert rule and action group.jpeg (I captured the completed Alert Rule configuration page showing the condition and Action Group assigned).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575C730">
      <w:pPr>
        <w:pStyle w:val="8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Purpose: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Automates proactive notification when infrastructure metrics breach defined operational baselines.</w:t>
      </w:r>
      <w:r>
        <w:rPr>
          <w:rFonts w:ascii="Arial" w:hAnsi="Arial" w:eastAsia="Arial" w:cs="Arial"/>
          <w:sz w:val="22"/>
          <w:szCs w:val="22"/>
        </w:rPr>
      </w:r>
    </w:p>
    <w:p w14:paraId="596555C7">
      <w:pPr>
        <w:pStyle w:val="8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Technical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Replaces passive manual monitoring with active event-driven alerting, reducing Mean Time to Detect (MTTD) outages.</w:t>
      </w:r>
      <w:r>
        <w:rPr>
          <w:rFonts w:ascii="Arial" w:hAnsi="Arial" w:eastAsia="Arial" w:cs="Arial"/>
          <w:sz w:val="22"/>
          <w:szCs w:val="22"/>
        </w:rPr>
      </w:r>
    </w:p>
    <w:p w14:paraId="6013308D">
      <w:pPr>
        <w:pStyle w:val="89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Alternative Option &amp; Choice Justification: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Third-Party Webhook Integration (e.g., PagerDuty).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Chosen native Azure Action Group Email notifications to minimize setup complexity for portfolio demonstration while preserving extension support for ITSM tooling later.</w:t>
      </w:r>
      <w:r>
        <w:rPr>
          <w:rFonts w:ascii="Arial" w:hAnsi="Arial" w:eastAsia="Arial" w:cs="Arial"/>
          <w:sz w:val="22"/>
          <w:szCs w:val="22"/>
        </w:rPr>
      </w:r>
    </w:p>
    <w:p w14:paraId="21BF1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7477F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52E10B7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5480454F">
      <w:pPr>
        <w:pBdr/>
        <w:spacing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602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4D4D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58D1C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D9EE2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4973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A97E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FF0E8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2026-08-03T00:13:23Z</dcterms:modified>
</cp:coreProperties>
</file>