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none" w:color="FFFFFF" w:sz="0"/>
              <w:left w:val="none" w:color="FFFFFF" w:sz="0"/>
              <w:bottom w:val="none" w:color="FFFFFF" w:sz="0"/>
              <w:right w:val="none" w:color="FFFFFF" w:sz="0"/>
            </w:tcBorders>
            <w:shd w:fill="1E2A45" w:color="auto" w:val="clear"/>
            <w:tcMar>
              <w:top w:type="dxa" w:w="700"/>
              <w:left w:type="dxa" w:w="500"/>
              <w:bottom w:type="dxa" w:w="700"/>
              <w:right w:type="dxa" w:w="500"/>
            </w:tcMar>
          </w:tcPr>
          <w:p>
            <w:pPr>
              <w:spacing w:after="120"/>
              <w:jc w:val="center"/>
            </w:pPr>
            <w:r>
              <w:rPr>
                <w:rFonts w:ascii="Calibri" w:cs="Calibri" w:eastAsia="Calibri" w:hAnsi="Calibri"/>
                <w:b/>
                <w:bCs/>
                <w:color w:val="C9A24B"/>
                <w:sz w:val="60"/>
                <w:szCs w:val="60"/>
              </w:rPr>
              <w:t xml:space="preserve">VIDYA SETU</w:t>
            </w:r>
          </w:p>
          <w:p>
            <w:pPr>
              <w:spacing w:after="260"/>
              <w:jc w:val="center"/>
            </w:pPr>
            <w:r>
              <w:rPr>
                <w:rFonts w:ascii="Calibri" w:cs="Calibri" w:eastAsia="Calibri" w:hAnsi="Calibri"/>
                <w:b/>
                <w:bCs/>
                <w:color w:val="FFFFFF"/>
                <w:sz w:val="26"/>
                <w:szCs w:val="26"/>
              </w:rPr>
              <w:t xml:space="preserve">INSTITUTIONAL GOVERNANCE FRAMEWORK</w:t>
            </w:r>
          </w:p>
          <w:p>
            <w:pPr>
              <w:spacing w:after="40"/>
              <w:jc w:val="center"/>
            </w:pPr>
            <w:r>
              <w:rPr>
                <w:rFonts w:ascii="Calibri" w:cs="Calibri" w:eastAsia="Calibri" w:hAnsi="Calibri"/>
                <w:i/>
                <w:iCs/>
                <w:color w:val="FFFFFF"/>
                <w:sz w:val="24"/>
                <w:szCs w:val="24"/>
              </w:rPr>
              <w:t xml:space="preserve">The Principal's Charter of Authority</w:t>
            </w:r>
          </w:p>
          <w:p>
            <w:pPr>
              <w:jc w:val="center"/>
            </w:pPr>
            <w:r>
              <w:rPr>
                <w:rFonts w:ascii="Calibri" w:cs="Calibri" w:eastAsia="Calibri" w:hAnsi="Calibri"/>
                <w:color w:val="D7DCE6"/>
                <w:sz w:val="19"/>
                <w:szCs w:val="19"/>
              </w:rPr>
              <w:t xml:space="preserve">Powers, accountability, and alignment with international management-system standards</w:t>
            </w:r>
          </w:p>
        </w:tc>
      </w:tr>
    </w:tbl>
    <w:p>
      <w:pPr>
        <w:spacing w:before="500"/>
      </w:pPr>
    </w:p>
    <w:p>
      <w:pPr>
        <w:spacing w:after="100"/>
        <w:jc w:val="center"/>
      </w:pPr>
      <w:r>
        <w:rPr>
          <w:rFonts w:ascii="Calibri" w:cs="Calibri" w:eastAsia="Calibri" w:hAnsi="Calibri"/>
          <w:b/>
          <w:bCs/>
          <w:color w:val="33456B"/>
          <w:sz w:val="21"/>
          <w:szCs w:val="21"/>
        </w:rPr>
        <w:t xml:space="preserve">ISO 21001  ·  ISO/IEC 27001  ·  ISO/IEC 27701  ·  ISO/IEC 25010</w:t>
      </w:r>
    </w:p>
    <w:p>
      <w:pPr>
        <w:spacing w:after="40"/>
        <w:jc w:val="center"/>
      </w:pPr>
      <w:r>
        <w:rPr>
          <w:rFonts w:ascii="Calibri" w:cs="Calibri" w:eastAsia="Calibri" w:hAnsi="Calibri"/>
          <w:i/>
          <w:iCs/>
          <w:color w:val="5B5B5B"/>
          <w:sz w:val="18"/>
          <w:szCs w:val="18"/>
        </w:rPr>
        <w:t xml:space="preserve">Educational Organizations · Information Security · Privacy · Software Quality</w:t>
      </w:r>
    </w:p>
    <w:p>
      <w:pPr>
        <w:spacing w:before="800"/>
        <w:jc w:val="center"/>
      </w:pPr>
      <w:r>
        <w:rPr>
          <w:rFonts w:ascii="Calibri" w:cs="Calibri" w:eastAsia="Calibri" w:hAnsi="Calibri"/>
          <w:color w:val="5B5B5B"/>
          <w:sz w:val="18"/>
          <w:szCs w:val="18"/>
        </w:rPr>
        <w:t xml:space="preserve">Prepared July 2026</w:t>
      </w:r>
    </w:p>
    <w:p>
      <w:r>
        <w:br w:type="page"/>
      </w:r>
    </w:p>
    <w:p>
      <w:pPr>
        <w:pStyle w:val="Heading1"/>
        <w:pBdr>
          <w:bottom w:val="single" w:color="AD7F1E" w:sz="10" w:space="6"/>
        </w:pBdr>
        <w:spacing w:after="200" w:before="320"/>
      </w:pPr>
      <w:r>
        <w:rPr>
          <w:rFonts w:ascii="Calibri" w:cs="Calibri" w:eastAsia="Calibri" w:hAnsi="Calibri"/>
          <w:b/>
          <w:bCs/>
          <w:color w:val="1E2A45"/>
          <w:sz w:val="32"/>
          <w:szCs w:val="32"/>
        </w:rPr>
        <w:t xml:space="preserve">Contents</w:t>
      </w:r>
    </w:p>
    <w:p>
      <w:pPr>
        <w:spacing w:after="160"/>
      </w:pPr>
      <w:r>
        <w:rPr>
          <w:rFonts w:ascii="Calibri" w:cs="Calibri" w:eastAsia="Calibri" w:hAnsi="Calibri"/>
          <w:b/>
          <w:bCs/>
          <w:color w:val="AD7F1E"/>
          <w:sz w:val="22"/>
          <w:szCs w:val="22"/>
        </w:rPr>
        <w:t xml:space="preserve">Preface</w:t>
      </w:r>
      <w:r>
        <w:rPr>
          <w:rFonts w:ascii="Calibri" w:cs="Calibri" w:eastAsia="Calibri" w:hAnsi="Calibri"/>
          <w:color w:val="1E2A45"/>
          <w:sz w:val="22"/>
          <w:szCs w:val="22"/>
        </w:rPr>
        <w:t xml:space="preserve">  The Principal as Steward of Trust</w:t>
      </w:r>
    </w:p>
    <w:p>
      <w:pPr>
        <w:spacing w:after="160"/>
      </w:pPr>
      <w:r>
        <w:rPr>
          <w:rFonts w:ascii="Calibri" w:cs="Calibri" w:eastAsia="Calibri" w:hAnsi="Calibri"/>
          <w:b/>
          <w:bCs/>
          <w:color w:val="AD7F1E"/>
          <w:sz w:val="22"/>
          <w:szCs w:val="22"/>
        </w:rPr>
        <w:t xml:space="preserve">Part I</w:t>
      </w:r>
      <w:r>
        <w:rPr>
          <w:rFonts w:ascii="Calibri" w:cs="Calibri" w:eastAsia="Calibri" w:hAnsi="Calibri"/>
          <w:color w:val="1E2A45"/>
          <w:sz w:val="22"/>
          <w:szCs w:val="22"/>
        </w:rPr>
        <w:t xml:space="preserve">  The Governance Foundation — Why International Standards Matter</w:t>
      </w:r>
    </w:p>
    <w:p>
      <w:pPr>
        <w:spacing w:after="160"/>
      </w:pPr>
      <w:r>
        <w:rPr>
          <w:rFonts w:ascii="Calibri" w:cs="Calibri" w:eastAsia="Calibri" w:hAnsi="Calibri"/>
          <w:b/>
          <w:bCs/>
          <w:color w:val="AD7F1E"/>
          <w:sz w:val="22"/>
          <w:szCs w:val="22"/>
        </w:rPr>
        <w:t xml:space="preserve">Part II</w:t>
      </w:r>
      <w:r>
        <w:rPr>
          <w:rFonts w:ascii="Calibri" w:cs="Calibri" w:eastAsia="Calibri" w:hAnsi="Calibri"/>
          <w:color w:val="1E2A45"/>
          <w:sz w:val="22"/>
          <w:szCs w:val="22"/>
        </w:rPr>
        <w:t xml:space="preserve">  The Role Governance Architecture</w:t>
      </w:r>
    </w:p>
    <w:p>
      <w:pPr>
        <w:spacing w:after="160"/>
      </w:pPr>
      <w:r>
        <w:rPr>
          <w:rFonts w:ascii="Calibri" w:cs="Calibri" w:eastAsia="Calibri" w:hAnsi="Calibri"/>
          <w:b/>
          <w:bCs/>
          <w:color w:val="AD7F1E"/>
          <w:sz w:val="22"/>
          <w:szCs w:val="22"/>
        </w:rPr>
        <w:t xml:space="preserve">Part III</w:t>
      </w:r>
      <w:r>
        <w:rPr>
          <w:rFonts w:ascii="Calibri" w:cs="Calibri" w:eastAsia="Calibri" w:hAnsi="Calibri"/>
          <w:color w:val="1E2A45"/>
          <w:sz w:val="22"/>
          <w:szCs w:val="22"/>
        </w:rPr>
        <w:t xml:space="preserve">  The Principal's Charter of Authority</w:t>
      </w:r>
    </w:p>
    <w:p>
      <w:pPr>
        <w:spacing w:after="160"/>
      </w:pPr>
      <w:r>
        <w:rPr>
          <w:rFonts w:ascii="Calibri" w:cs="Calibri" w:eastAsia="Calibri" w:hAnsi="Calibri"/>
          <w:b/>
          <w:bCs/>
          <w:color w:val="AD7F1E"/>
          <w:sz w:val="22"/>
          <w:szCs w:val="22"/>
        </w:rPr>
        <w:t xml:space="preserve">Part IV</w:t>
      </w:r>
      <w:r>
        <w:rPr>
          <w:rFonts w:ascii="Calibri" w:cs="Calibri" w:eastAsia="Calibri" w:hAnsi="Calibri"/>
          <w:color w:val="1E2A45"/>
          <w:sz w:val="22"/>
          <w:szCs w:val="22"/>
        </w:rPr>
        <w:t xml:space="preserve">  Safeguards That Protect the Power</w:t>
      </w:r>
    </w:p>
    <w:p>
      <w:pPr>
        <w:spacing w:after="160"/>
      </w:pPr>
      <w:r>
        <w:rPr>
          <w:rFonts w:ascii="Calibri" w:cs="Calibri" w:eastAsia="Calibri" w:hAnsi="Calibri"/>
          <w:b/>
          <w:bCs/>
          <w:color w:val="AD7F1E"/>
          <w:sz w:val="22"/>
          <w:szCs w:val="22"/>
        </w:rPr>
        <w:t xml:space="preserve">Closing</w:t>
      </w:r>
      <w:r>
        <w:rPr>
          <w:rFonts w:ascii="Calibri" w:cs="Calibri" w:eastAsia="Calibri" w:hAnsi="Calibri"/>
          <w:color w:val="1E2A45"/>
          <w:sz w:val="22"/>
          <w:szCs w:val="22"/>
        </w:rPr>
        <w:t xml:space="preserve">  A Standard Worth Upholding</w:t>
      </w:r>
    </w:p>
    <w:p>
      <w:r>
        <w:br w:type="page"/>
      </w:r>
    </w:p>
    <w:p>
      <w:pPr>
        <w:pStyle w:val="Heading1"/>
        <w:pBdr>
          <w:bottom w:val="single" w:color="AD7F1E" w:sz="10" w:space="6"/>
        </w:pBdr>
        <w:spacing w:after="200" w:before="320"/>
      </w:pPr>
      <w:r>
        <w:rPr>
          <w:rFonts w:ascii="Calibri" w:cs="Calibri" w:eastAsia="Calibri" w:hAnsi="Calibri"/>
          <w:b/>
          <w:bCs/>
          <w:color w:val="1E2A45"/>
          <w:sz w:val="32"/>
          <w:szCs w:val="32"/>
        </w:rPr>
        <w:t xml:space="preserve">Preface — The Principal as Steward of Trust</w:t>
      </w:r>
    </w:p>
    <w:p>
      <w:pPr>
        <w:spacing w:after="160" w:line="300"/>
        <w:jc w:val="both"/>
      </w:pPr>
      <w:r>
        <w:rPr>
          <w:rFonts w:ascii="Calibri" w:cs="Calibri" w:eastAsia="Calibri" w:hAnsi="Calibri"/>
          <w:i w:val="false"/>
          <w:iCs w:val="false"/>
          <w:color w:val="2A2A2A"/>
          <w:sz w:val="21"/>
          <w:szCs w:val="21"/>
        </w:rPr>
        <w:t xml:space="preserve">Every institution runs on two kinds of infrastructure: the visible one — classrooms, corridors, fee counters — and the invisible one, the rules that decide who may see what, approve what, and change what. Vidya Setu was built to make that invisible infrastructure as deliberate and as trustworthy as the visible one. At the centre of it stands the Principal: the one role granted full, unobstructed sight of the institution, and full, personal accountability for it.</w:t>
      </w:r>
    </w:p>
    <w:p>
      <w:pPr>
        <w:spacing w:after="160" w:line="300"/>
        <w:jc w:val="both"/>
      </w:pPr>
      <w:r>
        <w:rPr>
          <w:rFonts w:ascii="Calibri" w:cs="Calibri" w:eastAsia="Calibri" w:hAnsi="Calibri"/>
          <w:i w:val="false"/>
          <w:iCs w:val="false"/>
          <w:color w:val="2A2A2A"/>
          <w:sz w:val="21"/>
          <w:szCs w:val="21"/>
        </w:rPr>
        <w:t xml:space="preserve">This document takes the powers already engineered into Vidya Setu and places them next to the frameworks that the world's most disciplined organisations — hospitals, banks, universities, and regulators — use to describe good governance: ISO 21001 for educational management, ISO/IEC 27001 for information security and access control, ISO/IEC 27701 for the privacy of the people in the system (many of them children), and ISO/IEC 25010 for the quality of the software itself. The result is not a new set of rules. It is a Charter — a single, clear reference for what the Principal can do, why that authority sits there, and what protects it from being misused, by anyone, including the Principal.</w:t>
      </w:r>
    </w:p>
    <w:p>
      <w:r>
        <w:br w:type="page"/>
      </w:r>
    </w:p>
    <w:p>
      <w:pPr>
        <w:pStyle w:val="Heading1"/>
        <w:pBdr>
          <w:bottom w:val="single" w:color="AD7F1E" w:sz="10" w:space="6"/>
        </w:pBdr>
        <w:spacing w:after="200" w:before="320"/>
      </w:pPr>
      <w:r>
        <w:rPr>
          <w:rFonts w:ascii="Calibri" w:cs="Calibri" w:eastAsia="Calibri" w:hAnsi="Calibri"/>
          <w:b/>
          <w:bCs/>
          <w:color w:val="1E2A45"/>
          <w:sz w:val="32"/>
          <w:szCs w:val="32"/>
        </w:rPr>
        <w:t xml:space="preserve">Part I — The Governance Foundation</w:t>
      </w:r>
    </w:p>
    <w:p>
      <w:pPr>
        <w:spacing w:after="160" w:line="300"/>
        <w:jc w:val="both"/>
      </w:pPr>
      <w:r>
        <w:rPr>
          <w:rFonts w:ascii="Calibri" w:cs="Calibri" w:eastAsia="Calibri" w:hAnsi="Calibri"/>
          <w:i w:val="false"/>
          <w:iCs w:val="false"/>
          <w:color w:val="2A2A2A"/>
          <w:sz w:val="21"/>
          <w:szCs w:val="21"/>
        </w:rPr>
        <w:t xml:space="preserve">Vidya Setu's four roles, its audit-friendly module boundaries, and its real-time notification layer were not arbitrary product decisions. They echo four families of international standard that, together, describe how a modern institution should be run, secured, and trusted.</w:t>
      </w:r>
    </w:p>
    <w:p>
      <w:pPr>
        <w:pStyle w:val="Heading2"/>
        <w:spacing w:after="140" w:before="260"/>
      </w:pPr>
      <w:r>
        <w:rPr>
          <w:rFonts w:ascii="Calibri" w:cs="Calibri" w:eastAsia="Calibri" w:hAnsi="Calibri"/>
          <w:b/>
          <w:bCs/>
          <w:color w:val="33456B"/>
          <w:sz w:val="25"/>
          <w:szCs w:val="25"/>
        </w:rPr>
        <w:t xml:space="preserve">1.1  ISO 21001:2018 — Management Systems for Educational Organizations</w:t>
      </w:r>
    </w:p>
    <w:p>
      <w:pPr>
        <w:spacing w:after="160" w:line="300"/>
        <w:jc w:val="both"/>
      </w:pPr>
      <w:r>
        <w:rPr>
          <w:rFonts w:ascii="Calibri" w:cs="Calibri" w:eastAsia="Calibri" w:hAnsi="Calibri"/>
          <w:i w:val="false"/>
          <w:iCs w:val="false"/>
          <w:color w:val="2A2A2A"/>
          <w:sz w:val="21"/>
          <w:szCs w:val="21"/>
        </w:rPr>
        <w:t xml:space="preserve">ISO 21001 is the first ISO standard written specifically for schools, colleges, universities, and training providers. It asks an institution to be learner-centred and inclusive, to keep its operations transparent and accountable, and — critically — to keep measuring and improving itself rather than assuming quality once achieved.</w:t>
      </w:r>
    </w:p>
    <w:p>
      <w:pPr>
        <w:spacing w:after="160" w:line="300"/>
        <w:jc w:val="both"/>
      </w:pPr>
      <w:r>
        <w:rPr>
          <w:rFonts w:ascii="Calibri" w:cs="Calibri" w:eastAsia="Calibri" w:hAnsi="Calibri"/>
          <w:i w:val="false"/>
          <w:iCs w:val="false"/>
          <w:color w:val="2A2A2A"/>
          <w:sz w:val="21"/>
          <w:szCs w:val="21"/>
        </w:rPr>
        <w:t xml:space="preserve">Vidya Setu expression: the Students Database, Attendance, Grades, and Homework modules put the learner at the centre of every screen; the Notice Board keeps communication transparent and targeted; and the AI-Powered School Analytics dashboard is Vidya Setu's answer to the standard's demand for continual measurement and improvement — placed, appropriately, in the Principal's hands.</w:t>
      </w:r>
    </w:p>
    <w:p>
      <w:pPr>
        <w:pStyle w:val="Heading2"/>
        <w:spacing w:after="140" w:before="260"/>
      </w:pPr>
      <w:r>
        <w:rPr>
          <w:rFonts w:ascii="Calibri" w:cs="Calibri" w:eastAsia="Calibri" w:hAnsi="Calibri"/>
          <w:b/>
          <w:bCs/>
          <w:color w:val="33456B"/>
          <w:sz w:val="25"/>
          <w:szCs w:val="25"/>
        </w:rPr>
        <w:t xml:space="preserve">1.2  ISO/IEC 27001:2022 — Information Security &amp; the Access-Control Family</w:t>
      </w:r>
    </w:p>
    <w:p>
      <w:pPr>
        <w:spacing w:after="160" w:line="300"/>
        <w:jc w:val="both"/>
      </w:pPr>
      <w:r>
        <w:rPr>
          <w:rFonts w:ascii="Calibri" w:cs="Calibri" w:eastAsia="Calibri" w:hAnsi="Calibri"/>
          <w:i w:val="false"/>
          <w:iCs w:val="false"/>
          <w:color w:val="2A2A2A"/>
          <w:sz w:val="21"/>
          <w:szCs w:val="21"/>
        </w:rPr>
        <w:t xml:space="preserve">ISO/IEC 27001's Annex A sets out the controls that keep information safe, and a cluster of them speak directly to what "roles and powers" should mean in any serious system. Annex A 5.15 requires formal rules for who can access what. Annex A 5.18 governs how access rights are granted, changed, and removed across a person's time in the organisation. Annex A 5.3 requires that conflicting duties be segregated, so no single person can both request and approve the same action unchecked. And Annex A 8.2 singles out privileged, admin-level accounts for extra scrutiny, because they hold what practitioners call "the keys to the kingdom."</w:t>
      </w:r>
    </w:p>
    <w:p>
      <w:pPr>
        <w:spacing w:after="160" w:line="300"/>
        <w:jc w:val="both"/>
      </w:pPr>
      <w:r>
        <w:rPr>
          <w:rFonts w:ascii="Calibri" w:cs="Calibri" w:eastAsia="Calibri" w:hAnsi="Calibri"/>
          <w:i w:val="false"/>
          <w:iCs w:val="false"/>
          <w:color w:val="2A2A2A"/>
          <w:sz w:val="21"/>
          <w:szCs w:val="21"/>
        </w:rPr>
        <w:t xml:space="preserve">Vidya Setu expression: this is, in effect, the blueprint Vidya Setu already follows. Four roles, four distinct scopes. A Clerk can record a fee payment but cannot generate a salary slip. A Teacher can grade a student but cannot see payroll. A Parent can view one child's data and no other's. Least privilege is not a slogan here — it is the reason the dashboard looks different for every login.</w:t>
      </w:r>
    </w:p>
    <w:p>
      <w:pPr>
        <w:pStyle w:val="Heading2"/>
        <w:spacing w:after="140" w:before="260"/>
      </w:pPr>
      <w:r>
        <w:rPr>
          <w:rFonts w:ascii="Calibri" w:cs="Calibri" w:eastAsia="Calibri" w:hAnsi="Calibri"/>
          <w:b/>
          <w:bCs/>
          <w:color w:val="33456B"/>
          <w:sz w:val="25"/>
          <w:szCs w:val="25"/>
        </w:rPr>
        <w:t xml:space="preserve">1.3  ISO/IEC 27701:2025 — Privacy Information Management</w:t>
      </w:r>
    </w:p>
    <w:p>
      <w:pPr>
        <w:spacing w:after="160" w:line="300"/>
        <w:jc w:val="both"/>
      </w:pPr>
      <w:r>
        <w:rPr>
          <w:rFonts w:ascii="Calibri" w:cs="Calibri" w:eastAsia="Calibri" w:hAnsi="Calibri"/>
          <w:i w:val="false"/>
          <w:iCs w:val="false"/>
          <w:color w:val="2A2A2A"/>
          <w:sz w:val="21"/>
          <w:szCs w:val="21"/>
        </w:rPr>
        <w:t xml:space="preserve">ISO/IEC 27701, recently revised into a standalone privacy standard, governs how an organisation handles personally identifiable information: how it is collected, restricted, shared, and eventually deleted. For a school, this matters more than in most sectors, since a large share of the personal data in the system belongs to minors.</w:t>
      </w:r>
    </w:p>
    <w:p>
      <w:pPr>
        <w:spacing w:after="160" w:line="300"/>
        <w:jc w:val="both"/>
      </w:pPr>
      <w:r>
        <w:rPr>
          <w:rFonts w:ascii="Calibri" w:cs="Calibri" w:eastAsia="Calibri" w:hAnsi="Calibri"/>
          <w:i w:val="false"/>
          <w:iCs w:val="false"/>
          <w:color w:val="2A2A2A"/>
          <w:sz w:val="21"/>
          <w:szCs w:val="21"/>
        </w:rPr>
        <w:t xml:space="preserve">Vidya Setu expression: RFID-linked student records, parent-scoped views, and financial data such as fees and payroll are already structurally partitioned by role. Formalising this under a privacy framework — clear data-retention rules and documented guardian consent — is the natural next layer for Vidya Setu, and Part IV recommends where to begin.</w:t>
      </w:r>
    </w:p>
    <w:p>
      <w:pPr>
        <w:pStyle w:val="Heading2"/>
        <w:spacing w:after="140" w:before="260"/>
      </w:pPr>
      <w:r>
        <w:rPr>
          <w:rFonts w:ascii="Calibri" w:cs="Calibri" w:eastAsia="Calibri" w:hAnsi="Calibri"/>
          <w:b/>
          <w:bCs/>
          <w:color w:val="33456B"/>
          <w:sz w:val="25"/>
          <w:szCs w:val="25"/>
        </w:rPr>
        <w:t xml:space="preserve">1.4  ISO/IEC 25010:2023 — Systems and Software Quality (SQuaRE)</w:t>
      </w:r>
    </w:p>
    <w:p>
      <w:pPr>
        <w:spacing w:after="160" w:line="300"/>
        <w:jc w:val="both"/>
      </w:pPr>
      <w:r>
        <w:rPr>
          <w:rFonts w:ascii="Calibri" w:cs="Calibri" w:eastAsia="Calibri" w:hAnsi="Calibri"/>
          <w:i w:val="false"/>
          <w:iCs w:val="false"/>
          <w:color w:val="2A2A2A"/>
          <w:sz w:val="21"/>
          <w:szCs w:val="21"/>
        </w:rPr>
        <w:t xml:space="preserve">ISO/IEC 25010 defines the characteristics that separate genuinely good software from software that merely works: functional suitability, performance efficiency, compatibility, usability, reliability, security, maintainability, and portability.</w:t>
      </w:r>
    </w:p>
    <w:p>
      <w:pPr>
        <w:spacing w:after="160" w:line="300"/>
        <w:jc w:val="both"/>
      </w:pPr>
      <w:r>
        <w:rPr>
          <w:rFonts w:ascii="Calibri" w:cs="Calibri" w:eastAsia="Calibri" w:hAnsi="Calibri"/>
          <w:i w:val="false"/>
          <w:iCs w:val="false"/>
          <w:color w:val="2A2A2A"/>
          <w:sz w:val="21"/>
          <w:szCs w:val="21"/>
        </w:rPr>
        <w:t xml:space="preserve">Vidya Setu expression: the Socket.IO real-time engine speaks to performance efficiency and usability; the modular Next.js, Express, and Prisma stack speaks to maintainability; and the entire role-permission model speaks directly to the security characteristic — the degree to which software protects information against unauthorised access.</w:t>
      </w:r>
    </w:p>
    <w:p>
      <w:pPr>
        <w:pStyle w:val="Heading2"/>
        <w:spacing w:after="140" w:before="260"/>
      </w:pPr>
      <w:r>
        <w:rPr>
          <w:rFonts w:ascii="Calibri" w:cs="Calibri" w:eastAsia="Calibri" w:hAnsi="Calibri"/>
          <w:b/>
          <w:bCs/>
          <w:color w:val="33456B"/>
          <w:sz w:val="25"/>
          <w:szCs w:val="25"/>
        </w:rPr>
        <w:t xml:space="preserve">1.5  Standards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900"/>
      </w:tblGrid>
      <w:tr>
        <w:trPr>
          <w:tblHeader/>
        </w:trPr>
        <w:tc>
          <w:tcPr>
            <w:tcW w:type="dxa" w:w="2500"/>
            <w:tcBorders>
              <w:top w:val="single" w:color="CFC8B4" w:sz="4"/>
              <w:left w:val="single" w:color="CFC8B4" w:sz="4"/>
              <w:bottom w:val="single" w:color="CFC8B4" w:sz="4"/>
              <w:right w:val="single" w:color="CFC8B4" w:sz="4"/>
            </w:tcBorders>
            <w:shd w:fill="1E2A45"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19"/>
                <w:szCs w:val="19"/>
              </w:rPr>
              <w:t xml:space="preserve">Standard</w:t>
            </w:r>
          </w:p>
        </w:tc>
        <w:tc>
          <w:tcPr>
            <w:tcW w:type="dxa" w:w="3500"/>
            <w:tcBorders>
              <w:top w:val="single" w:color="CFC8B4" w:sz="4"/>
              <w:left w:val="single" w:color="CFC8B4" w:sz="4"/>
              <w:bottom w:val="single" w:color="CFC8B4" w:sz="4"/>
              <w:right w:val="single" w:color="CFC8B4" w:sz="4"/>
            </w:tcBorders>
            <w:shd w:fill="1E2A45"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19"/>
                <w:szCs w:val="19"/>
              </w:rPr>
              <w:t xml:space="preserve">Core Focus</w:t>
            </w:r>
          </w:p>
        </w:tc>
        <w:tc>
          <w:tcPr>
            <w:tcW w:type="dxa" w:w="3900"/>
            <w:tcBorders>
              <w:top w:val="single" w:color="CFC8B4" w:sz="4"/>
              <w:left w:val="single" w:color="CFC8B4" w:sz="4"/>
              <w:bottom w:val="single" w:color="CFC8B4" w:sz="4"/>
              <w:right w:val="single" w:color="CFC8B4" w:sz="4"/>
            </w:tcBorders>
            <w:shd w:fill="1E2A45"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19"/>
                <w:szCs w:val="19"/>
              </w:rPr>
              <w:t xml:space="preserve">How Vidya Setu Expresses It</w:t>
            </w:r>
          </w:p>
        </w:tc>
      </w:tr>
      <w:tr>
        <w:tc>
          <w:tcPr>
            <w:tcW w:type="dxa" w:w="25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ISO 21001:2018</w:t>
            </w:r>
          </w:p>
        </w:tc>
        <w:tc>
          <w:tcPr>
            <w:tcW w:type="dxa" w:w="35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Educational organisation management</w:t>
            </w:r>
          </w:p>
        </w:tc>
        <w:tc>
          <w:tcPr>
            <w:tcW w:type="dxa" w:w="39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Learner-centred modules; AI analytics for continual improvement</w:t>
            </w:r>
          </w:p>
        </w:tc>
      </w:tr>
      <w:tr>
        <w:tc>
          <w:tcPr>
            <w:tcW w:type="dxa" w:w="25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ISO/IEC 27001:2022</w:t>
            </w:r>
          </w:p>
        </w:tc>
        <w:tc>
          <w:tcPr>
            <w:tcW w:type="dxa" w:w="35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Information security &amp; access control</w:t>
            </w:r>
          </w:p>
        </w:tc>
        <w:tc>
          <w:tcPr>
            <w:tcW w:type="dxa" w:w="39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Four-role, least-privilege architecture</w:t>
            </w:r>
          </w:p>
        </w:tc>
      </w:tr>
      <w:tr>
        <w:tc>
          <w:tcPr>
            <w:tcW w:type="dxa" w:w="25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ISO/IEC 27701:2025</w:t>
            </w:r>
          </w:p>
        </w:tc>
        <w:tc>
          <w:tcPr>
            <w:tcW w:type="dxa" w:w="35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Privacy of personal information</w:t>
            </w:r>
          </w:p>
        </w:tc>
        <w:tc>
          <w:tcPr>
            <w:tcW w:type="dxa" w:w="39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Scoped data views; safeguards for minors' data</w:t>
            </w:r>
          </w:p>
        </w:tc>
      </w:tr>
      <w:tr>
        <w:tc>
          <w:tcPr>
            <w:tcW w:type="dxa" w:w="25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ISO/IEC 25010:2023</w:t>
            </w:r>
          </w:p>
        </w:tc>
        <w:tc>
          <w:tcPr>
            <w:tcW w:type="dxa" w:w="35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Software product quality</w:t>
            </w:r>
          </w:p>
        </w:tc>
        <w:tc>
          <w:tcPr>
            <w:tcW w:type="dxa" w:w="39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Real-time engine, modular stack, secure RBAC</w:t>
            </w:r>
          </w:p>
        </w:tc>
      </w:tr>
    </w:tbl>
    <w:p>
      <w:r>
        <w:br w:type="page"/>
      </w:r>
    </w:p>
    <w:p>
      <w:pPr>
        <w:pStyle w:val="Heading1"/>
        <w:pBdr>
          <w:bottom w:val="single" w:color="AD7F1E" w:sz="10" w:space="6"/>
        </w:pBdr>
        <w:spacing w:after="200" w:before="320"/>
      </w:pPr>
      <w:r>
        <w:rPr>
          <w:rFonts w:ascii="Calibri" w:cs="Calibri" w:eastAsia="Calibri" w:hAnsi="Calibri"/>
          <w:b/>
          <w:bCs/>
          <w:color w:val="1E2A45"/>
          <w:sz w:val="32"/>
          <w:szCs w:val="32"/>
        </w:rPr>
        <w:t xml:space="preserve">Part II — The Role Governance Architecture</w:t>
      </w:r>
    </w:p>
    <w:p>
      <w:pPr>
        <w:spacing w:after="160" w:line="300"/>
        <w:jc w:val="both"/>
      </w:pPr>
      <w:r>
        <w:rPr>
          <w:rFonts w:ascii="Calibri" w:cs="Calibri" w:eastAsia="Calibri" w:hAnsi="Calibri"/>
          <w:i w:val="false"/>
          <w:iCs w:val="false"/>
          <w:color w:val="2A2A2A"/>
          <w:sz w:val="21"/>
          <w:szCs w:val="21"/>
        </w:rPr>
        <w:t xml:space="preserve">Before the Principal's powers can be properly understood, they need to be seen against the three roles beneath them. Good governance is relative: a role's authority is defined as much by what it excludes as by what it includes.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3200"/>
      </w:tblGrid>
      <w:tr>
        <w:trPr>
          <w:tblHeader/>
        </w:trPr>
        <w:tc>
          <w:tcPr>
            <w:tcW w:type="dxa" w:w="2700"/>
            <w:tcBorders>
              <w:top w:val="single" w:color="CFC8B4" w:sz="4"/>
              <w:left w:val="single" w:color="CFC8B4" w:sz="4"/>
              <w:bottom w:val="single" w:color="CFC8B4" w:sz="4"/>
              <w:right w:val="single" w:color="CFC8B4" w:sz="4"/>
            </w:tcBorders>
            <w:shd w:fill="1E2A45"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19"/>
                <w:szCs w:val="19"/>
              </w:rPr>
              <w:t xml:space="preserve">Role</w:t>
            </w:r>
          </w:p>
        </w:tc>
        <w:tc>
          <w:tcPr>
            <w:tcW w:type="dxa" w:w="4000"/>
            <w:tcBorders>
              <w:top w:val="single" w:color="CFC8B4" w:sz="4"/>
              <w:left w:val="single" w:color="CFC8B4" w:sz="4"/>
              <w:bottom w:val="single" w:color="CFC8B4" w:sz="4"/>
              <w:right w:val="single" w:color="CFC8B4" w:sz="4"/>
            </w:tcBorders>
            <w:shd w:fill="1E2A45"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19"/>
                <w:szCs w:val="19"/>
              </w:rPr>
              <w:t xml:space="preserve">Standing in the System</w:t>
            </w:r>
          </w:p>
        </w:tc>
        <w:tc>
          <w:tcPr>
            <w:tcW w:type="dxa" w:w="3200"/>
            <w:tcBorders>
              <w:top w:val="single" w:color="CFC8B4" w:sz="4"/>
              <w:left w:val="single" w:color="CFC8B4" w:sz="4"/>
              <w:bottom w:val="single" w:color="CFC8B4" w:sz="4"/>
              <w:right w:val="single" w:color="CFC8B4" w:sz="4"/>
            </w:tcBorders>
            <w:shd w:fill="1E2A45"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19"/>
                <w:szCs w:val="19"/>
              </w:rPr>
              <w:t xml:space="preserve">Defining ISO Principle</w:t>
            </w:r>
          </w:p>
        </w:tc>
      </w:tr>
      <w:tr>
        <w:tc>
          <w:tcPr>
            <w:tcW w:type="dxa" w:w="27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Principal — Super Administrator</w:t>
            </w:r>
          </w:p>
        </w:tc>
        <w:tc>
          <w:tcPr>
            <w:tcW w:type="dxa" w:w="40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Full, system-wide authority; the single point of ultimate accountability</w:t>
            </w:r>
          </w:p>
        </w:tc>
        <w:tc>
          <w:tcPr>
            <w:tcW w:type="dxa" w:w="32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Privileged access (Annex A 8.2) held by one clearly identified role</w:t>
            </w:r>
          </w:p>
        </w:tc>
      </w:tr>
      <w:tr>
        <w:tc>
          <w:tcPr>
            <w:tcW w:type="dxa" w:w="27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Clerk — Operations</w:t>
            </w:r>
          </w:p>
        </w:tc>
        <w:tc>
          <w:tcPr>
            <w:tcW w:type="dxa" w:w="40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Executes day-to-day transactions; cannot approve payroll or expenses</w:t>
            </w:r>
          </w:p>
        </w:tc>
        <w:tc>
          <w:tcPr>
            <w:tcW w:type="dxa" w:w="32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Least privilege &amp; segregation of duties (Annex A 5.15, 5.3)</w:t>
            </w:r>
          </w:p>
        </w:tc>
      </w:tr>
      <w:tr>
        <w:tc>
          <w:tcPr>
            <w:tcW w:type="dxa" w:w="27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Teacher — Academic Controller</w:t>
            </w:r>
          </w:p>
        </w:tc>
        <w:tc>
          <w:tcPr>
            <w:tcW w:type="dxa" w:w="40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Full control of assigned classes only; no visibility into finance or HR</w:t>
            </w:r>
          </w:p>
        </w:tc>
        <w:tc>
          <w:tcPr>
            <w:tcW w:type="dxa" w:w="32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Functional segregation by domain</w:t>
            </w:r>
          </w:p>
        </w:tc>
      </w:tr>
      <w:tr>
        <w:tc>
          <w:tcPr>
            <w:tcW w:type="dxa" w:w="27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Parent — Viewer &amp; Payer</w:t>
            </w:r>
          </w:p>
        </w:tc>
        <w:tc>
          <w:tcPr>
            <w:tcW w:type="dxa" w:w="40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Restricted to their own child's records only</w:t>
            </w:r>
          </w:p>
        </w:tc>
        <w:tc>
          <w:tcPr>
            <w:tcW w:type="dxa" w:w="32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Need-to-know, data-subject-scoped access (ISO/IEC 27701)</w:t>
            </w:r>
          </w:p>
        </w:tc>
      </w:tr>
    </w:tbl>
    <w:p>
      <w:pPr>
        <w:spacing w:after="160" w:line="300"/>
        <w:jc w:val="both"/>
      </w:pPr>
      <w:r>
        <w:rPr>
          <w:rFonts w:ascii="Calibri" w:cs="Calibri" w:eastAsia="Calibri" w:hAnsi="Calibri"/>
          <w:i w:val="false"/>
          <w:iCs w:val="false"/>
          <w:color w:val="2A2A2A"/>
          <w:sz w:val="21"/>
          <w:szCs w:val="21"/>
        </w:rPr>
        <w:t xml:space="preserve">Each role narrows sharply as it moves away from the Principal — by design. It is this narrowing that gives the Principal's own, wider authority its meaning: not unlimited power for its own sake, but the single seat from which the whole institution can be seen and answered for.</w:t>
      </w:r>
    </w:p>
    <w:p>
      <w:r>
        <w:br w:type="page"/>
      </w:r>
    </w:p>
    <w:p>
      <w:pPr>
        <w:pStyle w:val="Heading1"/>
        <w:pBdr>
          <w:bottom w:val="single" w:color="AD7F1E" w:sz="10" w:space="6"/>
        </w:pBdr>
        <w:spacing w:after="200" w:before="320"/>
      </w:pPr>
      <w:r>
        <w:rPr>
          <w:rFonts w:ascii="Calibri" w:cs="Calibri" w:eastAsia="Calibri" w:hAnsi="Calibri"/>
          <w:b/>
          <w:bCs/>
          <w:color w:val="1E2A45"/>
          <w:sz w:val="32"/>
          <w:szCs w:val="32"/>
        </w:rPr>
        <w:t xml:space="preserve">Part III — The Principal's Charter of Authority</w:t>
      </w:r>
    </w:p>
    <w:p>
      <w:pPr>
        <w:spacing w:after="160" w:line="300"/>
        <w:jc w:val="both"/>
      </w:pPr>
      <w:r>
        <w:rPr>
          <w:rFonts w:ascii="Calibri" w:cs="Calibri" w:eastAsia="Calibri" w:hAnsi="Calibri"/>
          <w:i w:val="false"/>
          <w:iCs w:val="false"/>
          <w:color w:val="2A2A2A"/>
          <w:sz w:val="21"/>
          <w:szCs w:val="21"/>
        </w:rPr>
        <w:t xml:space="preserve">Of the four roles in Vidya Setu, only one is designed to see the whole institution at once. That is deliberate. Someone has to be accountable for the entire system — for whether fees reconcile, whether payroll is fair, whether a teacher's leave was handled promptly, whether the school's data is safe. Vidya Setu places that accountability, and the authority to match it, with the Principal. What follows is the complete authority of that role, organised into five domains, each anchored to the governance principle that justifies it.</w:t>
      </w:r>
    </w:p>
    <w:p>
      <w:pPr>
        <w:pStyle w:val="Heading3"/>
        <w:spacing w:after="80" w:before="260"/>
      </w:pPr>
      <w:r>
        <w:rPr>
          <w:rFonts w:ascii="Calibri" w:cs="Calibri" w:eastAsia="Calibri" w:hAnsi="Calibri"/>
          <w:b/>
          <w:bCs/>
          <w:color w:val="AD7F1E"/>
          <w:sz w:val="23"/>
          <w:szCs w:val="23"/>
        </w:rPr>
        <w:t xml:space="preserve">Domain A — </w:t>
      </w:r>
      <w:r>
        <w:rPr>
          <w:rFonts w:ascii="Calibri" w:cs="Calibri" w:eastAsia="Calibri" w:hAnsi="Calibri"/>
          <w:b/>
          <w:bCs/>
          <w:color w:val="1E2A45"/>
          <w:sz w:val="23"/>
          <w:szCs w:val="23"/>
        </w:rPr>
        <w:t xml:space="preserve">Supreme Institutional Oversight</w:t>
      </w:r>
    </w:p>
    <w:p>
      <w:pPr>
        <w:spacing w:after="80" w:before="60"/>
      </w:pPr>
      <w:r>
        <w:rPr>
          <w:rFonts w:ascii="Calibri" w:cs="Calibri" w:eastAsia="Calibri" w:hAnsi="Calibri"/>
          <w:b/>
          <w:bCs/>
          <w:color w:val="33456B"/>
          <w:sz w:val="20"/>
          <w:szCs w:val="20"/>
        </w:rPr>
        <w:t xml:space="preserve">Why it matters</w:t>
      </w:r>
    </w:p>
    <w:p>
      <w:pPr>
        <w:spacing w:after="160" w:line="300"/>
        <w:jc w:val="left"/>
      </w:pPr>
      <w:r>
        <w:rPr>
          <w:rFonts w:ascii="Calibri" w:cs="Calibri" w:eastAsia="Calibri" w:hAnsi="Calibri"/>
          <w:i w:val="false"/>
          <w:iCs w:val="false"/>
          <w:color w:val="2A2A2A"/>
          <w:sz w:val="21"/>
          <w:szCs w:val="21"/>
        </w:rPr>
        <w:t xml:space="preserve">One role has to be able to see, and if necessary correct, anything in the system — otherwise no one is truly accountable for the whole institution.</w:t>
      </w:r>
    </w:p>
    <w:p>
      <w:pPr>
        <w:spacing w:after="80" w:before="60"/>
      </w:pPr>
      <w:r>
        <w:rPr>
          <w:rFonts w:ascii="Calibri" w:cs="Calibri" w:eastAsia="Calibri" w:hAnsi="Calibri"/>
          <w:b/>
          <w:bCs/>
          <w:color w:val="33456B"/>
          <w:sz w:val="20"/>
          <w:szCs w:val="20"/>
        </w:rPr>
        <w:t xml:space="preserve">Powers</w:t>
      </w:r>
    </w:p>
    <w:p>
      <w:pPr>
        <w:pStyle w:val="ListParagraph"/>
        <w:numPr>
          <w:ilvl w:val="0"/>
          <w:numId w:val="2"/>
        </w:numPr>
        <w:spacing w:after="90" w:line="290"/>
      </w:pPr>
      <w:r>
        <w:rPr>
          <w:rFonts w:ascii="Calibri" w:cs="Calibri" w:eastAsia="Calibri" w:hAnsi="Calibri"/>
          <w:color w:val="2A2A2A"/>
          <w:sz w:val="21"/>
          <w:szCs w:val="21"/>
        </w:rPr>
        <w:t xml:space="preserve">Full override access to view and edit the complete Students Database.</w:t>
      </w:r>
    </w:p>
    <w:p>
      <w:pPr>
        <w:pStyle w:val="ListParagraph"/>
        <w:numPr>
          <w:ilvl w:val="0"/>
          <w:numId w:val="2"/>
        </w:numPr>
        <w:spacing w:after="90" w:line="290"/>
      </w:pPr>
      <w:r>
        <w:rPr>
          <w:rFonts w:ascii="Calibri" w:cs="Calibri" w:eastAsia="Calibri" w:hAnsi="Calibri"/>
          <w:color w:val="2A2A2A"/>
          <w:sz w:val="21"/>
          <w:szCs w:val="21"/>
        </w:rPr>
        <w:t xml:space="preserve">Real-time monitoring of Fee Collections across the entire school.</w:t>
      </w:r>
    </w:p>
    <w:p>
      <w:pPr>
        <w:pStyle w:val="ListParagraph"/>
        <w:numPr>
          <w:ilvl w:val="0"/>
          <w:numId w:val="2"/>
        </w:numPr>
        <w:spacing w:after="90" w:line="290"/>
      </w:pPr>
      <w:r>
        <w:rPr>
          <w:rFonts w:ascii="Calibri" w:cs="Calibri" w:eastAsia="Calibri" w:hAnsi="Calibri"/>
          <w:color w:val="2A2A2A"/>
          <w:sz w:val="21"/>
          <w:szCs w:val="21"/>
        </w:rPr>
        <w:t xml:space="preserve">Complete oversight of Transport operations.</w:t>
      </w:r>
    </w:p>
    <w:p>
      <w:pPr>
        <w:pStyle w:val="ListParagraph"/>
        <w:numPr>
          <w:ilvl w:val="0"/>
          <w:numId w:val="2"/>
        </w:numPr>
        <w:spacing w:after="90" w:line="290"/>
      </w:pPr>
      <w:r>
        <w:rPr>
          <w:rFonts w:ascii="Calibri" w:cs="Calibri" w:eastAsia="Calibri" w:hAnsi="Calibri"/>
          <w:color w:val="2A2A2A"/>
          <w:sz w:val="21"/>
          <w:szCs w:val="21"/>
        </w:rPr>
        <w:t xml:space="preserve">Authority to publish global Notices to Staff and Parents simultaneously.</w:t>
      </w:r>
    </w:p>
    <w:p>
      <w:pPr>
        <w:pStyle w:val="ListParagraph"/>
        <w:numPr>
          <w:ilvl w:val="0"/>
          <w:numId w:val="2"/>
        </w:numPr>
        <w:spacing w:after="90" w:line="290"/>
      </w:pPr>
      <w:r>
        <w:rPr>
          <w:rFonts w:ascii="Calibri" w:cs="Calibri" w:eastAsia="Calibri" w:hAnsi="Calibri"/>
          <w:color w:val="2A2A2A"/>
          <w:sz w:val="21"/>
          <w:szCs w:val="21"/>
        </w:rPr>
        <w:t xml:space="preserve">Unrestricted visibility into every operational module on the platform.</w:t>
      </w:r>
    </w:p>
    <w:p>
      <w:pPr>
        <w:pBdr>
          <w:left w:val="single" w:color="AD7F1E" w:sz="16" w:space="8"/>
        </w:pBdr>
        <w:spacing w:after="220" w:before="60"/>
        <w:ind w:left="260"/>
      </w:pPr>
      <w:r>
        <w:rPr>
          <w:rFonts w:ascii="Calibri" w:cs="Calibri" w:eastAsia="Calibri" w:hAnsi="Calibri"/>
          <w:b/>
          <w:bCs/>
          <w:i/>
          <w:iCs/>
          <w:color w:val="AD7F1E"/>
          <w:sz w:val="19"/>
          <w:szCs w:val="19"/>
        </w:rPr>
        <w:t xml:space="preserve">Governance anchor  </w:t>
      </w:r>
      <w:r>
        <w:rPr>
          <w:rFonts w:ascii="Calibri" w:cs="Calibri" w:eastAsia="Calibri" w:hAnsi="Calibri"/>
          <w:i/>
          <w:iCs/>
          <w:color w:val="5B5B5B"/>
          <w:sz w:val="19"/>
          <w:szCs w:val="19"/>
        </w:rPr>
        <w:t xml:space="preserve">this is exactly what ISO/IEC 27001 Annex A 8.2 calls a privileged access right — reach this wide should make the Principal's account the most closely logged and monitored in the system, not the least.</w:t>
      </w:r>
    </w:p>
    <w:p>
      <w:pPr>
        <w:pStyle w:val="Heading3"/>
        <w:spacing w:after="80" w:before="260"/>
      </w:pPr>
      <w:r>
        <w:rPr>
          <w:rFonts w:ascii="Calibri" w:cs="Calibri" w:eastAsia="Calibri" w:hAnsi="Calibri"/>
          <w:b/>
          <w:bCs/>
          <w:color w:val="AD7F1E"/>
          <w:sz w:val="23"/>
          <w:szCs w:val="23"/>
        </w:rPr>
        <w:t xml:space="preserve">Domain B — </w:t>
      </w:r>
      <w:r>
        <w:rPr>
          <w:rFonts w:ascii="Calibri" w:cs="Calibri" w:eastAsia="Calibri" w:hAnsi="Calibri"/>
          <w:b/>
          <w:bCs/>
          <w:color w:val="1E2A45"/>
          <w:sz w:val="23"/>
          <w:szCs w:val="23"/>
        </w:rPr>
        <w:t xml:space="preserve">Financial Stewardship</w:t>
      </w:r>
    </w:p>
    <w:p>
      <w:pPr>
        <w:spacing w:after="80" w:before="60"/>
      </w:pPr>
      <w:r>
        <w:rPr>
          <w:rFonts w:ascii="Calibri" w:cs="Calibri" w:eastAsia="Calibri" w:hAnsi="Calibri"/>
          <w:b/>
          <w:bCs/>
          <w:color w:val="33456B"/>
          <w:sz w:val="20"/>
          <w:szCs w:val="20"/>
        </w:rPr>
        <w:t xml:space="preserve">Why it matters</w:t>
      </w:r>
    </w:p>
    <w:p>
      <w:pPr>
        <w:spacing w:after="160" w:line="300"/>
        <w:jc w:val="left"/>
      </w:pPr>
      <w:r>
        <w:rPr>
          <w:rFonts w:ascii="Calibri" w:cs="Calibri" w:eastAsia="Calibri" w:hAnsi="Calibri"/>
          <w:i w:val="false"/>
          <w:iCs w:val="false"/>
          <w:color w:val="2A2A2A"/>
          <w:sz w:val="21"/>
          <w:szCs w:val="21"/>
        </w:rPr>
        <w:t xml:space="preserve">Money is where trust is tested first. Vidya Setu gives the Principal exclusive command of the school's financial integrity.</w:t>
      </w:r>
    </w:p>
    <w:p>
      <w:pPr>
        <w:spacing w:after="80" w:before="60"/>
      </w:pPr>
      <w:r>
        <w:rPr>
          <w:rFonts w:ascii="Calibri" w:cs="Calibri" w:eastAsia="Calibri" w:hAnsi="Calibri"/>
          <w:b/>
          <w:bCs/>
          <w:color w:val="33456B"/>
          <w:sz w:val="20"/>
          <w:szCs w:val="20"/>
        </w:rPr>
        <w:t xml:space="preserve">Powers</w:t>
      </w:r>
    </w:p>
    <w:p>
      <w:pPr>
        <w:pStyle w:val="ListParagraph"/>
        <w:numPr>
          <w:ilvl w:val="0"/>
          <w:numId w:val="2"/>
        </w:numPr>
        <w:spacing w:after="90" w:line="290"/>
      </w:pPr>
      <w:r>
        <w:rPr>
          <w:rFonts w:ascii="Calibri" w:cs="Calibri" w:eastAsia="Calibri" w:hAnsi="Calibri"/>
          <w:color w:val="2A2A2A"/>
          <w:sz w:val="21"/>
          <w:szCs w:val="21"/>
        </w:rPr>
        <w:t xml:space="preserve">Exclusive access to view staff salary records.</w:t>
      </w:r>
    </w:p>
    <w:p>
      <w:pPr>
        <w:pStyle w:val="ListParagraph"/>
        <w:numPr>
          <w:ilvl w:val="0"/>
          <w:numId w:val="2"/>
        </w:numPr>
        <w:spacing w:after="90" w:line="290"/>
      </w:pPr>
      <w:r>
        <w:rPr>
          <w:rFonts w:ascii="Calibri" w:cs="Calibri" w:eastAsia="Calibri" w:hAnsi="Calibri"/>
          <w:color w:val="2A2A2A"/>
          <w:sz w:val="21"/>
          <w:szCs w:val="21"/>
        </w:rPr>
        <w:t xml:space="preserve">Sole authority to process payroll cycles.</w:t>
      </w:r>
    </w:p>
    <w:p>
      <w:pPr>
        <w:pStyle w:val="ListParagraph"/>
        <w:numPr>
          <w:ilvl w:val="0"/>
          <w:numId w:val="2"/>
        </w:numPr>
        <w:spacing w:after="90" w:line="290"/>
      </w:pPr>
      <w:r>
        <w:rPr>
          <w:rFonts w:ascii="Calibri" w:cs="Calibri" w:eastAsia="Calibri" w:hAnsi="Calibri"/>
          <w:color w:val="2A2A2A"/>
          <w:sz w:val="21"/>
          <w:szCs w:val="21"/>
        </w:rPr>
        <w:t xml:space="preserve">Sole authority to generate official digital salary slips.</w:t>
      </w:r>
    </w:p>
    <w:p>
      <w:pPr>
        <w:pStyle w:val="ListParagraph"/>
        <w:numPr>
          <w:ilvl w:val="0"/>
          <w:numId w:val="2"/>
        </w:numPr>
        <w:spacing w:after="90" w:line="290"/>
      </w:pPr>
      <w:r>
        <w:rPr>
          <w:rFonts w:ascii="Calibri" w:cs="Calibri" w:eastAsia="Calibri" w:hAnsi="Calibri"/>
          <w:color w:val="2A2A2A"/>
          <w:sz w:val="21"/>
          <w:szCs w:val="21"/>
        </w:rPr>
        <w:t xml:space="preserve">Exclusive power to approve or reject every school expense.</w:t>
      </w:r>
    </w:p>
    <w:p>
      <w:pPr>
        <w:pStyle w:val="ListParagraph"/>
        <w:numPr>
          <w:ilvl w:val="0"/>
          <w:numId w:val="2"/>
        </w:numPr>
        <w:spacing w:after="90" w:line="290"/>
      </w:pPr>
      <w:r>
        <w:rPr>
          <w:rFonts w:ascii="Calibri" w:cs="Calibri" w:eastAsia="Calibri" w:hAnsi="Calibri"/>
          <w:color w:val="2A2A2A"/>
          <w:sz w:val="21"/>
          <w:szCs w:val="21"/>
        </w:rPr>
        <w:t xml:space="preserve">Full, real-time visibility into fee collection ledgers, school-wide.</w:t>
      </w:r>
    </w:p>
    <w:p>
      <w:pPr>
        <w:pBdr>
          <w:left w:val="single" w:color="AD7F1E" w:sz="16" w:space="8"/>
        </w:pBdr>
        <w:spacing w:after="220" w:before="60"/>
        <w:ind w:left="260"/>
      </w:pPr>
      <w:r>
        <w:rPr>
          <w:rFonts w:ascii="Calibri" w:cs="Calibri" w:eastAsia="Calibri" w:hAnsi="Calibri"/>
          <w:b/>
          <w:bCs/>
          <w:i/>
          <w:iCs/>
          <w:color w:val="AD7F1E"/>
          <w:sz w:val="19"/>
          <w:szCs w:val="19"/>
        </w:rPr>
        <w:t xml:space="preserve">Governance anchor  </w:t>
      </w:r>
      <w:r>
        <w:rPr>
          <w:rFonts w:ascii="Calibri" w:cs="Calibri" w:eastAsia="Calibri" w:hAnsi="Calibri"/>
          <w:i/>
          <w:iCs/>
          <w:color w:val="5B5B5B"/>
          <w:sz w:val="19"/>
          <w:szCs w:val="19"/>
        </w:rPr>
        <w:t xml:space="preserve">mirrors the segregation-of-duties principle in Annex A 5.3 — Clerks record fee transactions; only the Principal approves expenses and finalises payroll, so no single non-supervisory actor can both initiate and authorise a financial movement.</w:t>
      </w:r>
    </w:p>
    <w:p>
      <w:pPr>
        <w:pStyle w:val="Heading3"/>
        <w:spacing w:after="80" w:before="260"/>
      </w:pPr>
      <w:r>
        <w:rPr>
          <w:rFonts w:ascii="Calibri" w:cs="Calibri" w:eastAsia="Calibri" w:hAnsi="Calibri"/>
          <w:b/>
          <w:bCs/>
          <w:color w:val="AD7F1E"/>
          <w:sz w:val="23"/>
          <w:szCs w:val="23"/>
        </w:rPr>
        <w:t xml:space="preserve">Domain C — </w:t>
      </w:r>
      <w:r>
        <w:rPr>
          <w:rFonts w:ascii="Calibri" w:cs="Calibri" w:eastAsia="Calibri" w:hAnsi="Calibri"/>
          <w:b/>
          <w:bCs/>
          <w:color w:val="1E2A45"/>
          <w:sz w:val="23"/>
          <w:szCs w:val="23"/>
        </w:rPr>
        <w:t xml:space="preserve">Human Capital Governance</w:t>
      </w:r>
    </w:p>
    <w:p>
      <w:pPr>
        <w:spacing w:after="80" w:before="60"/>
      </w:pPr>
      <w:r>
        <w:rPr>
          <w:rFonts w:ascii="Calibri" w:cs="Calibri" w:eastAsia="Calibri" w:hAnsi="Calibri"/>
          <w:b/>
          <w:bCs/>
          <w:color w:val="33456B"/>
          <w:sz w:val="20"/>
          <w:szCs w:val="20"/>
        </w:rPr>
        <w:t xml:space="preserve">Why it matters</w:t>
      </w:r>
    </w:p>
    <w:p>
      <w:pPr>
        <w:spacing w:after="160" w:line="300"/>
        <w:jc w:val="left"/>
      </w:pPr>
      <w:r>
        <w:rPr>
          <w:rFonts w:ascii="Calibri" w:cs="Calibri" w:eastAsia="Calibri" w:hAnsi="Calibri"/>
          <w:i w:val="false"/>
          <w:iCs w:val="false"/>
          <w:color w:val="2A2A2A"/>
          <w:sz w:val="21"/>
          <w:szCs w:val="21"/>
        </w:rPr>
        <w:t xml:space="preserve">Approving a colleague's leave is a small click carrying real human weight. Vidya Setu keeps that decision with the person ultimately responsible for staffing the school.</w:t>
      </w:r>
    </w:p>
    <w:p>
      <w:pPr>
        <w:spacing w:after="80" w:before="60"/>
      </w:pPr>
      <w:r>
        <w:rPr>
          <w:rFonts w:ascii="Calibri" w:cs="Calibri" w:eastAsia="Calibri" w:hAnsi="Calibri"/>
          <w:b/>
          <w:bCs/>
          <w:color w:val="33456B"/>
          <w:sz w:val="20"/>
          <w:szCs w:val="20"/>
        </w:rPr>
        <w:t xml:space="preserve">Powers</w:t>
      </w:r>
    </w:p>
    <w:p>
      <w:pPr>
        <w:pStyle w:val="ListParagraph"/>
        <w:numPr>
          <w:ilvl w:val="0"/>
          <w:numId w:val="2"/>
        </w:numPr>
        <w:spacing w:after="90" w:line="290"/>
      </w:pPr>
      <w:r>
        <w:rPr>
          <w:rFonts w:ascii="Calibri" w:cs="Calibri" w:eastAsia="Calibri" w:hAnsi="Calibri"/>
          <w:color w:val="2A2A2A"/>
          <w:sz w:val="21"/>
          <w:szCs w:val="21"/>
        </w:rPr>
        <w:t xml:space="preserve">Exclusive right to review every leave request submitted by staff and teachers.</w:t>
      </w:r>
    </w:p>
    <w:p>
      <w:pPr>
        <w:pStyle w:val="ListParagraph"/>
        <w:numPr>
          <w:ilvl w:val="0"/>
          <w:numId w:val="2"/>
        </w:numPr>
        <w:spacing w:after="90" w:line="290"/>
      </w:pPr>
      <w:r>
        <w:rPr>
          <w:rFonts w:ascii="Calibri" w:cs="Calibri" w:eastAsia="Calibri" w:hAnsi="Calibri"/>
          <w:color w:val="2A2A2A"/>
          <w:sz w:val="21"/>
          <w:szCs w:val="21"/>
        </w:rPr>
        <w:t xml:space="preserve">Sole authority to approve or reject those requests, in a single click.</w:t>
      </w:r>
    </w:p>
    <w:p>
      <w:pPr>
        <w:pBdr>
          <w:left w:val="single" w:color="AD7F1E" w:sz="16" w:space="8"/>
        </w:pBdr>
        <w:spacing w:after="220" w:before="60"/>
        <w:ind w:left="260"/>
      </w:pPr>
      <w:r>
        <w:rPr>
          <w:rFonts w:ascii="Calibri" w:cs="Calibri" w:eastAsia="Calibri" w:hAnsi="Calibri"/>
          <w:b/>
          <w:bCs/>
          <w:i/>
          <w:iCs/>
          <w:color w:val="AD7F1E"/>
          <w:sz w:val="19"/>
          <w:szCs w:val="19"/>
        </w:rPr>
        <w:t xml:space="preserve">Governance anchor  </w:t>
      </w:r>
      <w:r>
        <w:rPr>
          <w:rFonts w:ascii="Calibri" w:cs="Calibri" w:eastAsia="Calibri" w:hAnsi="Calibri"/>
          <w:i/>
          <w:iCs/>
          <w:color w:val="5B5B5B"/>
          <w:sz w:val="19"/>
          <w:szCs w:val="19"/>
        </w:rPr>
        <w:t xml:space="preserve">assigning HR-sensitive decisions to one clearly accountable owner reflects the human-resource-security intent that runs through the ISO/IEC 27001 control family.</w:t>
      </w:r>
    </w:p>
    <w:p>
      <w:pPr>
        <w:pStyle w:val="Heading3"/>
        <w:spacing w:after="80" w:before="260"/>
      </w:pPr>
      <w:r>
        <w:rPr>
          <w:rFonts w:ascii="Calibri" w:cs="Calibri" w:eastAsia="Calibri" w:hAnsi="Calibri"/>
          <w:b/>
          <w:bCs/>
          <w:color w:val="AD7F1E"/>
          <w:sz w:val="23"/>
          <w:szCs w:val="23"/>
        </w:rPr>
        <w:t xml:space="preserve">Domain D — </w:t>
      </w:r>
      <w:r>
        <w:rPr>
          <w:rFonts w:ascii="Calibri" w:cs="Calibri" w:eastAsia="Calibri" w:hAnsi="Calibri"/>
          <w:b/>
          <w:bCs/>
          <w:color w:val="1E2A45"/>
          <w:sz w:val="23"/>
          <w:szCs w:val="23"/>
        </w:rPr>
        <w:t xml:space="preserve">Intelligence &amp; Strategic Analytics</w:t>
      </w:r>
    </w:p>
    <w:p>
      <w:pPr>
        <w:spacing w:after="80" w:before="60"/>
      </w:pPr>
      <w:r>
        <w:rPr>
          <w:rFonts w:ascii="Calibri" w:cs="Calibri" w:eastAsia="Calibri" w:hAnsi="Calibri"/>
          <w:b/>
          <w:bCs/>
          <w:color w:val="33456B"/>
          <w:sz w:val="20"/>
          <w:szCs w:val="20"/>
        </w:rPr>
        <w:t xml:space="preserve">Why it matters</w:t>
      </w:r>
    </w:p>
    <w:p>
      <w:pPr>
        <w:spacing w:after="160" w:line="300"/>
        <w:jc w:val="left"/>
      </w:pPr>
      <w:r>
        <w:rPr>
          <w:rFonts w:ascii="Calibri" w:cs="Calibri" w:eastAsia="Calibri" w:hAnsi="Calibri"/>
          <w:i w:val="false"/>
          <w:iCs w:val="false"/>
          <w:color w:val="2A2A2A"/>
          <w:sz w:val="21"/>
          <w:szCs w:val="21"/>
        </w:rPr>
        <w:t xml:space="preserve">A Principal cannot improve what they cannot see. Vidya Setu's AI layer exists to surface the patterns of a school year — attendance dips, fee delays, academic trends — before they become crises.</w:t>
      </w:r>
    </w:p>
    <w:p>
      <w:pPr>
        <w:spacing w:after="80" w:before="60"/>
      </w:pPr>
      <w:r>
        <w:rPr>
          <w:rFonts w:ascii="Calibri" w:cs="Calibri" w:eastAsia="Calibri" w:hAnsi="Calibri"/>
          <w:b/>
          <w:bCs/>
          <w:color w:val="33456B"/>
          <w:sz w:val="20"/>
          <w:szCs w:val="20"/>
        </w:rPr>
        <w:t xml:space="preserve">Powers</w:t>
      </w:r>
    </w:p>
    <w:p>
      <w:pPr>
        <w:pStyle w:val="ListParagraph"/>
        <w:numPr>
          <w:ilvl w:val="0"/>
          <w:numId w:val="2"/>
        </w:numPr>
        <w:spacing w:after="90" w:line="290"/>
      </w:pPr>
      <w:r>
        <w:rPr>
          <w:rFonts w:ascii="Calibri" w:cs="Calibri" w:eastAsia="Calibri" w:hAnsi="Calibri"/>
          <w:color w:val="2A2A2A"/>
          <w:sz w:val="21"/>
          <w:szCs w:val="21"/>
        </w:rPr>
        <w:t xml:space="preserve">Exclusive access to the AI-Powered School Analytics dashboard.</w:t>
      </w:r>
    </w:p>
    <w:p>
      <w:pPr>
        <w:pStyle w:val="ListParagraph"/>
        <w:numPr>
          <w:ilvl w:val="0"/>
          <w:numId w:val="2"/>
        </w:numPr>
        <w:spacing w:after="90" w:line="290"/>
      </w:pPr>
      <w:r>
        <w:rPr>
          <w:rFonts w:ascii="Calibri" w:cs="Calibri" w:eastAsia="Calibri" w:hAnsi="Calibri"/>
          <w:color w:val="2A2A2A"/>
          <w:sz w:val="21"/>
          <w:szCs w:val="21"/>
        </w:rPr>
        <w:t xml:space="preserve">Deep, cross-module insight into academic performance, financial health, and attendance trends.</w:t>
      </w:r>
    </w:p>
    <w:p>
      <w:pPr>
        <w:pStyle w:val="ListParagraph"/>
        <w:numPr>
          <w:ilvl w:val="0"/>
          <w:numId w:val="2"/>
        </w:numPr>
        <w:spacing w:after="90" w:line="290"/>
      </w:pPr>
      <w:r>
        <w:rPr>
          <w:rFonts w:ascii="Calibri" w:cs="Calibri" w:eastAsia="Calibri" w:hAnsi="Calibri"/>
          <w:color w:val="2A2A2A"/>
          <w:sz w:val="21"/>
          <w:szCs w:val="21"/>
        </w:rPr>
        <w:t xml:space="preserve">A context-aware "Ask Vidya" copilot that recognises the Principal's login and tailors every answer to full-institution data.</w:t>
      </w:r>
    </w:p>
    <w:p>
      <w:pPr>
        <w:pBdr>
          <w:left w:val="single" w:color="AD7F1E" w:sz="16" w:space="8"/>
        </w:pBdr>
        <w:spacing w:after="220" w:before="60"/>
        <w:ind w:left="260"/>
      </w:pPr>
      <w:r>
        <w:rPr>
          <w:rFonts w:ascii="Calibri" w:cs="Calibri" w:eastAsia="Calibri" w:hAnsi="Calibri"/>
          <w:b/>
          <w:bCs/>
          <w:i/>
          <w:iCs/>
          <w:color w:val="AD7F1E"/>
          <w:sz w:val="19"/>
          <w:szCs w:val="19"/>
        </w:rPr>
        <w:t xml:space="preserve">Governance anchor  </w:t>
      </w:r>
      <w:r>
        <w:rPr>
          <w:rFonts w:ascii="Calibri" w:cs="Calibri" w:eastAsia="Calibri" w:hAnsi="Calibri"/>
          <w:i/>
          <w:iCs/>
          <w:color w:val="5B5B5B"/>
          <w:sz w:val="19"/>
          <w:szCs w:val="19"/>
        </w:rPr>
        <w:t xml:space="preserve">this is Vidya Setu's living answer to ISO 21001's requirement for continual monitoring, measurement, and improvement — a management-system clause turned into a dashboard.</w:t>
      </w:r>
    </w:p>
    <w:p>
      <w:pPr>
        <w:pStyle w:val="Heading3"/>
        <w:spacing w:after="80" w:before="260"/>
      </w:pPr>
      <w:r>
        <w:rPr>
          <w:rFonts w:ascii="Calibri" w:cs="Calibri" w:eastAsia="Calibri" w:hAnsi="Calibri"/>
          <w:b/>
          <w:bCs/>
          <w:color w:val="AD7F1E"/>
          <w:sz w:val="23"/>
          <w:szCs w:val="23"/>
        </w:rPr>
        <w:t xml:space="preserve">Domain E — </w:t>
      </w:r>
      <w:r>
        <w:rPr>
          <w:rFonts w:ascii="Calibri" w:cs="Calibri" w:eastAsia="Calibri" w:hAnsi="Calibri"/>
          <w:b/>
          <w:bCs/>
          <w:color w:val="1E2A45"/>
          <w:sz w:val="23"/>
          <w:szCs w:val="23"/>
        </w:rPr>
        <w:t xml:space="preserve">Communication &amp; Institutional Trust</w:t>
      </w:r>
    </w:p>
    <w:p>
      <w:pPr>
        <w:spacing w:after="80" w:before="60"/>
      </w:pPr>
      <w:r>
        <w:rPr>
          <w:rFonts w:ascii="Calibri" w:cs="Calibri" w:eastAsia="Calibri" w:hAnsi="Calibri"/>
          <w:b/>
          <w:bCs/>
          <w:color w:val="33456B"/>
          <w:sz w:val="20"/>
          <w:szCs w:val="20"/>
        </w:rPr>
        <w:t xml:space="preserve">Why it matters</w:t>
      </w:r>
    </w:p>
    <w:p>
      <w:pPr>
        <w:spacing w:after="160" w:line="300"/>
        <w:jc w:val="left"/>
      </w:pPr>
      <w:r>
        <w:rPr>
          <w:rFonts w:ascii="Calibri" w:cs="Calibri" w:eastAsia="Calibri" w:hAnsi="Calibri"/>
          <w:i w:val="false"/>
          <w:iCs w:val="false"/>
          <w:color w:val="2A2A2A"/>
          <w:sz w:val="21"/>
          <w:szCs w:val="21"/>
        </w:rPr>
        <w:t xml:space="preserve">An institution is only as transparent as its worst-kept secret. Vidya Setu gives the Principal the widest possible communication reach precisely so that transparency is a choice, not an accident.</w:t>
      </w:r>
    </w:p>
    <w:p>
      <w:pPr>
        <w:spacing w:after="80" w:before="60"/>
      </w:pPr>
      <w:r>
        <w:rPr>
          <w:rFonts w:ascii="Calibri" w:cs="Calibri" w:eastAsia="Calibri" w:hAnsi="Calibri"/>
          <w:b/>
          <w:bCs/>
          <w:color w:val="33456B"/>
          <w:sz w:val="20"/>
          <w:szCs w:val="20"/>
        </w:rPr>
        <w:t xml:space="preserve">Powers</w:t>
      </w:r>
    </w:p>
    <w:p>
      <w:pPr>
        <w:pStyle w:val="ListParagraph"/>
        <w:numPr>
          <w:ilvl w:val="0"/>
          <w:numId w:val="2"/>
        </w:numPr>
        <w:spacing w:after="90" w:line="290"/>
      </w:pPr>
      <w:r>
        <w:rPr>
          <w:rFonts w:ascii="Calibri" w:cs="Calibri" w:eastAsia="Calibri" w:hAnsi="Calibri"/>
          <w:color w:val="2A2A2A"/>
          <w:sz w:val="21"/>
          <w:szCs w:val="21"/>
        </w:rPr>
        <w:t xml:space="preserve">Power to publish notices to Everyone, Staff Only, or any targeted group.</w:t>
      </w:r>
    </w:p>
    <w:p>
      <w:pPr>
        <w:pStyle w:val="ListParagraph"/>
        <w:numPr>
          <w:ilvl w:val="0"/>
          <w:numId w:val="2"/>
        </w:numPr>
        <w:spacing w:after="90" w:line="290"/>
      </w:pPr>
      <w:r>
        <w:rPr>
          <w:rFonts w:ascii="Calibri" w:cs="Calibri" w:eastAsia="Calibri" w:hAnsi="Calibri"/>
          <w:color w:val="2A2A2A"/>
          <w:sz w:val="21"/>
          <w:szCs w:val="21"/>
        </w:rPr>
        <w:t xml:space="preserve">Notices trigger instant, real-time toast notifications platform-wide.</w:t>
      </w:r>
    </w:p>
    <w:p>
      <w:pPr>
        <w:pBdr>
          <w:left w:val="single" w:color="AD7F1E" w:sz="16" w:space="8"/>
        </w:pBdr>
        <w:spacing w:after="220" w:before="60"/>
        <w:ind w:left="260"/>
      </w:pPr>
      <w:r>
        <w:rPr>
          <w:rFonts w:ascii="Calibri" w:cs="Calibri" w:eastAsia="Calibri" w:hAnsi="Calibri"/>
          <w:b/>
          <w:bCs/>
          <w:i/>
          <w:iCs/>
          <w:color w:val="AD7F1E"/>
          <w:sz w:val="19"/>
          <w:szCs w:val="19"/>
        </w:rPr>
        <w:t xml:space="preserve">Governance anchor  </w:t>
      </w:r>
      <w:r>
        <w:rPr>
          <w:rFonts w:ascii="Calibri" w:cs="Calibri" w:eastAsia="Calibri" w:hAnsi="Calibri"/>
          <w:i/>
          <w:iCs/>
          <w:color w:val="5B5B5B"/>
          <w:sz w:val="19"/>
          <w:szCs w:val="19"/>
        </w:rPr>
        <w:t xml:space="preserve">reflects ISO 21001's emphasis on transparent, accountable communication with all interested parties.</w:t>
      </w:r>
    </w:p>
    <w:p>
      <w:r>
        <w:br w:type="page"/>
      </w:r>
    </w:p>
    <w:p>
      <w:pPr>
        <w:pStyle w:val="Heading2"/>
        <w:spacing w:after="140" w:before="260"/>
      </w:pPr>
      <w:r>
        <w:rPr>
          <w:rFonts w:ascii="Calibri" w:cs="Calibri" w:eastAsia="Calibri" w:hAnsi="Calibri"/>
          <w:b/>
          <w:bCs/>
          <w:color w:val="33456B"/>
          <w:sz w:val="25"/>
          <w:szCs w:val="25"/>
        </w:rPr>
        <w:t xml:space="preserve">At a Glance — The Complete Charter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800"/>
        <w:gridCol w:w="2700"/>
      </w:tblGrid>
      <w:tr>
        <w:trPr>
          <w:tblHeader/>
        </w:trPr>
        <w:tc>
          <w:tcPr>
            <w:tcW w:type="dxa" w:w="3500"/>
            <w:tcBorders>
              <w:top w:val="single" w:color="CFC8B4" w:sz="4"/>
              <w:left w:val="single" w:color="CFC8B4" w:sz="4"/>
              <w:bottom w:val="single" w:color="CFC8B4" w:sz="4"/>
              <w:right w:val="single" w:color="CFC8B4" w:sz="4"/>
            </w:tcBorders>
            <w:shd w:fill="1E2A45"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19"/>
                <w:szCs w:val="19"/>
              </w:rPr>
              <w:t xml:space="preserve">Power</w:t>
            </w:r>
          </w:p>
        </w:tc>
        <w:tc>
          <w:tcPr>
            <w:tcW w:type="dxa" w:w="1900"/>
            <w:tcBorders>
              <w:top w:val="single" w:color="CFC8B4" w:sz="4"/>
              <w:left w:val="single" w:color="CFC8B4" w:sz="4"/>
              <w:bottom w:val="single" w:color="CFC8B4" w:sz="4"/>
              <w:right w:val="single" w:color="CFC8B4" w:sz="4"/>
            </w:tcBorders>
            <w:shd w:fill="1E2A45"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19"/>
                <w:szCs w:val="19"/>
              </w:rPr>
              <w:t xml:space="preserve">Domain</w:t>
            </w:r>
          </w:p>
        </w:tc>
        <w:tc>
          <w:tcPr>
            <w:tcW w:type="dxa" w:w="1800"/>
            <w:tcBorders>
              <w:top w:val="single" w:color="CFC8B4" w:sz="4"/>
              <w:left w:val="single" w:color="CFC8B4" w:sz="4"/>
              <w:bottom w:val="single" w:color="CFC8B4" w:sz="4"/>
              <w:right w:val="single" w:color="CFC8B4" w:sz="4"/>
            </w:tcBorders>
            <w:shd w:fill="1E2A45"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19"/>
                <w:szCs w:val="19"/>
              </w:rPr>
              <w:t xml:space="preserve">Exclusive</w:t>
            </w:r>
          </w:p>
        </w:tc>
        <w:tc>
          <w:tcPr>
            <w:tcW w:type="dxa" w:w="2700"/>
            <w:tcBorders>
              <w:top w:val="single" w:color="CFC8B4" w:sz="4"/>
              <w:left w:val="single" w:color="CFC8B4" w:sz="4"/>
              <w:bottom w:val="single" w:color="CFC8B4" w:sz="4"/>
              <w:right w:val="single" w:color="CFC8B4" w:sz="4"/>
            </w:tcBorders>
            <w:shd w:fill="1E2A45" w:color="auto" w:val="clear"/>
            <w:tcMar>
              <w:top w:type="dxa" w:w="90"/>
              <w:left w:type="dxa" w:w="130"/>
              <w:bottom w:type="dxa" w:w="90"/>
              <w:right w:type="dxa" w:w="130"/>
            </w:tcMar>
            <w:vAlign w:val="center"/>
          </w:tcPr>
          <w:p>
            <w:pPr>
              <w:jc w:val="left"/>
            </w:pPr>
            <w:r>
              <w:rPr>
                <w:rFonts w:ascii="Calibri" w:cs="Calibri" w:eastAsia="Calibri" w:hAnsi="Calibri"/>
                <w:b/>
                <w:bCs/>
                <w:i w:val="false"/>
                <w:iCs w:val="false"/>
                <w:color w:val="FFFFFF"/>
                <w:sz w:val="19"/>
                <w:szCs w:val="19"/>
              </w:rPr>
              <w:t xml:space="preserve">ISO Reference</w:t>
            </w:r>
          </w:p>
        </w:tc>
      </w:tr>
      <w:tr>
        <w:tc>
          <w:tcPr>
            <w:tcW w:type="dxa" w:w="35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View &amp; edit the Students Database</w:t>
            </w:r>
          </w:p>
        </w:tc>
        <w:tc>
          <w:tcPr>
            <w:tcW w:type="dxa" w:w="19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Oversight</w:t>
            </w:r>
          </w:p>
        </w:tc>
        <w:tc>
          <w:tcPr>
            <w:tcW w:type="dxa" w:w="18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Yes</w:t>
            </w:r>
          </w:p>
        </w:tc>
        <w:tc>
          <w:tcPr>
            <w:tcW w:type="dxa" w:w="27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Annex A 8.2</w:t>
            </w:r>
          </w:p>
        </w:tc>
      </w:tr>
      <w:tr>
        <w:tc>
          <w:tcPr>
            <w:tcW w:type="dxa" w:w="35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Real-time Fee Collection monitoring</w:t>
            </w:r>
          </w:p>
        </w:tc>
        <w:tc>
          <w:tcPr>
            <w:tcW w:type="dxa" w:w="19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Oversight</w:t>
            </w:r>
          </w:p>
        </w:tc>
        <w:tc>
          <w:tcPr>
            <w:tcW w:type="dxa" w:w="18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View only*</w:t>
            </w:r>
          </w:p>
        </w:tc>
        <w:tc>
          <w:tcPr>
            <w:tcW w:type="dxa" w:w="27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Annex A 5.3</w:t>
            </w:r>
          </w:p>
        </w:tc>
      </w:tr>
      <w:tr>
        <w:tc>
          <w:tcPr>
            <w:tcW w:type="dxa" w:w="35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Transport operations oversight</w:t>
            </w:r>
          </w:p>
        </w:tc>
        <w:tc>
          <w:tcPr>
            <w:tcW w:type="dxa" w:w="19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Oversight</w:t>
            </w:r>
          </w:p>
        </w:tc>
        <w:tc>
          <w:tcPr>
            <w:tcW w:type="dxa" w:w="18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Yes</w:t>
            </w:r>
          </w:p>
        </w:tc>
        <w:tc>
          <w:tcPr>
            <w:tcW w:type="dxa" w:w="27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Annex A 8.2</w:t>
            </w:r>
          </w:p>
        </w:tc>
      </w:tr>
      <w:tr>
        <w:tc>
          <w:tcPr>
            <w:tcW w:type="dxa" w:w="35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Global Notices to Staff + Parents</w:t>
            </w:r>
          </w:p>
        </w:tc>
        <w:tc>
          <w:tcPr>
            <w:tcW w:type="dxa" w:w="19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Communication</w:t>
            </w:r>
          </w:p>
        </w:tc>
        <w:tc>
          <w:tcPr>
            <w:tcW w:type="dxa" w:w="18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Yes</w:t>
            </w:r>
          </w:p>
        </w:tc>
        <w:tc>
          <w:tcPr>
            <w:tcW w:type="dxa" w:w="27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ISO 21001</w:t>
            </w:r>
          </w:p>
        </w:tc>
      </w:tr>
      <w:tr>
        <w:tc>
          <w:tcPr>
            <w:tcW w:type="dxa" w:w="35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View staff salary records</w:t>
            </w:r>
          </w:p>
        </w:tc>
        <w:tc>
          <w:tcPr>
            <w:tcW w:type="dxa" w:w="19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Financial</w:t>
            </w:r>
          </w:p>
        </w:tc>
        <w:tc>
          <w:tcPr>
            <w:tcW w:type="dxa" w:w="18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Yes</w:t>
            </w:r>
          </w:p>
        </w:tc>
        <w:tc>
          <w:tcPr>
            <w:tcW w:type="dxa" w:w="27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Annex A 5.3 / 8.2</w:t>
            </w:r>
          </w:p>
        </w:tc>
      </w:tr>
      <w:tr>
        <w:tc>
          <w:tcPr>
            <w:tcW w:type="dxa" w:w="35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Process payroll cycles</w:t>
            </w:r>
          </w:p>
        </w:tc>
        <w:tc>
          <w:tcPr>
            <w:tcW w:type="dxa" w:w="19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Financial</w:t>
            </w:r>
          </w:p>
        </w:tc>
        <w:tc>
          <w:tcPr>
            <w:tcW w:type="dxa" w:w="18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Yes</w:t>
            </w:r>
          </w:p>
        </w:tc>
        <w:tc>
          <w:tcPr>
            <w:tcW w:type="dxa" w:w="27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Annex A 5.3</w:t>
            </w:r>
          </w:p>
        </w:tc>
      </w:tr>
      <w:tr>
        <w:tc>
          <w:tcPr>
            <w:tcW w:type="dxa" w:w="35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Generate digital salary slips</w:t>
            </w:r>
          </w:p>
        </w:tc>
        <w:tc>
          <w:tcPr>
            <w:tcW w:type="dxa" w:w="19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Financial</w:t>
            </w:r>
          </w:p>
        </w:tc>
        <w:tc>
          <w:tcPr>
            <w:tcW w:type="dxa" w:w="18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Yes</w:t>
            </w:r>
          </w:p>
        </w:tc>
        <w:tc>
          <w:tcPr>
            <w:tcW w:type="dxa" w:w="27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Annex A 5.3</w:t>
            </w:r>
          </w:p>
        </w:tc>
      </w:tr>
      <w:tr>
        <w:tc>
          <w:tcPr>
            <w:tcW w:type="dxa" w:w="35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Approve / reject school expenses</w:t>
            </w:r>
          </w:p>
        </w:tc>
        <w:tc>
          <w:tcPr>
            <w:tcW w:type="dxa" w:w="19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Financial</w:t>
            </w:r>
          </w:p>
        </w:tc>
        <w:tc>
          <w:tcPr>
            <w:tcW w:type="dxa" w:w="18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Yes</w:t>
            </w:r>
          </w:p>
        </w:tc>
        <w:tc>
          <w:tcPr>
            <w:tcW w:type="dxa" w:w="27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Annex A 5.3</w:t>
            </w:r>
          </w:p>
        </w:tc>
      </w:tr>
      <w:tr>
        <w:tc>
          <w:tcPr>
            <w:tcW w:type="dxa" w:w="35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Approve / reject leave requests</w:t>
            </w:r>
          </w:p>
        </w:tc>
        <w:tc>
          <w:tcPr>
            <w:tcW w:type="dxa" w:w="19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Human Capital</w:t>
            </w:r>
          </w:p>
        </w:tc>
        <w:tc>
          <w:tcPr>
            <w:tcW w:type="dxa" w:w="18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Yes</w:t>
            </w:r>
          </w:p>
        </w:tc>
        <w:tc>
          <w:tcPr>
            <w:tcW w:type="dxa" w:w="2700"/>
            <w:tcBorders>
              <w:top w:val="single" w:color="CFC8B4" w:sz="4"/>
              <w:left w:val="single" w:color="CFC8B4" w:sz="4"/>
              <w:bottom w:val="single" w:color="CFC8B4" w:sz="4"/>
              <w:right w:val="single" w:color="CFC8B4" w:sz="4"/>
            </w:tcBorders>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ISO/IEC 27001 HR security</w:t>
            </w:r>
          </w:p>
        </w:tc>
      </w:tr>
      <w:tr>
        <w:tc>
          <w:tcPr>
            <w:tcW w:type="dxa" w:w="35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AI School Analytics dashboard</w:t>
            </w:r>
          </w:p>
        </w:tc>
        <w:tc>
          <w:tcPr>
            <w:tcW w:type="dxa" w:w="19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Intelligence</w:t>
            </w:r>
          </w:p>
        </w:tc>
        <w:tc>
          <w:tcPr>
            <w:tcW w:type="dxa" w:w="18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Yes</w:t>
            </w:r>
          </w:p>
        </w:tc>
        <w:tc>
          <w:tcPr>
            <w:tcW w:type="dxa" w:w="2700"/>
            <w:tcBorders>
              <w:top w:val="single" w:color="CFC8B4" w:sz="4"/>
              <w:left w:val="single" w:color="CFC8B4" w:sz="4"/>
              <w:bottom w:val="single" w:color="CFC8B4" w:sz="4"/>
              <w:right w:val="single" w:color="CFC8B4" w:sz="4"/>
            </w:tcBorders>
            <w:shd w:fill="F4F1E8" w:color="auto" w:val="clear"/>
            <w:tcMar>
              <w:top w:type="dxa" w:w="90"/>
              <w:left w:type="dxa" w:w="130"/>
              <w:bottom w:type="dxa" w:w="90"/>
              <w:right w:type="dxa" w:w="130"/>
            </w:tcMar>
            <w:vAlign w:val="center"/>
          </w:tcPr>
          <w:p>
            <w:pPr>
              <w:jc w:val="left"/>
            </w:pPr>
            <w:r>
              <w:rPr>
                <w:rFonts w:ascii="Calibri" w:cs="Calibri" w:eastAsia="Calibri" w:hAnsi="Calibri"/>
                <w:b w:val="false"/>
                <w:bCs w:val="false"/>
                <w:i w:val="false"/>
                <w:iCs w:val="false"/>
                <w:color w:val="2A2A2A"/>
                <w:sz w:val="19"/>
                <w:szCs w:val="19"/>
              </w:rPr>
              <w:t xml:space="preserve">ISO 21001, Clauses 9–10</w:t>
            </w:r>
          </w:p>
        </w:tc>
      </w:tr>
    </w:tbl>
    <w:p>
      <w:pPr>
        <w:spacing w:after="40" w:before="120"/>
      </w:pPr>
      <w:r>
        <w:rPr>
          <w:rFonts w:ascii="Calibri" w:cs="Calibri" w:eastAsia="Calibri" w:hAnsi="Calibri"/>
          <w:i/>
          <w:iCs/>
          <w:color w:val="5B5B5B"/>
          <w:sz w:val="17"/>
          <w:szCs w:val="17"/>
        </w:rPr>
        <w:t xml:space="preserve">* Clerks record collections; the Principal holds exclusive oversight authority.</w:t>
      </w:r>
    </w:p>
    <w:p>
      <w:r>
        <w:br w:type="page"/>
      </w:r>
    </w:p>
    <w:p>
      <w:pPr>
        <w:pStyle w:val="Heading1"/>
        <w:pBdr>
          <w:bottom w:val="single" w:color="AD7F1E" w:sz="10" w:space="6"/>
        </w:pBdr>
        <w:spacing w:after="200" w:before="320"/>
      </w:pPr>
      <w:r>
        <w:rPr>
          <w:rFonts w:ascii="Calibri" w:cs="Calibri" w:eastAsia="Calibri" w:hAnsi="Calibri"/>
          <w:b/>
          <w:bCs/>
          <w:color w:val="1E2A45"/>
          <w:sz w:val="32"/>
          <w:szCs w:val="32"/>
        </w:rPr>
        <w:t xml:space="preserve">Part IV — Safeguards That Protect the Power</w:t>
      </w:r>
    </w:p>
    <w:p>
      <w:pPr>
        <w:spacing w:after="160" w:line="300"/>
        <w:jc w:val="both"/>
      </w:pPr>
      <w:r>
        <w:rPr>
          <w:rFonts w:ascii="Calibri" w:cs="Calibri" w:eastAsia="Calibri" w:hAnsi="Calibri"/>
          <w:i w:val="false"/>
          <w:iCs w:val="false"/>
          <w:color w:val="2A2A2A"/>
          <w:sz w:val="21"/>
          <w:szCs w:val="21"/>
        </w:rPr>
        <w:t xml:space="preserve">A Charter of Authority is only half a governance document. The other half is the discipline that keeps great power from becoming a liability — for the institution, and for the Principal personally. The following five safeguards are recommended next steps, each tied to a specific control already referenced above.</w:t>
      </w:r>
    </w:p>
    <w:p>
      <w:pPr>
        <w:pStyle w:val="Heading2"/>
        <w:spacing w:after="140" w:before="260"/>
      </w:pPr>
      <w:r>
        <w:rPr>
          <w:rFonts w:ascii="Calibri" w:cs="Calibri" w:eastAsia="Calibri" w:hAnsi="Calibri"/>
          <w:b/>
          <w:bCs/>
          <w:color w:val="33456B"/>
          <w:sz w:val="25"/>
          <w:szCs w:val="25"/>
        </w:rPr>
        <w:t xml:space="preserve">1.  Full Audit Logging of Principal Actions</w:t>
      </w:r>
    </w:p>
    <w:p>
      <w:pPr>
        <w:spacing w:after="160" w:line="300"/>
        <w:jc w:val="both"/>
      </w:pPr>
      <w:r>
        <w:rPr>
          <w:rFonts w:ascii="Calibri" w:cs="Calibri" w:eastAsia="Calibri" w:hAnsi="Calibri"/>
          <w:i w:val="false"/>
          <w:iCs w:val="false"/>
          <w:color w:val="2A2A2A"/>
          <w:sz w:val="21"/>
          <w:szCs w:val="21"/>
        </w:rPr>
        <w:t xml:space="preserve">Annex A 8.15 — Logging.  Every override, approval, and payroll action taken by the Principal account should be logged with user ID, timestamp, and the specific record changed. This protects the Principal as much as the institution: it turns "trust me" into "here is the record."</w:t>
      </w:r>
    </w:p>
    <w:p>
      <w:pPr>
        <w:pStyle w:val="Heading2"/>
        <w:spacing w:after="140" w:before="260"/>
      </w:pPr>
      <w:r>
        <w:rPr>
          <w:rFonts w:ascii="Calibri" w:cs="Calibri" w:eastAsia="Calibri" w:hAnsi="Calibri"/>
          <w:b/>
          <w:bCs/>
          <w:color w:val="33456B"/>
          <w:sz w:val="25"/>
          <w:szCs w:val="25"/>
        </w:rPr>
        <w:t xml:space="preserve">2.  Periodic Access Reviews</w:t>
      </w:r>
    </w:p>
    <w:p>
      <w:pPr>
        <w:spacing w:after="160" w:line="300"/>
        <w:jc w:val="both"/>
      </w:pPr>
      <w:r>
        <w:rPr>
          <w:rFonts w:ascii="Calibri" w:cs="Calibri" w:eastAsia="Calibri" w:hAnsi="Calibri"/>
          <w:i w:val="false"/>
          <w:iCs w:val="false"/>
          <w:color w:val="2A2A2A"/>
          <w:sz w:val="21"/>
          <w:szCs w:val="21"/>
        </w:rPr>
        <w:t xml:space="preserve">Annex A 5.18 — Access Rights.  Even a role as senior as the Principal should have its access reviewed on a set schedule — for example, at each academic-year transition — to confirm the account's scope still matches its intended use.</w:t>
      </w:r>
    </w:p>
    <w:p>
      <w:pPr>
        <w:pStyle w:val="Heading2"/>
        <w:spacing w:after="140" w:before="260"/>
      </w:pPr>
      <w:r>
        <w:rPr>
          <w:rFonts w:ascii="Calibri" w:cs="Calibri" w:eastAsia="Calibri" w:hAnsi="Calibri"/>
          <w:b/>
          <w:bCs/>
          <w:color w:val="33456B"/>
          <w:sz w:val="25"/>
          <w:szCs w:val="25"/>
        </w:rPr>
        <w:t xml:space="preserve">3.  Multi-Factor Authentication on the Principal Account</w:t>
      </w:r>
    </w:p>
    <w:p>
      <w:pPr>
        <w:spacing w:after="160" w:line="300"/>
        <w:jc w:val="both"/>
      </w:pPr>
      <w:r>
        <w:rPr>
          <w:rFonts w:ascii="Calibri" w:cs="Calibri" w:eastAsia="Calibri" w:hAnsi="Calibri"/>
          <w:i w:val="false"/>
          <w:iCs w:val="false"/>
          <w:color w:val="2A2A2A"/>
          <w:sz w:val="21"/>
          <w:szCs w:val="21"/>
        </w:rPr>
        <w:t xml:space="preserve">Annex A 8.2 — Privileged Access Rights.  Because a single login can touch payroll, student records, and school finance simultaneously, it should carry the strongest authentication available on the platform.</w:t>
      </w:r>
    </w:p>
    <w:p>
      <w:pPr>
        <w:pStyle w:val="Heading2"/>
        <w:spacing w:after="140" w:before="260"/>
      </w:pPr>
      <w:r>
        <w:rPr>
          <w:rFonts w:ascii="Calibri" w:cs="Calibri" w:eastAsia="Calibri" w:hAnsi="Calibri"/>
          <w:b/>
          <w:bCs/>
          <w:color w:val="33456B"/>
          <w:sz w:val="25"/>
          <w:szCs w:val="25"/>
        </w:rPr>
        <w:t xml:space="preserve">4.  A Documented Emergency-Access ("Break-Glass") Procedure</w:t>
      </w:r>
    </w:p>
    <w:p>
      <w:pPr>
        <w:spacing w:after="160" w:line="300"/>
        <w:jc w:val="both"/>
      </w:pPr>
      <w:r>
        <w:rPr>
          <w:rFonts w:ascii="Calibri" w:cs="Calibri" w:eastAsia="Calibri" w:hAnsi="Calibri"/>
          <w:i w:val="false"/>
          <w:iCs w:val="false"/>
          <w:color w:val="2A2A2A"/>
          <w:sz w:val="21"/>
          <w:szCs w:val="21"/>
        </w:rPr>
        <w:t xml:space="preserve">If the Principal's account is ever unavailable in an emergency, a pre-approved, logged, and time-bound fallback process should exist, rather than an ad-hoc workaround.</w:t>
      </w:r>
    </w:p>
    <w:p>
      <w:pPr>
        <w:pStyle w:val="Heading2"/>
        <w:spacing w:after="140" w:before="260"/>
      </w:pPr>
      <w:r>
        <w:rPr>
          <w:rFonts w:ascii="Calibri" w:cs="Calibri" w:eastAsia="Calibri" w:hAnsi="Calibri"/>
          <w:b/>
          <w:bCs/>
          <w:color w:val="33456B"/>
          <w:sz w:val="25"/>
          <w:szCs w:val="25"/>
        </w:rPr>
        <w:t xml:space="preserve">5.  Data-Retention and Consent Rules for Minors' Data</w:t>
      </w:r>
    </w:p>
    <w:p>
      <w:pPr>
        <w:spacing w:after="160" w:line="300"/>
        <w:jc w:val="both"/>
      </w:pPr>
      <w:r>
        <w:rPr>
          <w:rFonts w:ascii="Calibri" w:cs="Calibri" w:eastAsia="Calibri" w:hAnsi="Calibri"/>
          <w:i w:val="false"/>
          <w:iCs w:val="false"/>
          <w:color w:val="2A2A2A"/>
          <w:sz w:val="21"/>
          <w:szCs w:val="21"/>
        </w:rPr>
        <w:t xml:space="preserve">ISO/IEC 27701.  Because most of the records the Principal can see belong to students under 18, formal rules on how long data is kept, and how parental consent is captured, should sit alongside the technical access controls already in place.</w:t>
      </w:r>
    </w:p>
    <w:p>
      <w:r>
        <w:br w:type="page"/>
      </w:r>
    </w:p>
    <w:p>
      <w:pPr>
        <w:pStyle w:val="Heading1"/>
        <w:pBdr>
          <w:bottom w:val="single" w:color="AD7F1E" w:sz="10" w:space="6"/>
        </w:pBdr>
        <w:spacing w:after="200" w:before="320"/>
      </w:pPr>
      <w:r>
        <w:rPr>
          <w:rFonts w:ascii="Calibri" w:cs="Calibri" w:eastAsia="Calibri" w:hAnsi="Calibri"/>
          <w:b/>
          <w:bCs/>
          <w:color w:val="1E2A45"/>
          <w:sz w:val="32"/>
          <w:szCs w:val="32"/>
        </w:rPr>
        <w:t xml:space="preserve">Closing Word — A Standard Worth Upholding</w:t>
      </w:r>
    </w:p>
    <w:p>
      <w:pPr>
        <w:spacing w:after="160" w:line="300"/>
        <w:jc w:val="both"/>
      </w:pPr>
      <w:r>
        <w:rPr>
          <w:rFonts w:ascii="Calibri" w:cs="Calibri" w:eastAsia="Calibri" w:hAnsi="Calibri"/>
          <w:i w:val="false"/>
          <w:iCs w:val="false"/>
          <w:color w:val="2A2A2A"/>
          <w:sz w:val="21"/>
          <w:szCs w:val="21"/>
        </w:rPr>
        <w:t xml:space="preserve">Authority, in a well-run institution, is never just about what a person is allowed to do — it is about how visibly and how fairly that authority is exercised. Vidya Setu was built to give the Principal complete command of the school's operations, and this Charter exists to make sure that command is matched, control for control, with the accountability that international governance standards ask of any organisation entrusted with people's money, their careers, and, most of all, their children's futures.</w:t>
      </w:r>
    </w:p>
    <w:p>
      <w:pPr>
        <w:spacing w:after="160" w:line="300"/>
        <w:jc w:val="both"/>
      </w:pPr>
      <w:r>
        <w:rPr>
          <w:rFonts w:ascii="Calibri" w:cs="Calibri" w:eastAsia="Calibri" w:hAnsi="Calibri"/>
          <w:i/>
          <w:iCs/>
          <w:color w:val="2A2A2A"/>
          <w:sz w:val="21"/>
          <w:szCs w:val="21"/>
        </w:rPr>
        <w:t xml:space="preserve">That is the standard Vidya Setu is built to meet — and the standard its Principal is trusted to uphold.</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4C4" w:sz="4" w:space="4"/>
      </w:pBdr>
      <w:jc w:val="center"/>
    </w:pPr>
    <w:r>
      <w:rPr>
        <w:rFonts w:ascii="Calibri" w:cs="Calibri" w:eastAsia="Calibri" w:hAnsi="Calibri"/>
        <w:color w:val="5B5B5B"/>
        <w:sz w:val="15"/>
        <w:szCs w:val="15"/>
      </w:rPr>
      <w:t xml:space="preserve">Vidya Setu  ·  Institutional Governance Framework   </w:t>
    </w:r>
    <w:r>
      <w:rPr>
        <w:rFonts w:ascii="Calibri" w:cs="Calibri" w:eastAsia="Calibri" w:hAnsi="Calibri"/>
        <w:color w:val="5B5B5B"/>
        <w:sz w:val="15"/>
        <w:szCs w:val="15"/>
      </w:rPr>
      <w:t xml:space="preserve">page </w:t>
    </w:r>
    <w:r>
      <w:rPr>
        <w:rFonts w:ascii="Calibri" w:cs="Calibri" w:eastAsia="Calibri" w:hAnsi="Calibri"/>
        <w:color w:val="5B5B5B"/>
        <w:sz w:val="15"/>
        <w:szCs w:val="15"/>
      </w:rPr>
      <w:fldChar w:fldCharType="begin"/>
      <w:instrText xml:space="preserve">PAGE</w:instrText>
      <w:fldChar w:fldCharType="separate"/>
      <w:fldChar w:fldCharType="end"/>
    </w:r>
    <w:r>
      <w:rPr>
        <w:rFonts w:ascii="Calibri" w:cs="Calibri" w:eastAsia="Calibri" w:hAnsi="Calibri"/>
        <w:color w:val="5B5B5B"/>
        <w:sz w:val="15"/>
        <w:szCs w:val="15"/>
      </w:rPr>
      <w:t xml:space="preserve"> of </w:t>
    </w:r>
    <w:r>
      <w:rPr>
        <w:rFonts w:ascii="Calibri" w:cs="Calibri" w:eastAsia="Calibri" w:hAnsi="Calibri"/>
        <w:color w:val="5B5B5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AD7F1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Vidya Setu — Institutional Governance Framework &amp; The Principal's Charter of Authority</dc:title>
  <dc:creator>Vidya Setu</dc:creator>
  <cp:lastModifiedBy>Un-named</cp:lastModifiedBy>
  <cp:revision>1</cp:revision>
  <dcterms:created xsi:type="dcterms:W3CDTF">2026-07-15T05:17:29.339Z</dcterms:created>
  <dcterms:modified xsi:type="dcterms:W3CDTF">2026-07-15T05:17:29.340Z</dcterms:modified>
</cp:coreProperties>
</file>

<file path=docProps/custom.xml><?xml version="1.0" encoding="utf-8"?>
<Properties xmlns="http://schemas.openxmlformats.org/officeDocument/2006/custom-properties" xmlns:vt="http://schemas.openxmlformats.org/officeDocument/2006/docPropsVTypes"/>
</file>