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Vidya Setu: Next-Generation Smart School Application</w:t>
      </w:r>
    </w:p>
    <w:p>
      <w:pPr>
        <w:pStyle w:val="Heading1"/>
      </w:pPr>
      <w:r>
        <w:t xml:space="preserve">Executive Summary, UI Architecture &amp; Infrastructure Cost Analysis</w:t>
      </w:r>
    </w:p>
    <w:p>
      <w:r>
        <w:rPr>
          <w:i/>
          <w:iCs/>
        </w:rPr>
        <w:t xml:space="preserve">This document outlines the complete UI/UX architecture, features, technology stack, and per-student infrastructure costs for the Next-Generation Smart School ERP platform, built strictly according to NEP 2020, DPDP Act 2023, and ISO 27001 standards.</w:t>
      </w:r>
    </w:p>
    <w:p>
      <w:pPr>
        <w:spacing w:after="200"/>
      </w:pPr>
    </w:p>
    <w:p>
      <w:pPr>
        <w:pStyle w:val="Heading1"/>
      </w:pPr>
      <w:r>
        <w:t xml:space="preserve">1. Complete UI/UX Architecture &amp; Design System</w:t>
      </w:r>
    </w:p>
    <w:p>
      <w:r>
        <w:t xml:space="preserve">The platform's user interface is engineered to transcend traditional, clunky ERP systems. It utilizes a state-of-the-art Design System inspired by modern SaaS applications and Apple's Human Interface Guidelines (HIG), ensuring it feels like a premium consumer app rather than legacy enterprise software.</w:t>
      </w:r>
    </w:p>
    <w:p>
      <w:pPr>
        <w:pStyle w:val="Heading2"/>
      </w:pPr>
      <w:r>
        <w:t xml:space="preserve">A. Color Psychology &amp; Tokens</w:t>
      </w:r>
    </w:p>
    <w:p>
      <w:pPr>
        <w:pStyle w:val="ListParagraph"/>
        <w:numPr>
          <w:ilvl w:val="0"/>
          <w:numId w:val="1"/>
        </w:numPr>
      </w:pPr>
      <w:r>
        <w:t xml:space="preserve">• Primary Palettes: We use 'French Porcelain' (#f5f4f7) for backgrounds and 'Hudson' (#ebdbd3) for soft accents, providing a calming, premium canvas.</w:t>
      </w:r>
    </w:p>
    <w:p>
      <w:pPr>
        <w:pStyle w:val="ListParagraph"/>
        <w:numPr>
          <w:ilvl w:val="0"/>
          <w:numId w:val="1"/>
        </w:numPr>
      </w:pPr>
      <w:r>
        <w:t xml:space="preserve">• Typography &amp; Contrast: High-contrast 'Ink' colors (near black) for primary text to ensure absolute readability and accessibility.</w:t>
      </w:r>
    </w:p>
    <w:p>
      <w:pPr>
        <w:pStyle w:val="ListParagraph"/>
        <w:numPr>
          <w:ilvl w:val="0"/>
          <w:numId w:val="1"/>
        </w:numPr>
      </w:pPr>
      <w:r>
        <w:t xml:space="preserve">• Strategic Accents: 'Interactive Blue' for primary actions and 'Structural Red' for critical alerts or crisis notifications.</w:t>
      </w:r>
    </w:p>
    <w:p>
      <w:pPr>
        <w:pStyle w:val="Heading2"/>
      </w:pPr>
      <w:r>
        <w:t xml:space="preserve">B. Layout &amp; Navigation Paradigms</w:t>
      </w:r>
    </w:p>
    <w:p>
      <w:pPr>
        <w:pStyle w:val="ListParagraph"/>
        <w:numPr>
          <w:ilvl w:val="0"/>
          <w:numId w:val="1"/>
        </w:numPr>
      </w:pPr>
      <w:r>
        <w:t xml:space="preserve">• The Command Desk Canvas: Desktop users experience a sprawling, clean canvas layout.</w:t>
      </w:r>
    </w:p>
    <w:p>
      <w:pPr>
        <w:pStyle w:val="ListParagraph"/>
        <w:numPr>
          <w:ilvl w:val="0"/>
          <w:numId w:val="1"/>
        </w:numPr>
      </w:pPr>
      <w:r>
        <w:t xml:space="preserve">• Floating Pill Navigation (Desktop): A modern, vertically-oriented floating dock on the left side, utilizing Framer Motion micro-animations (spring physics) that follow the user's active selection.</w:t>
      </w:r>
    </w:p>
    <w:p>
      <w:pPr>
        <w:pStyle w:val="ListParagraph"/>
        <w:numPr>
          <w:ilvl w:val="0"/>
          <w:numId w:val="1"/>
        </w:numPr>
      </w:pPr>
      <w:r>
        <w:t xml:space="preserve">• Native Bottom Bar (Mobile): On mobile devices, the UI switches to a native-app style bottom navigation bar with haptic-like visual feedback, completely avoiding hamburger menus for primary routing.</w:t>
      </w:r>
    </w:p>
    <w:p>
      <w:pPr>
        <w:pStyle w:val="Heading2"/>
      </w:pPr>
      <w:r>
        <w:t xml:space="preserve">C. The Premium Icon-Grid Dashboard</w:t>
      </w:r>
    </w:p>
    <w:p>
      <w:pPr>
        <w:pStyle w:val="ListParagraph"/>
        <w:numPr>
          <w:ilvl w:val="0"/>
          <w:numId w:val="1"/>
        </w:numPr>
      </w:pPr>
      <w:r>
        <w:t xml:space="preserve">• Replacing boring data tables, the home screen features a stunning, responsive Icon-Grid.</w:t>
      </w:r>
    </w:p>
    <w:p>
      <w:pPr>
        <w:pStyle w:val="ListParagraph"/>
        <w:numPr>
          <w:ilvl w:val="0"/>
          <w:numId w:val="1"/>
        </w:numPr>
      </w:pPr>
      <w:r>
        <w:t xml:space="preserve">• Each module (Attendance, Salary, Wellness) is represented by a large, bespoke Lucide icon housed inside a soft, pastel-gradient circle.</w:t>
      </w:r>
    </w:p>
    <w:p>
      <w:pPr>
        <w:pStyle w:val="ListParagraph"/>
        <w:numPr>
          <w:ilvl w:val="0"/>
          <w:numId w:val="1"/>
        </w:numPr>
      </w:pPr>
      <w:r>
        <w:t xml:space="preserve">• Interaction Design: Hovering or tapping a module scales the icon gracefully and casts a dynamic drop-shadow, drawing the user in.</w:t>
      </w:r>
    </w:p>
    <w:p>
      <w:pPr>
        <w:pStyle w:val="Heading2"/>
      </w:pPr>
      <w:r>
        <w:t xml:space="preserve">D. Specialized Module Interfaces</w:t>
      </w:r>
    </w:p>
    <w:p>
      <w:pPr>
        <w:pStyle w:val="ListParagraph"/>
        <w:numPr>
          <w:ilvl w:val="0"/>
          <w:numId w:val="1"/>
        </w:numPr>
      </w:pPr>
      <w:r>
        <w:t xml:space="preserve">• Mental Wellness Safe Space: The clinical interface avoids harsh lines. It uses organic, rounded borders (32px border-radius) and soothing gradients to emotionally contain the student while they take psychological assessments (PHQ-A).</w:t>
      </w:r>
    </w:p>
    <w:p>
      <w:pPr>
        <w:pStyle w:val="ListParagraph"/>
        <w:numPr>
          <w:ilvl w:val="0"/>
          <w:numId w:val="1"/>
        </w:numPr>
      </w:pPr>
      <w:r>
        <w:t xml:space="preserve">• Clinical Command Center: For counselors, the UI utilizes color-coded priority cards (Green/Orange/Red) to instantly highlight students in distress.</w:t>
      </w:r>
    </w:p>
    <w:p>
      <w:pPr>
        <w:pStyle w:val="ListParagraph"/>
        <w:numPr>
          <w:ilvl w:val="0"/>
          <w:numId w:val="1"/>
        </w:numPr>
      </w:pPr>
      <w:r>
        <w:t xml:space="preserve">• Drafting-Style Approvals: Leave applications and document approvals are presented as 'physical sheets of paper' layered on the canvas, allowing principals to quickly scan and approve them.</w:t>
      </w:r>
    </w:p>
    <w:p>
      <w:pPr>
        <w:spacing w:after="300"/>
      </w:pPr>
    </w:p>
    <w:p>
      <w:pPr>
        <w:pStyle w:val="Heading1"/>
      </w:pPr>
      <w:r>
        <w:t xml:space="preserve">2. Core Features &amp; Capabilities</w:t>
      </w:r>
    </w:p>
    <w:p>
      <w:pPr>
        <w:pStyle w:val="ListParagraph"/>
        <w:numPr>
          <w:ilvl w:val="0"/>
          <w:numId w:val="1"/>
        </w:numPr>
      </w:pPr>
      <w:r>
        <w:t xml:space="preserve">• Role-Based Access Control (RBAC): Dynamic UI that filters features (e.g., hiding 'Salary Slips' from students).</w:t>
      </w:r>
    </w:p>
    <w:p>
      <w:pPr>
        <w:pStyle w:val="ListParagraph"/>
        <w:numPr>
          <w:ilvl w:val="0"/>
          <w:numId w:val="1"/>
        </w:numPr>
      </w:pPr>
      <w:r>
        <w:t xml:space="preserve">• Student &amp; Staff Directory: Centralized information management.</w:t>
      </w:r>
    </w:p>
    <w:p>
      <w:pPr>
        <w:pStyle w:val="ListParagraph"/>
        <w:numPr>
          <w:ilvl w:val="0"/>
          <w:numId w:val="1"/>
        </w:numPr>
      </w:pPr>
      <w:r>
        <w:t xml:space="preserve">• Academic Operations: Attendance tracking, Exam Marks, Study Material distribution.</w:t>
      </w:r>
    </w:p>
    <w:p>
      <w:pPr>
        <w:pStyle w:val="ListParagraph"/>
        <w:numPr>
          <w:ilvl w:val="0"/>
          <w:numId w:val="1"/>
        </w:numPr>
      </w:pPr>
      <w:r>
        <w:t xml:space="preserve">• HR &amp; Payroll: Digital Salary Slips and Staff Attendance.</w:t>
      </w:r>
    </w:p>
    <w:p>
      <w:pPr>
        <w:pStyle w:val="ListParagraph"/>
        <w:numPr>
          <w:ilvl w:val="0"/>
          <w:numId w:val="1"/>
        </w:numPr>
      </w:pPr>
      <w:r>
        <w:t xml:space="preserve">• AI Timetable Generator: Automated conflict-free scheduling engine.</w:t>
      </w:r>
    </w:p>
    <w:p>
      <w:pPr>
        <w:spacing w:after="200"/>
      </w:pPr>
    </w:p>
    <w:p>
      <w:pPr>
        <w:pStyle w:val="Heading2"/>
      </w:pPr>
      <w:r>
        <w:t xml:space="preserve">2. Advanced Security &amp; Compliance Features</w:t>
      </w:r>
    </w:p>
    <w:p>
      <w:pPr>
        <w:pStyle w:val="ListParagraph"/>
        <w:numPr>
          <w:ilvl w:val="0"/>
          <w:numId w:val="1"/>
        </w:numPr>
      </w:pPr>
      <w:r>
        <w:t xml:space="preserve">• ISO 27001 Compliant Audit Trails: Middleware logs the IP address, action, and user ID of sensitive data interactions.</w:t>
      </w:r>
    </w:p>
    <w:p>
      <w:pPr>
        <w:pStyle w:val="ListParagraph"/>
        <w:numPr>
          <w:ilvl w:val="0"/>
          <w:numId w:val="1"/>
        </w:numPr>
      </w:pPr>
      <w:r>
        <w:t xml:space="preserve">• Network Hardening: HTTP Strict Transport Security (HSTS), Content Security Policy (CSP), and aggressive Rate Limiting to prevent DoS attacks.</w:t>
      </w:r>
    </w:p>
    <w:p>
      <w:pPr>
        <w:spacing w:after="400"/>
      </w:pPr>
    </w:p>
    <w:p>
      <w:pPr>
        <w:pStyle w:val="Heading1"/>
      </w:pPr>
      <w:r>
        <w:t xml:space="preserve">4. Infrastructure &amp; Assumed Cost Analysis</w:t>
      </w:r>
    </w:p>
    <w:p>
      <w:r>
        <w:t xml:space="preserve">Built on Next.js, Node.js (AWS EC2), PostgreSQL (AWS RDS), and Firebase.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Service</w:t>
            </w:r>
          </w:p>
        </w:tc>
        <w:tc>
          <w:p>
            <w:r>
              <w:t xml:space="preserve">Estimated Monthly Cost (USD)</w:t>
            </w:r>
          </w:p>
        </w:tc>
      </w:tr>
      <w:tr>
        <w:tc>
          <w:p>
            <w:r>
              <w:t xml:space="preserve">AWS Compute &amp; RDS Database</w:t>
            </w:r>
          </w:p>
        </w:tc>
        <w:tc>
          <w:p>
            <w:r>
              <w:t xml:space="preserve">$70 - $105</w:t>
            </w:r>
          </w:p>
        </w:tc>
      </w:tr>
      <w:tr>
        <w:tc>
          <w:p>
            <w:r>
              <w:t xml:space="preserve">Miscellaneous (Domain, DNS, Email Auth)</w:t>
            </w:r>
          </w:p>
        </w:tc>
        <w:tc>
          <w:p>
            <w:r>
              <w:t xml:space="preserve">Route53, SendGrid, etc.</w:t>
            </w:r>
          </w:p>
        </w:tc>
        <w:tc>
          <w:p>
            <w:r>
              <w:t xml:space="preserve">$10</w:t>
            </w:r>
          </w:p>
        </w:tc>
      </w:tr>
    </w:tbl>
    <w:p>
      <w:pPr>
        <w:spacing w:after="200"/>
      </w:pPr>
    </w:p>
    <w:p>
      <w:r>
        <w:t xml:space="preserve">Total Estimated Infrastructure Cost: ~$102 to $150 per month / per school.</w:t>
      </w:r>
    </w:p>
    <w:p>
      <w:pPr>
        <w:spacing w:after="200"/>
      </w:pPr>
    </w:p>
    <w:p>
      <w:pPr>
        <w:pStyle w:val="Heading2"/>
      </w:pPr>
      <w:r>
        <w:t xml:space="preserve">Per-Student Cost Analysis (Assuming 1,000 students):</w:t>
      </w:r>
    </w:p>
    <w:p>
      <w:pPr>
        <w:pStyle w:val="ListParagraph"/>
        <w:numPr>
          <w:ilvl w:val="0"/>
          <w:numId w:val="1"/>
        </w:numPr>
      </w:pPr>
      <w:r>
        <w:t xml:space="preserve">• Monthly Cloud Cost per Student: $0.125 USD (approx. ₹10.4 INR).</w:t>
      </w:r>
    </w:p>
    <w:p>
      <w:pPr>
        <w:pStyle w:val="ListParagraph"/>
        <w:numPr>
          <w:ilvl w:val="0"/>
          <w:numId w:val="1"/>
        </w:numPr>
      </w:pPr>
      <w:r>
        <w:t xml:space="preserve">• Annual Cloud Cost per Student: $1.50 USD (approx. ₹125 INR).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Next-Generation School ERP Features, UI Design, and Cost Analysis</dc:title>
  <dc:creator>Antigravity AI</dc:creator>
  <dc:description>Comprehensive feature list, detailed UI architecture, and infrastructure cost analysis per student.</dc:description>
  <cp:lastModifiedBy>Un-named</cp:lastModifiedBy>
  <cp:revision>1</cp:revision>
  <dcterms:created xsi:type="dcterms:W3CDTF">2026-07-14T09:15:50.044Z</dcterms:created>
  <dcterms:modified xsi:type="dcterms:W3CDTF">2026-07-14T09:15:50.047Z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