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CLIENT BUSINESS &amp; SOFTWARE DEVELOPMENT PROPOSAL</w:t>
      </w:r>
    </w:p>
    <w:p>
      <w:pPr>
        <w:pStyle w:val="Title"/>
      </w:pPr>
      <w:r>
        <w:t>ILLiasu Local Mall</w:t>
      </w:r>
    </w:p>
    <w:p>
      <w:pPr>
        <w:pStyle w:val="Subtitle"/>
      </w:pPr>
      <w:r>
        <w:t>E-commerce Website, Digital Ordering &amp; Shop Management Platform</w:t>
      </w:r>
    </w:p>
    <w:p>
      <w:r>
        <w:t>Prepared for: ILLiasu Local Mall  |  Ayigya Market, Ghana</w:t>
      </w:r>
    </w:p>
    <w:p>
      <w:r>
        <w:t>Prepared by: Emmanuel Ofori  |  Software Developer</w:t>
      </w:r>
    </w:p>
    <w:p>
      <w:r>
        <w:t>Proposal date: 09 October 2026  |  Commercial validity: 30 calendar days</w:t>
      </w:r>
    </w:p>
    <w:p>
      <w:r>
        <w:t>Project investment: GH₵9,000 (development fee only)</w:t>
      </w:r>
    </w:p>
    <w:p>
      <w:r>
        <w:t>DOCUMENT STATUS: Proposal for review and acceptance; not a statement of guaranteed business performance.</w:t>
      </w:r>
    </w:p>
    <w:p>
      <w:pPr>
        <w:pStyle w:val="Heading1"/>
      </w:pPr>
      <w:r>
        <w:t>Executive decision summary</w:t>
      </w:r>
    </w:p>
    <w:p>
      <w:r>
        <w:t>This proposal sets out a fixed-scope first release of an e-commerce platform for ILLiasu Local Mall. Customers will browse groceries and provisions, select quantity variants, order for delivery or pickup, pay using Mobile Money through a supported gateway, or proceed to WhatsApp for assistance. Shop staff will manage products, prices, orders, discounts and basic sales reports through a secure administrative interface.</w:t>
      </w:r>
    </w:p>
    <w:p>
      <w:r>
        <w:t>The proposed platform is a custom ASP.NET Core MVC application supported by SQL Server. Implementation is estimated at 8–10 weeks after the advance payment and receipt of the required shop assets, subject to timely client reviews and gateway verification.</w:t>
      </w:r>
    </w:p>
    <w:tbl>
      <w:tblPr>
        <w:tblStyle w:val="LightShading-Accent1"/>
        <w:tblW w:type="auto" w:w="0"/>
        <w:jc w:val="center"/>
        <w:tblLook w:firstColumn="1" w:firstRow="1" w:lastColumn="0" w:lastRow="0" w:noHBand="0" w:noVBand="1" w:val="04A0"/>
      </w:tblPr>
      <w:tblGrid>
        <w:gridCol w:w="4882"/>
        <w:gridCol w:w="4882"/>
      </w:tblGrid>
      <w:tr>
        <w:tc>
          <w:tcPr>
            <w:tcW w:type="dxa" w:w="4882"/>
            <w:vAlign w:val="center"/>
          </w:tcPr>
          <w:p>
            <w:r>
              <w:rPr>
                <w:b/>
                <w:color w:val="0C4850"/>
              </w:rPr>
              <w:t>Commercial headline</w:t>
            </w:r>
          </w:p>
        </w:tc>
        <w:tc>
          <w:tcPr>
            <w:tcW w:type="dxa" w:w="4882"/>
            <w:vAlign w:val="center"/>
          </w:tcPr>
          <w:p>
            <w:r>
              <w:rPr>
                <w:b/>
                <w:color w:val="0C4850"/>
              </w:rPr>
              <w:t>Proposal</w:t>
            </w:r>
          </w:p>
        </w:tc>
      </w:tr>
      <w:tr>
        <w:tc>
          <w:tcPr>
            <w:tcW w:type="dxa" w:w="4882"/>
            <w:vAlign w:val="center"/>
          </w:tcPr>
          <w:p>
            <w:r>
              <w:t>Fixed software development fee</w:t>
            </w:r>
          </w:p>
        </w:tc>
        <w:tc>
          <w:tcPr>
            <w:tcW w:type="dxa" w:w="4882"/>
            <w:vAlign w:val="center"/>
          </w:tcPr>
          <w:p>
            <w:r>
              <w:t>GH₵9,000</w:t>
            </w:r>
          </w:p>
        </w:tc>
      </w:tr>
      <w:tr>
        <w:tc>
          <w:tcPr>
            <w:tcW w:type="dxa" w:w="4882"/>
            <w:vAlign w:val="center"/>
          </w:tcPr>
          <w:p>
            <w:r>
              <w:t>Suggested payment terms</w:t>
            </w:r>
          </w:p>
        </w:tc>
        <w:tc>
          <w:tcPr>
            <w:tcW w:type="dxa" w:w="4882"/>
            <w:vAlign w:val="center"/>
          </w:tcPr>
          <w:p>
            <w:r>
              <w:t>40% / 30% / 30%</w:t>
            </w:r>
          </w:p>
        </w:tc>
      </w:tr>
      <w:tr>
        <w:tc>
          <w:tcPr>
            <w:tcW w:type="dxa" w:w="4882"/>
            <w:vAlign w:val="center"/>
          </w:tcPr>
          <w:p>
            <w:r>
              <w:t>Third-party services</w:t>
            </w:r>
          </w:p>
        </w:tc>
        <w:tc>
          <w:tcPr>
            <w:tcW w:type="dxa" w:w="4882"/>
            <w:vAlign w:val="center"/>
          </w:tcPr>
          <w:p>
            <w:r>
              <w:t>Domain, hosting, payment charges and optional messaging billed separately</w:t>
            </w:r>
          </w:p>
        </w:tc>
      </w:tr>
      <w:tr>
        <w:tc>
          <w:tcPr>
            <w:tcW w:type="dxa" w:w="4882"/>
            <w:vAlign w:val="center"/>
          </w:tcPr>
          <w:p>
            <w:r>
              <w:t>Ownership</w:t>
            </w:r>
          </w:p>
        </w:tc>
        <w:tc>
          <w:tcPr>
            <w:tcW w:type="dxa" w:w="4882"/>
            <w:vAlign w:val="center"/>
          </w:tcPr>
          <w:p>
            <w:r>
              <w:t>Client owns domain, hosting account and approved project deliverables after final payment</w:t>
            </w:r>
          </w:p>
        </w:tc>
      </w:tr>
      <w:tr>
        <w:tc>
          <w:tcPr>
            <w:tcW w:type="dxa" w:w="4882"/>
            <w:vAlign w:val="center"/>
          </w:tcPr>
          <w:p>
            <w:r>
              <w:t>Post-launch warranty</w:t>
            </w:r>
          </w:p>
        </w:tc>
        <w:tc>
          <w:tcPr>
            <w:tcW w:type="dxa" w:w="4882"/>
            <w:vAlign w:val="center"/>
          </w:tcPr>
          <w:p>
            <w:r>
              <w:t>30 days for reproducible defects in agreed scope</w:t>
            </w:r>
          </w:p>
        </w:tc>
      </w:tr>
    </w:tbl>
    <w:p/>
    <w:p>
      <w:pPr>
        <w:pStyle w:val="Heading1"/>
      </w:pPr>
      <w:r>
        <w:t>What success looks like</w:t>
      </w:r>
    </w:p>
    <w:p>
      <w:pPr>
        <w:pStyle w:val="ListBullet"/>
      </w:pPr>
      <w:r>
        <w:t>A mobile-first shopping experience that lets customers order without visiting the physical shop.</w:t>
      </w:r>
    </w:p>
    <w:p>
      <w:pPr>
        <w:pStyle w:val="ListBullet"/>
      </w:pPr>
      <w:r>
        <w:t>A manageable digital catalogue with product variations such as single units, packs, cartons or weights.</w:t>
      </w:r>
    </w:p>
    <w:p>
      <w:pPr>
        <w:pStyle w:val="ListBullet"/>
      </w:pPr>
      <w:r>
        <w:t>One place for staff to view, update and process online orders, with clear delivery or pickup information.</w:t>
      </w:r>
    </w:p>
    <w:p>
      <w:pPr>
        <w:pStyle w:val="ListBullet"/>
      </w:pPr>
      <w:r>
        <w:t>Reliable records for online orders and payments, and transparent handover to shop management.</w:t>
      </w:r>
    </w:p>
    <w:p>
      <w:pPr>
        <w:pStyle w:val="Heading1"/>
      </w:pPr>
      <w:r>
        <w:t>1. Business context and documented requirements</w:t>
      </w:r>
    </w:p>
    <w:p>
      <w:r>
        <w:t>Source: Shop Website Requirements Form (submitted 07 October 2026). The form is the primary source for confirmed preferences; unspecified decisions below are identified as assumptions or client approvals.</w:t>
      </w:r>
    </w:p>
    <w:tbl>
      <w:tblPr>
        <w:tblStyle w:val="LightShading-Accent1"/>
        <w:tblW w:type="auto" w:w="0"/>
        <w:jc w:val="center"/>
        <w:tblLook w:firstColumn="1" w:firstRow="1" w:lastColumn="0" w:lastRow="0" w:noHBand="0" w:noVBand="1" w:val="04A0"/>
      </w:tblPr>
      <w:tblGrid>
        <w:gridCol w:w="4882"/>
        <w:gridCol w:w="4882"/>
      </w:tblGrid>
      <w:tr>
        <w:tc>
          <w:tcPr>
            <w:tcW w:type="dxa" w:w="4882"/>
            <w:vAlign w:val="center"/>
          </w:tcPr>
          <w:p>
            <w:r>
              <w:rPr>
                <w:b/>
                <w:color w:val="0C4850"/>
              </w:rPr>
              <w:t>Topic</w:t>
            </w:r>
          </w:p>
        </w:tc>
        <w:tc>
          <w:tcPr>
            <w:tcW w:type="dxa" w:w="4882"/>
            <w:vAlign w:val="center"/>
          </w:tcPr>
          <w:p>
            <w:r>
              <w:rPr>
                <w:b/>
                <w:color w:val="0C4850"/>
              </w:rPr>
              <w:t>Client response / implication</w:t>
            </w:r>
          </w:p>
        </w:tc>
      </w:tr>
      <w:tr>
        <w:tc>
          <w:tcPr>
            <w:tcW w:type="dxa" w:w="4882"/>
            <w:vAlign w:val="center"/>
          </w:tcPr>
          <w:p>
            <w:r>
              <w:t>Shop and location</w:t>
            </w:r>
          </w:p>
        </w:tc>
        <w:tc>
          <w:tcPr>
            <w:tcW w:type="dxa" w:w="4882"/>
            <w:vAlign w:val="center"/>
          </w:tcPr>
          <w:p>
            <w:r>
              <w:t>ILLiasu local mall; physical shop at Ayigya Market</w:t>
            </w:r>
          </w:p>
        </w:tc>
      </w:tr>
      <w:tr>
        <w:tc>
          <w:tcPr>
            <w:tcW w:type="dxa" w:w="4882"/>
            <w:vAlign w:val="center"/>
          </w:tcPr>
          <w:p>
            <w:r>
              <w:t>Merchandise</w:t>
            </w:r>
          </w:p>
        </w:tc>
        <w:tc>
          <w:tcPr>
            <w:tcW w:type="dxa" w:w="4882"/>
            <w:vAlign w:val="center"/>
          </w:tcPr>
          <w:p>
            <w:r>
              <w:t>Rice, oils, beans, gari, eggs, milk, sugar, noodles, canned goods, sobolo, yoghurt and other provisions</w:t>
            </w:r>
          </w:p>
        </w:tc>
      </w:tr>
      <w:tr>
        <w:tc>
          <w:tcPr>
            <w:tcW w:type="dxa" w:w="4882"/>
            <w:vAlign w:val="center"/>
          </w:tcPr>
          <w:p>
            <w:r>
              <w:t>Branding</w:t>
            </w:r>
          </w:p>
        </w:tc>
        <w:tc>
          <w:tcPr>
            <w:tcW w:type="dxa" w:w="4882"/>
            <w:vAlign w:val="center"/>
          </w:tcPr>
          <w:p>
            <w:r>
              <w:t>Existing logo; clean/simple design; final colours to be approved</w:t>
            </w:r>
          </w:p>
        </w:tc>
      </w:tr>
      <w:tr>
        <w:tc>
          <w:tcPr>
            <w:tcW w:type="dxa" w:w="4882"/>
            <w:vAlign w:val="center"/>
          </w:tcPr>
          <w:p>
            <w:r>
              <w:t>Catalogue scale</w:t>
            </w:r>
          </w:p>
        </w:tc>
        <w:tc>
          <w:tcPr>
            <w:tcW w:type="dxa" w:w="4882"/>
            <w:vAlign w:val="center"/>
          </w:tcPr>
          <w:p>
            <w:r>
              <w:t>Opening product count not yet confirmed</w:t>
            </w:r>
          </w:p>
        </w:tc>
      </w:tr>
      <w:tr>
        <w:tc>
          <w:tcPr>
            <w:tcW w:type="dxa" w:w="4882"/>
            <w:vAlign w:val="center"/>
          </w:tcPr>
          <w:p>
            <w:r>
              <w:t>Variants</w:t>
            </w:r>
          </w:p>
        </w:tc>
        <w:tc>
          <w:tcPr>
            <w:tcW w:type="dxa" w:w="4882"/>
            <w:vAlign w:val="center"/>
          </w:tcPr>
          <w:p>
            <w:r>
              <w:t>Single, pack, carton and varying weights required</w:t>
            </w:r>
          </w:p>
        </w:tc>
      </w:tr>
      <w:tr>
        <w:tc>
          <w:tcPr>
            <w:tcW w:type="dxa" w:w="4882"/>
            <w:vAlign w:val="center"/>
          </w:tcPr>
          <w:p>
            <w:r>
              <w:t>Ordering</w:t>
            </w:r>
          </w:p>
        </w:tc>
        <w:tc>
          <w:tcPr>
            <w:tcW w:type="dxa" w:w="4882"/>
            <w:vAlign w:val="center"/>
          </w:tcPr>
          <w:p>
            <w:r>
              <w:t>Orders via website and WhatsApp</w:t>
            </w:r>
          </w:p>
        </w:tc>
      </w:tr>
      <w:tr>
        <w:tc>
          <w:tcPr>
            <w:tcW w:type="dxa" w:w="4882"/>
            <w:vAlign w:val="center"/>
          </w:tcPr>
          <w:p>
            <w:r>
              <w:t>Customer access</w:t>
            </w:r>
          </w:p>
        </w:tc>
        <w:tc>
          <w:tcPr>
            <w:tcW w:type="dxa" w:w="4882"/>
            <w:vAlign w:val="center"/>
          </w:tcPr>
          <w:p>
            <w:r>
              <w:t>Guest checkout and optional accounts</w:t>
            </w:r>
          </w:p>
        </w:tc>
      </w:tr>
      <w:tr>
        <w:tc>
          <w:tcPr>
            <w:tcW w:type="dxa" w:w="4882"/>
            <w:vAlign w:val="center"/>
          </w:tcPr>
          <w:p>
            <w:r>
              <w:t>Fulfilment</w:t>
            </w:r>
          </w:p>
        </w:tc>
        <w:tc>
          <w:tcPr>
            <w:tcW w:type="dxa" w:w="4882"/>
            <w:vAlign w:val="center"/>
          </w:tcPr>
          <w:p>
            <w:r>
              <w:t>Delivery and shop pickup; delivery fee depends on location</w:t>
            </w:r>
          </w:p>
        </w:tc>
      </w:tr>
      <w:tr>
        <w:tc>
          <w:tcPr>
            <w:tcW w:type="dxa" w:w="4882"/>
            <w:vAlign w:val="center"/>
          </w:tcPr>
          <w:p>
            <w:r>
              <w:t>Payments</w:t>
            </w:r>
          </w:p>
        </w:tc>
        <w:tc>
          <w:tcPr>
            <w:tcW w:type="dxa" w:w="4882"/>
            <w:vAlign w:val="center"/>
          </w:tcPr>
          <w:p>
            <w:r>
              <w:t>Mobile Money</w:t>
            </w:r>
          </w:p>
        </w:tc>
      </w:tr>
      <w:tr>
        <w:tc>
          <w:tcPr>
            <w:tcW w:type="dxa" w:w="4882"/>
            <w:vAlign w:val="center"/>
          </w:tcPr>
          <w:p>
            <w:r>
              <w:t>Merchant alerts</w:t>
            </w:r>
          </w:p>
        </w:tc>
        <w:tc>
          <w:tcPr>
            <w:tcW w:type="dxa" w:w="4882"/>
            <w:vAlign w:val="center"/>
          </w:tcPr>
          <w:p>
            <w:r>
              <w:t>WhatsApp and email requested</w:t>
            </w:r>
          </w:p>
        </w:tc>
      </w:tr>
      <w:tr>
        <w:tc>
          <w:tcPr>
            <w:tcW w:type="dxa" w:w="4882"/>
            <w:vAlign w:val="center"/>
          </w:tcPr>
          <w:p>
            <w:r>
              <w:t>Operations</w:t>
            </w:r>
          </w:p>
        </w:tc>
        <w:tc>
          <w:tcPr>
            <w:tcW w:type="dxa" w:w="4882"/>
            <w:vAlign w:val="center"/>
          </w:tcPr>
          <w:p>
            <w:r>
              <w:t>Client wants to update prices; product editing permission not yet confirmed</w:t>
            </w:r>
          </w:p>
        </w:tc>
      </w:tr>
      <w:tr>
        <w:tc>
          <w:tcPr>
            <w:tcW w:type="dxa" w:w="4882"/>
            <w:vAlign w:val="center"/>
          </w:tcPr>
          <w:p>
            <w:r>
              <w:t>Stock</w:t>
            </w:r>
          </w:p>
        </w:tc>
        <w:tc>
          <w:tcPr>
            <w:tcW w:type="dxa" w:w="4882"/>
            <w:vAlign w:val="center"/>
          </w:tcPr>
          <w:p>
            <w:r>
              <w:t>No stock quantity tracking selected, but out-of-stock display and low-stock alerts requested</w:t>
            </w:r>
          </w:p>
        </w:tc>
      </w:tr>
      <w:tr>
        <w:tc>
          <w:tcPr>
            <w:tcW w:type="dxa" w:w="4882"/>
            <w:vAlign w:val="center"/>
          </w:tcPr>
          <w:p>
            <w:r>
              <w:t>Additional features</w:t>
            </w:r>
          </w:p>
        </w:tc>
        <w:tc>
          <w:tcPr>
            <w:tcW w:type="dxa" w:w="4882"/>
            <w:vAlign w:val="center"/>
          </w:tcPr>
          <w:p>
            <w:r>
              <w:t>Search, discounts, reviews, social links, contact form, order tracking, sales reports</w:t>
            </w:r>
          </w:p>
        </w:tc>
      </w:tr>
    </w:tbl>
    <w:p/>
    <w:p>
      <w:pPr>
        <w:pStyle w:val="Heading1"/>
      </w:pPr>
      <w:r>
        <w:t>2. Scope decisions requiring client sign-off</w:t>
      </w:r>
    </w:p>
    <w:p>
      <w:r>
        <w:t>The following contradictions and unknowns materially affect cost and delivery. They must be resolved during discovery, not assumed to be included without limits.</w:t>
      </w:r>
    </w:p>
    <w:tbl>
      <w:tblPr>
        <w:tblStyle w:val="LightShading-Accent1"/>
        <w:tblW w:type="auto" w:w="0"/>
        <w:jc w:val="center"/>
        <w:tblLook w:firstColumn="1" w:firstRow="1" w:lastColumn="0" w:lastRow="0" w:noHBand="0" w:noVBand="1" w:val="04A0"/>
      </w:tblPr>
      <w:tblGrid>
        <w:gridCol w:w="4882"/>
        <w:gridCol w:w="4882"/>
      </w:tblGrid>
      <w:tr>
        <w:tc>
          <w:tcPr>
            <w:tcW w:type="dxa" w:w="4882"/>
            <w:vAlign w:val="center"/>
          </w:tcPr>
          <w:p>
            <w:r>
              <w:rPr>
                <w:b/>
                <w:color w:val="0C4850"/>
              </w:rPr>
              <w:t>Item</w:t>
            </w:r>
          </w:p>
        </w:tc>
        <w:tc>
          <w:tcPr>
            <w:tcW w:type="dxa" w:w="4882"/>
            <w:vAlign w:val="center"/>
          </w:tcPr>
          <w:p>
            <w:r>
              <w:rPr>
                <w:b/>
                <w:color w:val="0C4850"/>
              </w:rPr>
              <w:t>Proposed Phase 1 decision</w:t>
            </w:r>
          </w:p>
        </w:tc>
      </w:tr>
      <w:tr>
        <w:tc>
          <w:tcPr>
            <w:tcW w:type="dxa" w:w="4882"/>
            <w:vAlign w:val="center"/>
          </w:tcPr>
          <w:p>
            <w:r>
              <w:t>Stock and low-stock alerts</w:t>
            </w:r>
          </w:p>
        </w:tc>
        <w:tc>
          <w:tcPr>
            <w:tcW w:type="dxa" w:w="4882"/>
            <w:vAlign w:val="center"/>
          </w:tcPr>
          <w:p>
            <w:r>
              <w:t>Basic manual in-stock/out-of-stock flag INCLUDED; automated low-stock alerts EXCLUDED until inventory quantity tracking is authorised and separately quoted.</w:t>
            </w:r>
          </w:p>
        </w:tc>
      </w:tr>
      <w:tr>
        <w:tc>
          <w:tcPr>
            <w:tcW w:type="dxa" w:w="4882"/>
            <w:vAlign w:val="center"/>
          </w:tcPr>
          <w:p>
            <w:r>
              <w:t>WhatsApp notifications</w:t>
            </w:r>
          </w:p>
        </w:tc>
        <w:tc>
          <w:tcPr>
            <w:tcW w:type="dxa" w:w="4882"/>
            <w:vAlign w:val="center"/>
          </w:tcPr>
          <w:p>
            <w:r>
              <w:t>One-click customer-to-merchant WhatsApp conversation INCLUDED. Automated system-to-WhatsApp alerts require WhatsApp Business API/provider approval, templates and usage fees; OPTIONAL.</w:t>
            </w:r>
          </w:p>
        </w:tc>
      </w:tr>
      <w:tr>
        <w:tc>
          <w:tcPr>
            <w:tcW w:type="dxa" w:w="4882"/>
            <w:vAlign w:val="center"/>
          </w:tcPr>
          <w:p>
            <w:r>
              <w:t>Delivery fees</w:t>
            </w:r>
          </w:p>
        </w:tc>
        <w:tc>
          <w:tcPr>
            <w:tcW w:type="dxa" w:w="4882"/>
            <w:vAlign w:val="center"/>
          </w:tcPr>
          <w:p>
            <w:r>
              <w:t>Admin-configured location/zone fee table INCLUDED; live distance calculations, maps and rider dispatch EXCLUDED.</w:t>
            </w:r>
          </w:p>
        </w:tc>
      </w:tr>
      <w:tr>
        <w:tc>
          <w:tcPr>
            <w:tcW w:type="dxa" w:w="4882"/>
            <w:vAlign w:val="center"/>
          </w:tcPr>
          <w:p>
            <w:r>
              <w:t>Product count</w:t>
            </w:r>
          </w:p>
        </w:tc>
        <w:tc>
          <w:tcPr>
            <w:tcW w:type="dxa" w:w="4882"/>
            <w:vAlign w:val="center"/>
          </w:tcPr>
          <w:p>
            <w:r>
              <w:t>Initial import allowance: up to 100 complete products supplied in a structured template; further onboarding quoted.</w:t>
            </w:r>
          </w:p>
        </w:tc>
      </w:tr>
      <w:tr>
        <w:tc>
          <w:tcPr>
            <w:tcW w:type="dxa" w:w="4882"/>
            <w:vAlign w:val="center"/>
          </w:tcPr>
          <w:p>
            <w:r>
              <w:t>Customer reviews</w:t>
            </w:r>
          </w:p>
        </w:tc>
        <w:tc>
          <w:tcPr>
            <w:tcW w:type="dxa" w:w="4882"/>
            <w:vAlign w:val="center"/>
          </w:tcPr>
          <w:p>
            <w:r>
              <w:t>Moderated star rating and short text review after purchase INCLUDED; no open anonymous reviews.</w:t>
            </w:r>
          </w:p>
        </w:tc>
      </w:tr>
      <w:tr>
        <w:tc>
          <w:tcPr>
            <w:tcW w:type="dxa" w:w="4882"/>
            <w:vAlign w:val="center"/>
          </w:tcPr>
          <w:p>
            <w:r>
              <w:t>Payment method</w:t>
            </w:r>
          </w:p>
        </w:tc>
        <w:tc>
          <w:tcPr>
            <w:tcW w:type="dxa" w:w="4882"/>
            <w:vAlign w:val="center"/>
          </w:tcPr>
          <w:p>
            <w:r>
              <w:t>Mobile Money via Paystack, subject to merchant account approval and provider-supported payment flows.</w:t>
            </w:r>
          </w:p>
        </w:tc>
      </w:tr>
      <w:tr>
        <w:tc>
          <w:tcPr>
            <w:tcW w:type="dxa" w:w="4882"/>
            <w:vAlign w:val="center"/>
          </w:tcPr>
          <w:p>
            <w:r>
              <w:t>Email notifications</w:t>
            </w:r>
          </w:p>
        </w:tc>
        <w:tc>
          <w:tcPr>
            <w:tcW w:type="dxa" w:w="4882"/>
            <w:vAlign w:val="center"/>
          </w:tcPr>
          <w:p>
            <w:r>
              <w:t>Basic order emails INCLUDED if an approved mail service and credentials are provided; mail service subscription not included.</w:t>
            </w:r>
          </w:p>
        </w:tc>
      </w:tr>
    </w:tbl>
    <w:p/>
    <w:p>
      <w:pPr>
        <w:pStyle w:val="Heading1"/>
      </w:pPr>
      <w:r>
        <w:t>3. Detailed functional scope</w:t>
      </w:r>
    </w:p>
    <w:p>
      <w:pPr>
        <w:pStyle w:val="Heading2"/>
      </w:pPr>
      <w:r>
        <w:t>3.1 Customer storefront</w:t>
      </w:r>
    </w:p>
    <w:p>
      <w:pPr>
        <w:pStyle w:val="ListBullet"/>
      </w:pPr>
      <w:r>
        <w:t>Responsive landing page, brand header, featured products, promotions and shop information.</w:t>
      </w:r>
    </w:p>
    <w:p>
      <w:pPr>
        <w:pStyle w:val="ListBullet"/>
      </w:pPr>
      <w:r>
        <w:t>Browse categories and product listings with thumbnail, price, available variant and availability indicator.</w:t>
      </w:r>
    </w:p>
    <w:p>
      <w:pPr>
        <w:pStyle w:val="ListBullet"/>
      </w:pPr>
      <w:r>
        <w:t>Search by product name/category; product detail pages with variation choices and item quantity.</w:t>
      </w:r>
    </w:p>
    <w:p>
      <w:pPr>
        <w:pStyle w:val="ListBullet"/>
      </w:pPr>
      <w:r>
        <w:t>Shopping cart with edit/remove functionality and recalculated totals.</w:t>
      </w:r>
    </w:p>
    <w:p>
      <w:pPr>
        <w:pStyle w:val="ListBullet"/>
      </w:pPr>
      <w:r>
        <w:t>Guest checkout or account login/registration; required name, contact and fulfilment details.</w:t>
      </w:r>
    </w:p>
    <w:p>
      <w:pPr>
        <w:pStyle w:val="ListBullet"/>
      </w:pPr>
      <w:r>
        <w:t>Delivery or pickup choice, with delivery fees from configured zone table and order total preview.</w:t>
      </w:r>
    </w:p>
    <w:p>
      <w:pPr>
        <w:pStyle w:val="ListBullet"/>
      </w:pPr>
      <w:r>
        <w:t>Mobile Money payment initiation and verified payment result; no confirmation based solely on browser redirect.</w:t>
      </w:r>
    </w:p>
    <w:p>
      <w:pPr>
        <w:pStyle w:val="ListBullet"/>
      </w:pPr>
      <w:r>
        <w:t>Order confirmation/reference, status-tracking page and optional customer account order history.</w:t>
      </w:r>
    </w:p>
    <w:p>
      <w:pPr>
        <w:pStyle w:val="ListBullet"/>
      </w:pPr>
      <w:r>
        <w:t>Contact form, linked phone/WhatsApp, business email and social accounts; privacy/terms links.</w:t>
      </w:r>
    </w:p>
    <w:p>
      <w:pPr>
        <w:pStyle w:val="Heading2"/>
      </w:pPr>
      <w:r>
        <w:t>3.2 Administration and fulfilment</w:t>
      </w:r>
    </w:p>
    <w:p>
      <w:pPr>
        <w:pStyle w:val="ListBullet"/>
      </w:pPr>
      <w:r>
        <w:t>Secure admin login, permission-aware admin routes and a dashboard with summary metrics.</w:t>
      </w:r>
    </w:p>
    <w:p>
      <w:pPr>
        <w:pStyle w:val="ListBullet"/>
      </w:pPr>
      <w:r>
        <w:t>Create/edit/archive categories, product information, photographs, prices, promotions and variants.</w:t>
      </w:r>
    </w:p>
    <w:p>
      <w:pPr>
        <w:pStyle w:val="ListBullet"/>
      </w:pPr>
      <w:r>
        <w:t>Manually set item availability (available/unavailable); low-stock automation not part of Phase 1.</w:t>
      </w:r>
    </w:p>
    <w:p>
      <w:pPr>
        <w:pStyle w:val="ListBullet"/>
      </w:pPr>
      <w:r>
        <w:t>View/filter orders by status, date and payment state; update processing, ready, dispatched and completed statuses.</w:t>
      </w:r>
    </w:p>
    <w:p>
      <w:pPr>
        <w:pStyle w:val="ListBullet"/>
      </w:pPr>
      <w:r>
        <w:t>View delivery or pickup instructions, delivery zones and fees; manually reconcile exceptional orders.</w:t>
      </w:r>
    </w:p>
    <w:p>
      <w:pPr>
        <w:pStyle w:val="ListBullet"/>
      </w:pPr>
      <w:r>
        <w:t>Access sales summaries showing paid order totals, order counts, average order value and top selling products.</w:t>
      </w:r>
    </w:p>
    <w:p>
      <w:pPr>
        <w:pStyle w:val="ListBullet"/>
      </w:pPr>
      <w:r>
        <w:t>Moderate reviews; manage highlighted offers, homepage content and contact details.</w:t>
      </w:r>
    </w:p>
    <w:p>
      <w:pPr>
        <w:pStyle w:val="ListBullet"/>
      </w:pPr>
      <w:r>
        <w:t>Download order/sales CSV report for business record-keeping.</w:t>
      </w:r>
    </w:p>
    <w:p>
      <w:pPr>
        <w:pStyle w:val="Heading2"/>
      </w:pPr>
      <w:r>
        <w:t>3.3 Payment, notifications and controls</w:t>
      </w:r>
    </w:p>
    <w:p>
      <w:r>
        <w:t>The application will initialise a payment on the gateway server-side, validate signed webhook callbacks, verify provider payment references and retain an idempotent transaction record. Orders cannot be marked paid merely because a customer reached a success page. Duplicate webhooks and failed payments must be handled without duplicating orders.</w:t>
      </w:r>
    </w:p>
    <w:p>
      <w:r>
        <w:t>Transactional email depends on configured sender credentials and service usage policy. WhatsApp ordering means a click-to-chat workflow; this is not equivalent to automated WhatsApp messages. The latter is excluded from fixed scope and must be priced when the messaging provider and volume are known.</w:t>
      </w:r>
    </w:p>
    <w:p>
      <w:pPr>
        <w:pStyle w:val="Heading1"/>
      </w:pPr>
      <w:r>
        <w:t>4. Explicit exclusions</w:t>
      </w:r>
    </w:p>
    <w:p>
      <w:r>
        <w:t>Native Android/iOS apps; full inventory ledger and purchasing; low-stock automation; POS/accounting system integration; GPS courier dispatch; automatic delivery distance tariffs; SMS or automated WhatsApp Business API usage; advanced analytics; marketplace or multi-vendor functions; loyalty points; recurring subscriptions; unlimited content/data entry; paid advertising; photography; copywriting; regulatory registrations; external provider charges; additional languages beyond English.</w:t>
      </w:r>
    </w:p>
    <w:p>
      <w:pPr>
        <w:pStyle w:val="Heading1"/>
      </w:pPr>
      <w:r>
        <w:t>5. Technical solution and non-functional requirements</w:t>
      </w:r>
    </w:p>
    <w:tbl>
      <w:tblPr>
        <w:tblStyle w:val="LightShading-Accent1"/>
        <w:tblW w:type="auto" w:w="0"/>
        <w:jc w:val="center"/>
        <w:tblLook w:firstColumn="1" w:firstRow="1" w:lastColumn="0" w:lastRow="0" w:noHBand="0" w:noVBand="1" w:val="04A0"/>
      </w:tblPr>
      <w:tblGrid>
        <w:gridCol w:w="4882"/>
        <w:gridCol w:w="4882"/>
      </w:tblGrid>
      <w:tr>
        <w:tc>
          <w:tcPr>
            <w:tcW w:type="dxa" w:w="4882"/>
            <w:vAlign w:val="center"/>
          </w:tcPr>
          <w:p>
            <w:r>
              <w:rPr>
                <w:b/>
                <w:color w:val="0C4850"/>
              </w:rPr>
              <w:t>Layer</w:t>
            </w:r>
          </w:p>
        </w:tc>
        <w:tc>
          <w:tcPr>
            <w:tcW w:type="dxa" w:w="4882"/>
            <w:vAlign w:val="center"/>
          </w:tcPr>
          <w:p>
            <w:r>
              <w:rPr>
                <w:b/>
                <w:color w:val="0C4850"/>
              </w:rPr>
              <w:t>Proposed technology / practice</w:t>
            </w:r>
          </w:p>
        </w:tc>
      </w:tr>
      <w:tr>
        <w:tc>
          <w:tcPr>
            <w:tcW w:type="dxa" w:w="4882"/>
            <w:vAlign w:val="center"/>
          </w:tcPr>
          <w:p>
            <w:r>
              <w:t>Application</w:t>
            </w:r>
          </w:p>
        </w:tc>
        <w:tc>
          <w:tcPr>
            <w:tcW w:type="dxa" w:w="4882"/>
            <w:vAlign w:val="center"/>
          </w:tcPr>
          <w:p>
            <w:r>
              <w:t>ASP.NET Core MVC / C# with Razor views, standard HTML/CSS/JavaScript</w:t>
            </w:r>
          </w:p>
        </w:tc>
      </w:tr>
      <w:tr>
        <w:tc>
          <w:tcPr>
            <w:tcW w:type="dxa" w:w="4882"/>
            <w:vAlign w:val="center"/>
          </w:tcPr>
          <w:p>
            <w:r>
              <w:t>Data persistence</w:t>
            </w:r>
          </w:p>
        </w:tc>
        <w:tc>
          <w:tcPr>
            <w:tcW w:type="dxa" w:w="4882"/>
            <w:vAlign w:val="center"/>
          </w:tcPr>
          <w:p>
            <w:r>
              <w:t>Entity Framework Core and Microsoft SQL Server</w:t>
            </w:r>
          </w:p>
        </w:tc>
      </w:tr>
      <w:tr>
        <w:tc>
          <w:tcPr>
            <w:tcW w:type="dxa" w:w="4882"/>
            <w:vAlign w:val="center"/>
          </w:tcPr>
          <w:p>
            <w:r>
              <w:t>Identity</w:t>
            </w:r>
          </w:p>
        </w:tc>
        <w:tc>
          <w:tcPr>
            <w:tcW w:type="dxa" w:w="4882"/>
            <w:vAlign w:val="center"/>
          </w:tcPr>
          <w:p>
            <w:r>
              <w:t>ASP.NET Core Identity or equivalent; securely hashed credentials and role authorization</w:t>
            </w:r>
          </w:p>
        </w:tc>
      </w:tr>
      <w:tr>
        <w:tc>
          <w:tcPr>
            <w:tcW w:type="dxa" w:w="4882"/>
            <w:vAlign w:val="center"/>
          </w:tcPr>
          <w:p>
            <w:r>
              <w:t>Payment</w:t>
            </w:r>
          </w:p>
        </w:tc>
        <w:tc>
          <w:tcPr>
            <w:tcW w:type="dxa" w:w="4882"/>
            <w:vAlign w:val="center"/>
          </w:tcPr>
          <w:p>
            <w:r>
              <w:t>Paystack integration for supported Ghanaian Mobile Money channels</w:t>
            </w:r>
          </w:p>
        </w:tc>
      </w:tr>
      <w:tr>
        <w:tc>
          <w:tcPr>
            <w:tcW w:type="dxa" w:w="4882"/>
            <w:vAlign w:val="center"/>
          </w:tcPr>
          <w:p>
            <w:r>
              <w:t>Deployment</w:t>
            </w:r>
          </w:p>
        </w:tc>
        <w:tc>
          <w:tcPr>
            <w:tcW w:type="dxa" w:w="4882"/>
            <w:vAlign w:val="center"/>
          </w:tcPr>
          <w:p>
            <w:r>
              <w:t>Windows-based ASP.NET Core compatible hosting with HTTPS and SQL Server support</w:t>
            </w:r>
          </w:p>
        </w:tc>
      </w:tr>
      <w:tr>
        <w:tc>
          <w:tcPr>
            <w:tcW w:type="dxa" w:w="4882"/>
            <w:vAlign w:val="center"/>
          </w:tcPr>
          <w:p>
            <w:r>
              <w:t>File storage</w:t>
            </w:r>
          </w:p>
        </w:tc>
        <w:tc>
          <w:tcPr>
            <w:tcW w:type="dxa" w:w="4882"/>
            <w:vAlign w:val="center"/>
          </w:tcPr>
          <w:p>
            <w:r>
              <w:t>Optimised catalogue images with file size/type validation; provider storage limits apply</w:t>
            </w:r>
          </w:p>
        </w:tc>
      </w:tr>
      <w:tr>
        <w:tc>
          <w:tcPr>
            <w:tcW w:type="dxa" w:w="4882"/>
            <w:vAlign w:val="center"/>
          </w:tcPr>
          <w:p>
            <w:r>
              <w:t>Source control</w:t>
            </w:r>
          </w:p>
        </w:tc>
        <w:tc>
          <w:tcPr>
            <w:tcW w:type="dxa" w:w="4882"/>
            <w:vAlign w:val="center"/>
          </w:tcPr>
          <w:p>
            <w:r>
              <w:t>Private Git repository and environment-specific configuration</w:t>
            </w:r>
          </w:p>
        </w:tc>
      </w:tr>
      <w:tr>
        <w:tc>
          <w:tcPr>
            <w:tcW w:type="dxa" w:w="4882"/>
            <w:vAlign w:val="center"/>
          </w:tcPr>
          <w:p>
            <w:r>
              <w:t>Security</w:t>
            </w:r>
          </w:p>
        </w:tc>
        <w:tc>
          <w:tcPr>
            <w:tcW w:type="dxa" w:w="4882"/>
            <w:vAlign w:val="center"/>
          </w:tcPr>
          <w:p>
            <w:r>
              <w:t>HTTPS, CSRF protection, validation, rate-limit sensitive endpoints, least privilege and secrets outside source code</w:t>
            </w:r>
          </w:p>
        </w:tc>
      </w:tr>
      <w:tr>
        <w:tc>
          <w:tcPr>
            <w:tcW w:type="dxa" w:w="4882"/>
            <w:vAlign w:val="center"/>
          </w:tcPr>
          <w:p>
            <w:r>
              <w:t>Reliability</w:t>
            </w:r>
          </w:p>
        </w:tc>
        <w:tc>
          <w:tcPr>
            <w:tcW w:type="dxa" w:w="4882"/>
            <w:vAlign w:val="center"/>
          </w:tcPr>
          <w:p>
            <w:r>
              <w:t>Error logging, daily backup configuration where supported and documented restore procedure</w:t>
            </w:r>
          </w:p>
        </w:tc>
      </w:tr>
      <w:tr>
        <w:tc>
          <w:tcPr>
            <w:tcW w:type="dxa" w:w="4882"/>
            <w:vAlign w:val="center"/>
          </w:tcPr>
          <w:p>
            <w:r>
              <w:t>Testing</w:t>
            </w:r>
          </w:p>
        </w:tc>
        <w:tc>
          <w:tcPr>
            <w:tcW w:type="dxa" w:w="4882"/>
            <w:vAlign w:val="center"/>
          </w:tcPr>
          <w:p>
            <w:r>
              <w:t>Checkout, payment, catalog, account, mobile views, admin roles and order state transitions</w:t>
            </w:r>
          </w:p>
        </w:tc>
      </w:tr>
    </w:tbl>
    <w:p/>
    <w:p>
      <w:pPr>
        <w:pStyle w:val="Heading2"/>
      </w:pPr>
      <w:r>
        <w:t>5.1 Data entities and workflow</w:t>
      </w:r>
    </w:p>
    <w:p>
      <w:r>
        <w:t>Core records include Users, Roles, Categories, Products, ProductVariants, ProductImages, Carts, Orders, OrderItems, Addresses/DeliveryZones, Payments, Discounts and Reviews. Price and order-line snapshots will be stored at checkout so historical invoices do not change when catalogue prices are updated.</w:t>
      </w:r>
    </w:p>
    <w:p>
      <w:r>
        <w:t>Typical order flow: Browse → Select variant → Cart → Customer details → Pickup/Delivery → MoMo payment → Server verification → Order accepted → Staff processing → Ready/Dispatched → Completed. Pending or unsuccessful payments remain clearly identified.</w:t>
      </w:r>
    </w:p>
    <w:p>
      <w:pPr>
        <w:pStyle w:val="Heading2"/>
      </w:pPr>
      <w:r>
        <w:t>5.2 Quality acceptance thresholds</w:t>
      </w:r>
    </w:p>
    <w:p>
      <w:pPr>
        <w:pStyle w:val="ListBullet"/>
      </w:pPr>
      <w:r>
        <w:t>Layouts operate on current Chrome, Edge, Safari and Android mobile browsers at common phone widths.</w:t>
      </w:r>
    </w:p>
    <w:p>
      <w:pPr>
        <w:pStyle w:val="ListBullet"/>
      </w:pPr>
      <w:r>
        <w:t>Core browsing, cart and checkout are keyboard-accessible with labels, focus cues and readable contrast.</w:t>
      </w:r>
    </w:p>
    <w:p>
      <w:pPr>
        <w:pStyle w:val="ListBullet"/>
      </w:pPr>
      <w:r>
        <w:t>No known critical security findings or blocker defects at go-live; payment callbacks verified in sandbox and live test.</w:t>
      </w:r>
    </w:p>
    <w:p>
      <w:pPr>
        <w:pStyle w:val="ListBullet"/>
      </w:pPr>
      <w:r>
        <w:t>Admin can maintain prices, variants and configured delivery fee zones without code changes.</w:t>
      </w:r>
    </w:p>
    <w:p>
      <w:pPr>
        <w:pStyle w:val="ListBullet"/>
      </w:pPr>
      <w:r>
        <w:t>Client receives a demonstration, handover guide, backup/restore instructions and approved credentials.</w:t>
      </w:r>
    </w:p>
    <w:p>
      <w:pPr>
        <w:pStyle w:val="Heading1"/>
      </w:pPr>
      <w:r>
        <w:t>6. Delivery plan: 8–10 weeks</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vAlign w:val="center"/>
          </w:tcPr>
          <w:p>
            <w:r>
              <w:rPr>
                <w:b/>
                <w:color w:val="0C4850"/>
              </w:rPr>
              <w:t>Stage</w:t>
            </w:r>
          </w:p>
        </w:tc>
        <w:tc>
          <w:tcPr>
            <w:tcW w:type="dxa" w:w="3255"/>
            <w:vAlign w:val="center"/>
          </w:tcPr>
          <w:p>
            <w:r>
              <w:rPr>
                <w:b/>
                <w:color w:val="0C4850"/>
              </w:rPr>
              <w:t>Target window</w:t>
            </w:r>
          </w:p>
        </w:tc>
        <w:tc>
          <w:tcPr>
            <w:tcW w:type="dxa" w:w="3255"/>
            <w:vAlign w:val="center"/>
          </w:tcPr>
          <w:p>
            <w:r>
              <w:rPr>
                <w:b/>
                <w:color w:val="0C4850"/>
              </w:rPr>
              <w:t>Evidence and sign-off</w:t>
            </w:r>
          </w:p>
        </w:tc>
      </w:tr>
      <w:tr>
        <w:tc>
          <w:tcPr>
            <w:tcW w:type="dxa" w:w="3255"/>
            <w:vAlign w:val="center"/>
          </w:tcPr>
          <w:p>
            <w:r>
              <w:t>1. Discovery and design</w:t>
            </w:r>
          </w:p>
        </w:tc>
        <w:tc>
          <w:tcPr>
            <w:tcW w:type="dxa" w:w="3255"/>
            <w:vAlign w:val="center"/>
          </w:tcPr>
          <w:p>
            <w:r>
              <w:t>Week 1</w:t>
            </w:r>
          </w:p>
        </w:tc>
        <w:tc>
          <w:tcPr>
            <w:tcW w:type="dxa" w:w="3255"/>
            <w:vAlign w:val="center"/>
          </w:tcPr>
          <w:p>
            <w:r>
              <w:t>Approved scope, product data template, visual direction, delivery zones</w:t>
            </w:r>
          </w:p>
        </w:tc>
      </w:tr>
      <w:tr>
        <w:tc>
          <w:tcPr>
            <w:tcW w:type="dxa" w:w="3255"/>
            <w:vAlign w:val="center"/>
          </w:tcPr>
          <w:p>
            <w:r>
              <w:t>2. Catalogue and customer UI</w:t>
            </w:r>
          </w:p>
        </w:tc>
        <w:tc>
          <w:tcPr>
            <w:tcW w:type="dxa" w:w="3255"/>
            <w:vAlign w:val="center"/>
          </w:tcPr>
          <w:p>
            <w:r>
              <w:t>Weeks 2–3</w:t>
            </w:r>
          </w:p>
        </w:tc>
        <w:tc>
          <w:tcPr>
            <w:tcW w:type="dxa" w:w="3255"/>
            <w:vAlign w:val="center"/>
          </w:tcPr>
          <w:p>
            <w:r>
              <w:t>Mobile storefront, search, variants, product pages, cart</w:t>
            </w:r>
          </w:p>
        </w:tc>
      </w:tr>
      <w:tr>
        <w:tc>
          <w:tcPr>
            <w:tcW w:type="dxa" w:w="3255"/>
            <w:vAlign w:val="center"/>
          </w:tcPr>
          <w:p>
            <w:r>
              <w:t>3. Checkout and orders</w:t>
            </w:r>
          </w:p>
        </w:tc>
        <w:tc>
          <w:tcPr>
            <w:tcW w:type="dxa" w:w="3255"/>
            <w:vAlign w:val="center"/>
          </w:tcPr>
          <w:p>
            <w:r>
              <w:t>Weeks 4–5</w:t>
            </w:r>
          </w:p>
        </w:tc>
        <w:tc>
          <w:tcPr>
            <w:tcW w:type="dxa" w:w="3255"/>
            <w:vAlign w:val="center"/>
          </w:tcPr>
          <w:p>
            <w:r>
              <w:t>Guest/account paths, delivery rules, order lifecycle, admin order views</w:t>
            </w:r>
          </w:p>
        </w:tc>
      </w:tr>
      <w:tr>
        <w:tc>
          <w:tcPr>
            <w:tcW w:type="dxa" w:w="3255"/>
            <w:vAlign w:val="center"/>
          </w:tcPr>
          <w:p>
            <w:r>
              <w:t>4. Payments and reporting</w:t>
            </w:r>
          </w:p>
        </w:tc>
        <w:tc>
          <w:tcPr>
            <w:tcW w:type="dxa" w:w="3255"/>
            <w:vAlign w:val="center"/>
          </w:tcPr>
          <w:p>
            <w:r>
              <w:t>Weeks 6–7</w:t>
            </w:r>
          </w:p>
        </w:tc>
        <w:tc>
          <w:tcPr>
            <w:tcW w:type="dxa" w:w="3255"/>
            <w:vAlign w:val="center"/>
          </w:tcPr>
          <w:p>
            <w:r>
              <w:t>MoMo sandbox integration, verification, notification emails, reporting</w:t>
            </w:r>
          </w:p>
        </w:tc>
      </w:tr>
      <w:tr>
        <w:tc>
          <w:tcPr>
            <w:tcW w:type="dxa" w:w="3255"/>
            <w:vAlign w:val="center"/>
          </w:tcPr>
          <w:p>
            <w:r>
              <w:t>5. Test and UAT</w:t>
            </w:r>
          </w:p>
        </w:tc>
        <w:tc>
          <w:tcPr>
            <w:tcW w:type="dxa" w:w="3255"/>
            <w:vAlign w:val="center"/>
          </w:tcPr>
          <w:p>
            <w:r>
              <w:t>Week 8</w:t>
            </w:r>
          </w:p>
        </w:tc>
        <w:tc>
          <w:tcPr>
            <w:tcW w:type="dxa" w:w="3255"/>
            <w:vAlign w:val="center"/>
          </w:tcPr>
          <w:p>
            <w:r>
              <w:t>Client testing, defect remediation, training</w:t>
            </w:r>
          </w:p>
        </w:tc>
      </w:tr>
      <w:tr>
        <w:tc>
          <w:tcPr>
            <w:tcW w:type="dxa" w:w="3255"/>
            <w:vAlign w:val="center"/>
          </w:tcPr>
          <w:p>
            <w:r>
              <w:t>6. Deployment and buffer</w:t>
            </w:r>
          </w:p>
        </w:tc>
        <w:tc>
          <w:tcPr>
            <w:tcW w:type="dxa" w:w="3255"/>
            <w:vAlign w:val="center"/>
          </w:tcPr>
          <w:p>
            <w:r>
              <w:t>Weeks 9–10</w:t>
            </w:r>
          </w:p>
        </w:tc>
        <w:tc>
          <w:tcPr>
            <w:tcW w:type="dxa" w:w="3255"/>
            <w:vAlign w:val="center"/>
          </w:tcPr>
          <w:p>
            <w:r>
              <w:t>Live gateway validation, DNS, deployment, handover</w:t>
            </w:r>
          </w:p>
        </w:tc>
      </w:tr>
    </w:tbl>
    <w:p/>
    <w:p>
      <w:r>
        <w:t>Timeline is conditional on receiving project materials, gateway onboarding access and feedback within two working days per review. Third-party onboarding delays or major requirement changes may extend delivery.</w:t>
      </w:r>
    </w:p>
    <w:p>
      <w:pPr>
        <w:pStyle w:val="Heading1"/>
      </w:pPr>
      <w:r>
        <w:t>7. Commercial quotation and payment terms</w:t>
      </w:r>
    </w:p>
    <w:tbl>
      <w:tblPr>
        <w:tblStyle w:val="LightShading-Accent1"/>
        <w:tblW w:type="auto" w:w="0"/>
        <w:jc w:val="center"/>
        <w:tblLook w:firstColumn="1" w:firstRow="1" w:lastColumn="0" w:lastRow="0" w:noHBand="0" w:noVBand="1" w:val="04A0"/>
      </w:tblPr>
      <w:tblGrid>
        <w:gridCol w:w="4882"/>
        <w:gridCol w:w="4882"/>
      </w:tblGrid>
      <w:tr>
        <w:tc>
          <w:tcPr>
            <w:tcW w:type="dxa" w:w="4882"/>
            <w:vAlign w:val="center"/>
          </w:tcPr>
          <w:p>
            <w:r>
              <w:rPr>
                <w:b/>
                <w:color w:val="0C4850"/>
              </w:rPr>
              <w:t>Development work package</w:t>
            </w:r>
          </w:p>
        </w:tc>
        <w:tc>
          <w:tcPr>
            <w:tcW w:type="dxa" w:w="4882"/>
            <w:vAlign w:val="center"/>
          </w:tcPr>
          <w:p>
            <w:r>
              <w:rPr>
                <w:b/>
                <w:color w:val="0C4850"/>
              </w:rPr>
              <w:t>Allocated portion (GH₵)</w:t>
            </w:r>
          </w:p>
        </w:tc>
      </w:tr>
      <w:tr>
        <w:tc>
          <w:tcPr>
            <w:tcW w:type="dxa" w:w="4882"/>
            <w:vAlign w:val="center"/>
          </w:tcPr>
          <w:p>
            <w:r>
              <w:t>Discovery, UX, layout and design system</w:t>
            </w:r>
          </w:p>
        </w:tc>
        <w:tc>
          <w:tcPr>
            <w:tcW w:type="dxa" w:w="4882"/>
            <w:vAlign w:val="center"/>
          </w:tcPr>
          <w:p>
            <w:r>
              <w:t>1,200</w:t>
            </w:r>
          </w:p>
        </w:tc>
      </w:tr>
      <w:tr>
        <w:tc>
          <w:tcPr>
            <w:tcW w:type="dxa" w:w="4882"/>
            <w:vAlign w:val="center"/>
          </w:tcPr>
          <w:p>
            <w:r>
              <w:t>Storefront, categories, catalogue, variants and search</w:t>
            </w:r>
          </w:p>
        </w:tc>
        <w:tc>
          <w:tcPr>
            <w:tcW w:type="dxa" w:w="4882"/>
            <w:vAlign w:val="center"/>
          </w:tcPr>
          <w:p>
            <w:r>
              <w:t>2,100</w:t>
            </w:r>
          </w:p>
        </w:tc>
      </w:tr>
      <w:tr>
        <w:tc>
          <w:tcPr>
            <w:tcW w:type="dxa" w:w="4882"/>
            <w:vAlign w:val="center"/>
          </w:tcPr>
          <w:p>
            <w:r>
              <w:t>Cart, checkout, delivery and customer accounts</w:t>
            </w:r>
          </w:p>
        </w:tc>
        <w:tc>
          <w:tcPr>
            <w:tcW w:type="dxa" w:w="4882"/>
            <w:vAlign w:val="center"/>
          </w:tcPr>
          <w:p>
            <w:r>
              <w:t>1,800</w:t>
            </w:r>
          </w:p>
        </w:tc>
      </w:tr>
      <w:tr>
        <w:tc>
          <w:tcPr>
            <w:tcW w:type="dxa" w:w="4882"/>
            <w:vAlign w:val="center"/>
          </w:tcPr>
          <w:p>
            <w:r>
              <w:t>Admin dashboard, orders, offers and reporting</w:t>
            </w:r>
          </w:p>
        </w:tc>
        <w:tc>
          <w:tcPr>
            <w:tcW w:type="dxa" w:w="4882"/>
            <w:vAlign w:val="center"/>
          </w:tcPr>
          <w:p>
            <w:r>
              <w:t>1,800</w:t>
            </w:r>
          </w:p>
        </w:tc>
      </w:tr>
      <w:tr>
        <w:tc>
          <w:tcPr>
            <w:tcW w:type="dxa" w:w="4882"/>
            <w:vAlign w:val="center"/>
          </w:tcPr>
          <w:p>
            <w:r>
              <w:t>MoMo integration, testing, security and deployment</w:t>
            </w:r>
          </w:p>
        </w:tc>
        <w:tc>
          <w:tcPr>
            <w:tcW w:type="dxa" w:w="4882"/>
            <w:vAlign w:val="center"/>
          </w:tcPr>
          <w:p>
            <w:r>
              <w:t>1,600</w:t>
            </w:r>
          </w:p>
        </w:tc>
      </w:tr>
      <w:tr>
        <w:tc>
          <w:tcPr>
            <w:tcW w:type="dxa" w:w="4882"/>
            <w:vAlign w:val="center"/>
          </w:tcPr>
          <w:p>
            <w:r>
              <w:t>Documentation, training and handover</w:t>
            </w:r>
          </w:p>
        </w:tc>
        <w:tc>
          <w:tcPr>
            <w:tcW w:type="dxa" w:w="4882"/>
            <w:vAlign w:val="center"/>
          </w:tcPr>
          <w:p>
            <w:r>
              <w:t>500</w:t>
            </w:r>
          </w:p>
        </w:tc>
      </w:tr>
      <w:tr>
        <w:tc>
          <w:tcPr>
            <w:tcW w:type="dxa" w:w="4882"/>
            <w:vAlign w:val="center"/>
          </w:tcPr>
          <w:p>
            <w:r>
              <w:t>TOTAL — fixed development fee</w:t>
            </w:r>
          </w:p>
        </w:tc>
        <w:tc>
          <w:tcPr>
            <w:tcW w:type="dxa" w:w="4882"/>
            <w:vAlign w:val="center"/>
          </w:tcPr>
          <w:p>
            <w:r>
              <w:t>9,000</w:t>
            </w:r>
          </w:p>
        </w:tc>
      </w:tr>
    </w:tbl>
    <w:p/>
    <w:p>
      <w:r>
        <w:t>The allocation above explains how the fixed GH₵9,000 fee is distributed. It is not an additional set of charges.</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vAlign w:val="center"/>
          </w:tcPr>
          <w:p>
            <w:r>
              <w:rPr>
                <w:b/>
                <w:color w:val="0C4850"/>
              </w:rPr>
              <w:t>Milestone</w:t>
            </w:r>
          </w:p>
        </w:tc>
        <w:tc>
          <w:tcPr>
            <w:tcW w:type="dxa" w:w="2441"/>
            <w:vAlign w:val="center"/>
          </w:tcPr>
          <w:p>
            <w:r>
              <w:rPr>
                <w:b/>
                <w:color w:val="0C4850"/>
              </w:rPr>
              <w:t>Percentage</w:t>
            </w:r>
          </w:p>
        </w:tc>
        <w:tc>
          <w:tcPr>
            <w:tcW w:type="dxa" w:w="2441"/>
            <w:vAlign w:val="center"/>
          </w:tcPr>
          <w:p>
            <w:r>
              <w:rPr>
                <w:b/>
                <w:color w:val="0C4850"/>
              </w:rPr>
              <w:t>Payment (GH₵)</w:t>
            </w:r>
          </w:p>
        </w:tc>
        <w:tc>
          <w:tcPr>
            <w:tcW w:type="dxa" w:w="2441"/>
            <w:vAlign w:val="center"/>
          </w:tcPr>
          <w:p>
            <w:r>
              <w:rPr>
                <w:b/>
                <w:color w:val="0C4850"/>
              </w:rPr>
              <w:t>Trigger</w:t>
            </w:r>
          </w:p>
        </w:tc>
      </w:tr>
      <w:tr>
        <w:tc>
          <w:tcPr>
            <w:tcW w:type="dxa" w:w="2441"/>
            <w:vAlign w:val="center"/>
          </w:tcPr>
          <w:p>
            <w:r>
              <w:t>Project start</w:t>
            </w:r>
          </w:p>
        </w:tc>
        <w:tc>
          <w:tcPr>
            <w:tcW w:type="dxa" w:w="2441"/>
            <w:vAlign w:val="center"/>
          </w:tcPr>
          <w:p>
            <w:r>
              <w:t>40%</w:t>
            </w:r>
          </w:p>
        </w:tc>
        <w:tc>
          <w:tcPr>
            <w:tcW w:type="dxa" w:w="2441"/>
            <w:vAlign w:val="center"/>
          </w:tcPr>
          <w:p>
            <w:r>
              <w:t>3,600</w:t>
            </w:r>
          </w:p>
        </w:tc>
        <w:tc>
          <w:tcPr>
            <w:tcW w:type="dxa" w:w="2441"/>
            <w:vAlign w:val="center"/>
          </w:tcPr>
          <w:p>
            <w:r>
              <w:t>Contract accepted and work scheduled</w:t>
            </w:r>
          </w:p>
        </w:tc>
      </w:tr>
      <w:tr>
        <w:tc>
          <w:tcPr>
            <w:tcW w:type="dxa" w:w="2441"/>
            <w:vAlign w:val="center"/>
          </w:tcPr>
          <w:p>
            <w:r>
              <w:t>Working prototype</w:t>
            </w:r>
          </w:p>
        </w:tc>
        <w:tc>
          <w:tcPr>
            <w:tcW w:type="dxa" w:w="2441"/>
            <w:vAlign w:val="center"/>
          </w:tcPr>
          <w:p>
            <w:r>
              <w:t>30%</w:t>
            </w:r>
          </w:p>
        </w:tc>
        <w:tc>
          <w:tcPr>
            <w:tcW w:type="dxa" w:w="2441"/>
            <w:vAlign w:val="center"/>
          </w:tcPr>
          <w:p>
            <w:r>
              <w:t>2,700</w:t>
            </w:r>
          </w:p>
        </w:tc>
        <w:tc>
          <w:tcPr>
            <w:tcW w:type="dxa" w:w="2441"/>
            <w:vAlign w:val="center"/>
          </w:tcPr>
          <w:p>
            <w:r>
              <w:t>Storefront, cart and admin ordering demo accepted</w:t>
            </w:r>
          </w:p>
        </w:tc>
      </w:tr>
      <w:tr>
        <w:tc>
          <w:tcPr>
            <w:tcW w:type="dxa" w:w="2441"/>
            <w:vAlign w:val="center"/>
          </w:tcPr>
          <w:p>
            <w:r>
              <w:t>Final handover</w:t>
            </w:r>
          </w:p>
        </w:tc>
        <w:tc>
          <w:tcPr>
            <w:tcW w:type="dxa" w:w="2441"/>
            <w:vAlign w:val="center"/>
          </w:tcPr>
          <w:p>
            <w:r>
              <w:t>30%</w:t>
            </w:r>
          </w:p>
        </w:tc>
        <w:tc>
          <w:tcPr>
            <w:tcW w:type="dxa" w:w="2441"/>
            <w:vAlign w:val="center"/>
          </w:tcPr>
          <w:p>
            <w:r>
              <w:t>2,700</w:t>
            </w:r>
          </w:p>
        </w:tc>
        <w:tc>
          <w:tcPr>
            <w:tcW w:type="dxa" w:w="2441"/>
            <w:vAlign w:val="center"/>
          </w:tcPr>
          <w:p>
            <w:r>
              <w:t>UAT accepted and before production handover</w:t>
            </w:r>
          </w:p>
        </w:tc>
      </w:tr>
      <w:tr>
        <w:tc>
          <w:tcPr>
            <w:tcW w:type="dxa" w:w="2441"/>
            <w:vAlign w:val="center"/>
          </w:tcPr>
          <w:p>
            <w:r>
              <w:t>TOTAL</w:t>
            </w:r>
          </w:p>
        </w:tc>
        <w:tc>
          <w:tcPr>
            <w:tcW w:type="dxa" w:w="2441"/>
            <w:vAlign w:val="center"/>
          </w:tcPr>
          <w:p>
            <w:r>
              <w:t>100%</w:t>
            </w:r>
          </w:p>
        </w:tc>
        <w:tc>
          <w:tcPr>
            <w:tcW w:type="dxa" w:w="2441"/>
            <w:vAlign w:val="center"/>
          </w:tcPr>
          <w:p>
            <w:r>
              <w:t>9,000</w:t>
            </w:r>
          </w:p>
        </w:tc>
        <w:tc>
          <w:tcPr>
            <w:tcW w:type="dxa" w:w="2441"/>
            <w:vAlign w:val="center"/>
          </w:tcPr>
          <w:p>
            <w:r/>
          </w:p>
        </w:tc>
      </w:tr>
    </w:tbl>
    <w:p/>
    <w:p>
      <w:r>
        <w:t>Payment gateway, hosting and domain subscriptions are purchased for the client directly or reimbursed at actual cost with approval and receipts. A significant scope change requires a written estimate, price agreement and revised timeline before implementation. No VAT or tax treatment is assumed; the invoice should state applicable tax treatment.</w:t>
      </w:r>
    </w:p>
    <w:p>
      <w:pPr>
        <w:pStyle w:val="Heading1"/>
      </w:pPr>
      <w:r>
        <w:t>8. Hosting, domain and operating cost plan</w:t>
      </w:r>
    </w:p>
    <w:p>
      <w:r>
        <w:t>Public provider price snapshot checked 09 October 2026; USD amounts are kept in USD because the charged GH₵ equivalent depends on bank rate, taxes and provider checkout conditions. Prices, renewal terms, datacenter location and resource allocations must be reconfirmed before purchase.</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vAlign w:val="center"/>
          </w:tcPr>
          <w:p>
            <w:r>
              <w:rPr>
                <w:b/>
                <w:color w:val="0C4850"/>
              </w:rPr>
              <w:t>Expense</w:t>
            </w:r>
          </w:p>
        </w:tc>
        <w:tc>
          <w:tcPr>
            <w:tcW w:type="dxa" w:w="3255"/>
            <w:vAlign w:val="center"/>
          </w:tcPr>
          <w:p>
            <w:r>
              <w:rPr>
                <w:b/>
                <w:color w:val="0C4850"/>
              </w:rPr>
              <w:t>Planning allowance</w:t>
            </w:r>
          </w:p>
        </w:tc>
        <w:tc>
          <w:tcPr>
            <w:tcW w:type="dxa" w:w="3255"/>
            <w:vAlign w:val="center"/>
          </w:tcPr>
          <w:p>
            <w:r>
              <w:rPr>
                <w:b/>
                <w:color w:val="0C4850"/>
              </w:rPr>
              <w:t>Frequency / note</w:t>
            </w:r>
          </w:p>
        </w:tc>
      </w:tr>
      <w:tr>
        <w:tc>
          <w:tcPr>
            <w:tcW w:type="dxa" w:w="3255"/>
            <w:vAlign w:val="center"/>
          </w:tcPr>
          <w:p>
            <w:r>
              <w:t>ASP.NET Advance hosting (SmarterASP.NET)</w:t>
            </w:r>
          </w:p>
        </w:tc>
        <w:tc>
          <w:tcPr>
            <w:tcW w:type="dxa" w:w="3255"/>
            <w:vAlign w:val="center"/>
          </w:tcPr>
          <w:p>
            <w:r>
              <w:t>US$4.95 per month; US$59.40 annual equivalent</w:t>
            </w:r>
          </w:p>
        </w:tc>
        <w:tc>
          <w:tcPr>
            <w:tcW w:type="dxa" w:w="3255"/>
            <w:vAlign w:val="center"/>
          </w:tcPr>
          <w:p>
            <w:r>
              <w:t>Listed plan includes ASP.NET Core, SQL Server and SSL; verify checkout term</w:t>
            </w:r>
          </w:p>
        </w:tc>
      </w:tr>
      <w:tr>
        <w:tc>
          <w:tcPr>
            <w:tcW w:type="dxa" w:w="3255"/>
            <w:vAlign w:val="center"/>
          </w:tcPr>
          <w:p>
            <w:r>
              <w:t>.com registration (Namecheap)</w:t>
            </w:r>
          </w:p>
        </w:tc>
        <w:tc>
          <w:tcPr>
            <w:tcW w:type="dxa" w:w="3255"/>
            <w:vAlign w:val="center"/>
          </w:tcPr>
          <w:p>
            <w:r>
              <w:t>US$11.28 promotional first-year listed rate</w:t>
            </w:r>
          </w:p>
        </w:tc>
        <w:tc>
          <w:tcPr>
            <w:tcW w:type="dxa" w:w="3255"/>
            <w:vAlign w:val="center"/>
          </w:tcPr>
          <w:p>
            <w:r>
              <w:t>Alternative US$14.98 regular price; availability unconfirmed</w:t>
            </w:r>
          </w:p>
        </w:tc>
      </w:tr>
      <w:tr>
        <w:tc>
          <w:tcPr>
            <w:tcW w:type="dxa" w:w="3255"/>
            <w:vAlign w:val="center"/>
          </w:tcPr>
          <w:p>
            <w:r>
              <w:t>.com renewal (Namecheap)</w:t>
            </w:r>
          </w:p>
        </w:tc>
        <w:tc>
          <w:tcPr>
            <w:tcW w:type="dxa" w:w="3255"/>
            <w:vAlign w:val="center"/>
          </w:tcPr>
          <w:p>
            <w:r>
              <w:t>US$18.48</w:t>
            </w:r>
          </w:p>
        </w:tc>
        <w:tc>
          <w:tcPr>
            <w:tcW w:type="dxa" w:w="3255"/>
            <w:vAlign w:val="center"/>
          </w:tcPr>
          <w:p>
            <w:r>
              <w:t>Annual renewal; quoted publicly</w:t>
            </w:r>
          </w:p>
        </w:tc>
      </w:tr>
      <w:tr>
        <w:tc>
          <w:tcPr>
            <w:tcW w:type="dxa" w:w="3255"/>
            <w:vAlign w:val="center"/>
          </w:tcPr>
          <w:p>
            <w:r>
              <w:t>SSL</w:t>
            </w:r>
          </w:p>
        </w:tc>
        <w:tc>
          <w:tcPr>
            <w:tcW w:type="dxa" w:w="3255"/>
            <w:vAlign w:val="center"/>
          </w:tcPr>
          <w:p>
            <w:r>
              <w:t>US$0 additional on selected hosting</w:t>
            </w:r>
          </w:p>
        </w:tc>
        <w:tc>
          <w:tcPr>
            <w:tcW w:type="dxa" w:w="3255"/>
            <w:vAlign w:val="center"/>
          </w:tcPr>
          <w:p>
            <w:r>
              <w:t>Provider includes certificate; renewal depends on hosting</w:t>
            </w:r>
          </w:p>
        </w:tc>
      </w:tr>
      <w:tr>
        <w:tc>
          <w:tcPr>
            <w:tcW w:type="dxa" w:w="3255"/>
            <w:vAlign w:val="center"/>
          </w:tcPr>
          <w:p>
            <w:r>
              <w:t>Paystack Ghana domestic payment fees</w:t>
            </w:r>
          </w:p>
        </w:tc>
        <w:tc>
          <w:tcPr>
            <w:tcW w:type="dxa" w:w="3255"/>
            <w:vAlign w:val="center"/>
          </w:tcPr>
          <w:p>
            <w:r>
              <w:t>1.95% of each processed payment</w:t>
            </w:r>
          </w:p>
        </w:tc>
        <w:tc>
          <w:tcPr>
            <w:tcW w:type="dxa" w:w="3255"/>
            <w:vAlign w:val="center"/>
          </w:tcPr>
          <w:p>
            <w:r>
              <w:t>Usage based; deducted from receipts</w:t>
            </w:r>
          </w:p>
        </w:tc>
      </w:tr>
      <w:tr>
        <w:tc>
          <w:tcPr>
            <w:tcW w:type="dxa" w:w="3255"/>
            <w:vAlign w:val="center"/>
          </w:tcPr>
          <w:p>
            <w:r>
              <w:t>Transactional email and backups</w:t>
            </w:r>
          </w:p>
        </w:tc>
        <w:tc>
          <w:tcPr>
            <w:tcW w:type="dxa" w:w="3255"/>
            <w:vAlign w:val="center"/>
          </w:tcPr>
          <w:p>
            <w:r>
              <w:t>GH₵0–600/year provisional budget</w:t>
            </w:r>
          </w:p>
        </w:tc>
        <w:tc>
          <w:tcPr>
            <w:tcW w:type="dxa" w:w="3255"/>
            <w:vAlign w:val="center"/>
          </w:tcPr>
          <w:p>
            <w:r>
              <w:t>Cost varies by free quotas, storage and backup plan</w:t>
            </w:r>
          </w:p>
        </w:tc>
      </w:tr>
      <w:tr>
        <w:tc>
          <w:tcPr>
            <w:tcW w:type="dxa" w:w="3255"/>
            <w:vAlign w:val="center"/>
          </w:tcPr>
          <w:p>
            <w:r>
              <w:t>Automated WhatsApp alerts</w:t>
            </w:r>
          </w:p>
        </w:tc>
        <w:tc>
          <w:tcPr>
            <w:tcW w:type="dxa" w:w="3255"/>
            <w:vAlign w:val="center"/>
          </w:tcPr>
          <w:p>
            <w:r>
              <w:t>Not priced</w:t>
            </w:r>
          </w:p>
        </w:tc>
        <w:tc>
          <w:tcPr>
            <w:tcW w:type="dxa" w:w="3255"/>
            <w:vAlign w:val="center"/>
          </w:tcPr>
          <w:p>
            <w:r>
              <w:t>Optional third-party API / template fees; not in Phase 1</w:t>
            </w:r>
          </w:p>
        </w:tc>
      </w:tr>
    </w:tbl>
    <w:p/>
    <w:p>
      <w:r>
        <w:t>Illustrative USD subscriptions total about US$70.68 in year one (US$59.40 hosting + US$11.28 domain) and US$77.88 in renewal years (hosting + US$18.48 domain), before taxes, currency conversion, extras or promotional changes. These are not Ghana cedi totals.</w:t>
      </w:r>
    </w:p>
    <w:p>
      <w:r>
        <w:t>Sources: https://www.smarterasp.net/index.ASP ; https://www.namecheap.com/domains/registration/gtld/com/ ; https://support.paystack.com/en/articles/2130306 .</w:t>
      </w:r>
    </w:p>
    <w:p>
      <w:pPr>
        <w:pStyle w:val="Heading1"/>
      </w:pPr>
      <w:r>
        <w:t>9. Project investment and three-year operating cost projections</w:t>
      </w:r>
    </w:p>
    <w:p>
      <w:r>
        <w:t>The following projections concern the cost of acquiring, operating and maintaining the proposed software, NOT expected sales, orders, business profits or a guaranteed return on investment. They use the hosting and domain price snapshot in Section 8. Third-party charges may change, and USD payments are converted by the card issuer at the prevailing exchange rate.</w:t>
      </w:r>
    </w:p>
    <w:p>
      <w:pPr>
        <w:pStyle w:val="Heading2"/>
      </w:pPr>
      <w:r>
        <w:t>9.1 Initial launch investment</w:t>
      </w:r>
    </w:p>
    <w:tbl>
      <w:tblPr>
        <w:tblStyle w:val="LightShading-Accent1"/>
        <w:tblW w:type="auto" w:w="0"/>
        <w:tblLook w:firstColumn="1" w:firstRow="1" w:lastColumn="0" w:lastRow="0" w:noHBand="0" w:noVBand="1" w:val="04A0"/>
      </w:tblPr>
      <w:tblGrid>
        <w:gridCol w:w="3255"/>
        <w:gridCol w:w="3255"/>
        <w:gridCol w:w="3255"/>
      </w:tblGrid>
      <w:tr>
        <w:tc>
          <w:tcPr>
            <w:tcW w:type="dxa" w:w="3255"/>
            <w:vAlign w:val="center"/>
          </w:tcPr>
          <w:p>
            <w:r>
              <w:rPr>
                <w:sz w:val="16"/>
              </w:rPr>
              <w:t>Item</w:t>
            </w:r>
          </w:p>
        </w:tc>
        <w:tc>
          <w:tcPr>
            <w:tcW w:type="dxa" w:w="3255"/>
            <w:vAlign w:val="center"/>
          </w:tcPr>
          <w:p>
            <w:r>
              <w:rPr>
                <w:sz w:val="16"/>
              </w:rPr>
              <w:t>Budget</w:t>
            </w:r>
          </w:p>
        </w:tc>
        <w:tc>
          <w:tcPr>
            <w:tcW w:type="dxa" w:w="3255"/>
            <w:vAlign w:val="center"/>
          </w:tcPr>
          <w:p>
            <w:r>
              <w:rPr>
                <w:sz w:val="16"/>
              </w:rPr>
              <w:t>Treatment</w:t>
            </w:r>
          </w:p>
        </w:tc>
      </w:tr>
      <w:tr>
        <w:tc>
          <w:tcPr>
            <w:tcW w:type="dxa" w:w="3255"/>
            <w:vAlign w:val="center"/>
          </w:tcPr>
          <w:p>
            <w:r>
              <w:rPr>
                <w:sz w:val="16"/>
              </w:rPr>
              <w:t>Fixed-scope website design and development</w:t>
            </w:r>
          </w:p>
        </w:tc>
        <w:tc>
          <w:tcPr>
            <w:tcW w:type="dxa" w:w="3255"/>
            <w:vAlign w:val="center"/>
          </w:tcPr>
          <w:p>
            <w:r>
              <w:rPr>
                <w:sz w:val="16"/>
              </w:rPr>
              <w:t>GH₵9,000</w:t>
            </w:r>
          </w:p>
        </w:tc>
        <w:tc>
          <w:tcPr>
            <w:tcW w:type="dxa" w:w="3255"/>
            <w:vAlign w:val="center"/>
          </w:tcPr>
          <w:p>
            <w:r>
              <w:rPr>
                <w:sz w:val="16"/>
              </w:rPr>
              <w:t>One-time fee payable in agreed milestones</w:t>
            </w:r>
          </w:p>
        </w:tc>
      </w:tr>
      <w:tr>
        <w:tc>
          <w:tcPr>
            <w:tcW w:type="dxa" w:w="3255"/>
            <w:vAlign w:val="center"/>
          </w:tcPr>
          <w:p>
            <w:r>
              <w:rPr>
                <w:sz w:val="16"/>
              </w:rPr>
              <w:t>ASP.NET hosting (12 months)</w:t>
            </w:r>
          </w:p>
        </w:tc>
        <w:tc>
          <w:tcPr>
            <w:tcW w:type="dxa" w:w="3255"/>
            <w:vAlign w:val="center"/>
          </w:tcPr>
          <w:p>
            <w:r>
              <w:rPr>
                <w:sz w:val="16"/>
              </w:rPr>
              <w:t>US$59.40</w:t>
            </w:r>
          </w:p>
        </w:tc>
        <w:tc>
          <w:tcPr>
            <w:tcW w:type="dxa" w:w="3255"/>
            <w:vAlign w:val="center"/>
          </w:tcPr>
          <w:p>
            <w:r>
              <w:rPr>
                <w:sz w:val="16"/>
              </w:rPr>
              <w:t>Indicative subscription; verify billing cycle and included database allowance</w:t>
            </w:r>
          </w:p>
        </w:tc>
      </w:tr>
      <w:tr>
        <w:tc>
          <w:tcPr>
            <w:tcW w:type="dxa" w:w="3255"/>
            <w:vAlign w:val="center"/>
          </w:tcPr>
          <w:p>
            <w:r>
              <w:rPr>
                <w:sz w:val="16"/>
              </w:rPr>
              <w:t>.com domain (first year)</w:t>
            </w:r>
          </w:p>
        </w:tc>
        <w:tc>
          <w:tcPr>
            <w:tcW w:type="dxa" w:w="3255"/>
            <w:vAlign w:val="center"/>
          </w:tcPr>
          <w:p>
            <w:r>
              <w:rPr>
                <w:sz w:val="16"/>
              </w:rPr>
              <w:t>US$11.28</w:t>
            </w:r>
          </w:p>
        </w:tc>
        <w:tc>
          <w:tcPr>
            <w:tcW w:type="dxa" w:w="3255"/>
            <w:vAlign w:val="center"/>
          </w:tcPr>
          <w:p>
            <w:r>
              <w:rPr>
                <w:sz w:val="16"/>
              </w:rPr>
              <w:t>Indicative promotional registration; preferred name not checked</w:t>
            </w:r>
          </w:p>
        </w:tc>
      </w:tr>
      <w:tr>
        <w:tc>
          <w:tcPr>
            <w:tcW w:type="dxa" w:w="3255"/>
            <w:vAlign w:val="center"/>
          </w:tcPr>
          <w:p>
            <w:r>
              <w:rPr>
                <w:sz w:val="16"/>
              </w:rPr>
              <w:t>SSL certificate</w:t>
            </w:r>
          </w:p>
        </w:tc>
        <w:tc>
          <w:tcPr>
            <w:tcW w:type="dxa" w:w="3255"/>
            <w:vAlign w:val="center"/>
          </w:tcPr>
          <w:p>
            <w:r>
              <w:rPr>
                <w:sz w:val="16"/>
              </w:rPr>
              <w:t>US$0 extra</w:t>
            </w:r>
          </w:p>
        </w:tc>
        <w:tc>
          <w:tcPr>
            <w:tcW w:type="dxa" w:w="3255"/>
            <w:vAlign w:val="center"/>
          </w:tcPr>
          <w:p>
            <w:r>
              <w:rPr>
                <w:sz w:val="16"/>
              </w:rPr>
              <w:t>Included where hosting plan provisions SSL</w:t>
            </w:r>
          </w:p>
        </w:tc>
      </w:tr>
      <w:tr>
        <w:tc>
          <w:tcPr>
            <w:tcW w:type="dxa" w:w="3255"/>
            <w:vAlign w:val="center"/>
          </w:tcPr>
          <w:p>
            <w:r>
              <w:rPr>
                <w:sz w:val="16"/>
              </w:rPr>
              <w:t>Email and backup allowance</w:t>
            </w:r>
          </w:p>
        </w:tc>
        <w:tc>
          <w:tcPr>
            <w:tcW w:type="dxa" w:w="3255"/>
            <w:vAlign w:val="center"/>
          </w:tcPr>
          <w:p>
            <w:r>
              <w:rPr>
                <w:sz w:val="16"/>
              </w:rPr>
              <w:t>GH₵0–600</w:t>
            </w:r>
          </w:p>
        </w:tc>
        <w:tc>
          <w:tcPr>
            <w:tcW w:type="dxa" w:w="3255"/>
            <w:vAlign w:val="center"/>
          </w:tcPr>
          <w:p>
            <w:r>
              <w:rPr>
                <w:sz w:val="16"/>
              </w:rPr>
              <w:t>Provisional first-year allowance; not part of GH₵9,000 fee</w:t>
            </w:r>
          </w:p>
        </w:tc>
      </w:tr>
      <w:tr>
        <w:tc>
          <w:tcPr>
            <w:tcW w:type="dxa" w:w="3255"/>
            <w:vAlign w:val="center"/>
          </w:tcPr>
          <w:p>
            <w:r>
              <w:rPr>
                <w:sz w:val="16"/>
              </w:rPr>
              <w:t>Payment processing</w:t>
            </w:r>
          </w:p>
        </w:tc>
        <w:tc>
          <w:tcPr>
            <w:tcW w:type="dxa" w:w="3255"/>
            <w:vAlign w:val="center"/>
          </w:tcPr>
          <w:p>
            <w:r>
              <w:rPr>
                <w:sz w:val="16"/>
              </w:rPr>
              <w:t>1.95% of applicable payment value</w:t>
            </w:r>
          </w:p>
        </w:tc>
        <w:tc>
          <w:tcPr>
            <w:tcW w:type="dxa" w:w="3255"/>
            <w:vAlign w:val="center"/>
          </w:tcPr>
          <w:p>
            <w:r>
              <w:rPr>
                <w:sz w:val="16"/>
              </w:rPr>
              <w:t>Variable cost deducted on eligible gateway transactions</w:t>
            </w:r>
          </w:p>
        </w:tc>
      </w:tr>
    </w:tbl>
    <w:p>
      <w:r>
        <w:t>Estimated first-year commitment, excluding transaction fees, optional maintenance, taxes and FX adjustments: GH₵9,000 plus US$70.68 in hosting/domain charges, plus any GH₵0–600 email/backup allowance. This is a mixed-currency total, not a guaranteed Ghana-cedi checkout price.</w:t>
      </w:r>
    </w:p>
    <w:p>
      <w:pPr>
        <w:pStyle w:val="Heading2"/>
      </w:pPr>
      <w:r>
        <w:t>9.2 Three-year baseline cost of ownership</w:t>
      </w:r>
    </w:p>
    <w:tbl>
      <w:tblPr>
        <w:tblStyle w:val="LightShading-Accent1"/>
        <w:tblW w:type="auto" w:w="0"/>
        <w:tblLook w:firstColumn="1" w:firstRow="1" w:lastColumn="0" w:lastRow="0" w:noHBand="0" w:noVBand="1" w:val="04A0"/>
      </w:tblPr>
      <w:tblGrid>
        <w:gridCol w:w="1953"/>
        <w:gridCol w:w="1953"/>
        <w:gridCol w:w="1953"/>
        <w:gridCol w:w="1953"/>
        <w:gridCol w:w="1953"/>
      </w:tblGrid>
      <w:tr>
        <w:tc>
          <w:tcPr>
            <w:tcW w:type="dxa" w:w="1953"/>
            <w:vAlign w:val="center"/>
          </w:tcPr>
          <w:p>
            <w:r>
              <w:rPr>
                <w:sz w:val="16"/>
              </w:rPr>
              <w:t>Cost item</w:t>
            </w:r>
          </w:p>
        </w:tc>
        <w:tc>
          <w:tcPr>
            <w:tcW w:type="dxa" w:w="1953"/>
            <w:vAlign w:val="center"/>
          </w:tcPr>
          <w:p>
            <w:r>
              <w:rPr>
                <w:sz w:val="16"/>
              </w:rPr>
              <w:t>Year 1</w:t>
            </w:r>
          </w:p>
        </w:tc>
        <w:tc>
          <w:tcPr>
            <w:tcW w:type="dxa" w:w="1953"/>
            <w:vAlign w:val="center"/>
          </w:tcPr>
          <w:p>
            <w:r>
              <w:rPr>
                <w:sz w:val="16"/>
              </w:rPr>
              <w:t>Year 2</w:t>
            </w:r>
          </w:p>
        </w:tc>
        <w:tc>
          <w:tcPr>
            <w:tcW w:type="dxa" w:w="1953"/>
            <w:vAlign w:val="center"/>
          </w:tcPr>
          <w:p>
            <w:r>
              <w:rPr>
                <w:sz w:val="16"/>
              </w:rPr>
              <w:t>Year 3</w:t>
            </w:r>
          </w:p>
        </w:tc>
        <w:tc>
          <w:tcPr>
            <w:tcW w:type="dxa" w:w="1953"/>
            <w:vAlign w:val="center"/>
          </w:tcPr>
          <w:p>
            <w:r>
              <w:rPr>
                <w:sz w:val="16"/>
              </w:rPr>
              <w:t>3-year total</w:t>
            </w:r>
          </w:p>
        </w:tc>
      </w:tr>
      <w:tr>
        <w:tc>
          <w:tcPr>
            <w:tcW w:type="dxa" w:w="1953"/>
            <w:vAlign w:val="center"/>
          </w:tcPr>
          <w:p>
            <w:r>
              <w:rPr>
                <w:sz w:val="16"/>
              </w:rPr>
              <w:t>Development (GH₵)</w:t>
            </w:r>
          </w:p>
        </w:tc>
        <w:tc>
          <w:tcPr>
            <w:tcW w:type="dxa" w:w="1953"/>
            <w:vAlign w:val="center"/>
          </w:tcPr>
          <w:p>
            <w:r>
              <w:rPr>
                <w:sz w:val="16"/>
              </w:rPr>
              <w:t>9,000</w:t>
            </w:r>
          </w:p>
        </w:tc>
        <w:tc>
          <w:tcPr>
            <w:tcW w:type="dxa" w:w="1953"/>
            <w:vAlign w:val="center"/>
          </w:tcPr>
          <w:p>
            <w:r>
              <w:rPr>
                <w:sz w:val="16"/>
              </w:rPr>
              <w:t>0</w:t>
            </w:r>
          </w:p>
        </w:tc>
        <w:tc>
          <w:tcPr>
            <w:tcW w:type="dxa" w:w="1953"/>
            <w:vAlign w:val="center"/>
          </w:tcPr>
          <w:p>
            <w:r>
              <w:rPr>
                <w:sz w:val="16"/>
              </w:rPr>
              <w:t>0</w:t>
            </w:r>
          </w:p>
        </w:tc>
        <w:tc>
          <w:tcPr>
            <w:tcW w:type="dxa" w:w="1953"/>
            <w:vAlign w:val="center"/>
          </w:tcPr>
          <w:p>
            <w:r>
              <w:rPr>
                <w:sz w:val="16"/>
              </w:rPr>
              <w:t>9,000</w:t>
            </w:r>
          </w:p>
        </w:tc>
      </w:tr>
      <w:tr>
        <w:tc>
          <w:tcPr>
            <w:tcW w:type="dxa" w:w="1953"/>
            <w:vAlign w:val="center"/>
          </w:tcPr>
          <w:p>
            <w:r>
              <w:rPr>
                <w:sz w:val="16"/>
              </w:rPr>
              <w:t>Hosting (US$)</w:t>
            </w:r>
          </w:p>
        </w:tc>
        <w:tc>
          <w:tcPr>
            <w:tcW w:type="dxa" w:w="1953"/>
            <w:vAlign w:val="center"/>
          </w:tcPr>
          <w:p>
            <w:r>
              <w:rPr>
                <w:sz w:val="16"/>
              </w:rPr>
              <w:t>59.40</w:t>
            </w:r>
          </w:p>
        </w:tc>
        <w:tc>
          <w:tcPr>
            <w:tcW w:type="dxa" w:w="1953"/>
            <w:vAlign w:val="center"/>
          </w:tcPr>
          <w:p>
            <w:r>
              <w:rPr>
                <w:sz w:val="16"/>
              </w:rPr>
              <w:t>59.40</w:t>
            </w:r>
          </w:p>
        </w:tc>
        <w:tc>
          <w:tcPr>
            <w:tcW w:type="dxa" w:w="1953"/>
            <w:vAlign w:val="center"/>
          </w:tcPr>
          <w:p>
            <w:r>
              <w:rPr>
                <w:sz w:val="16"/>
              </w:rPr>
              <w:t>59.40</w:t>
            </w:r>
          </w:p>
        </w:tc>
        <w:tc>
          <w:tcPr>
            <w:tcW w:type="dxa" w:w="1953"/>
            <w:vAlign w:val="center"/>
          </w:tcPr>
          <w:p>
            <w:r>
              <w:rPr>
                <w:sz w:val="16"/>
              </w:rPr>
              <w:t>178.20</w:t>
            </w:r>
          </w:p>
        </w:tc>
      </w:tr>
      <w:tr>
        <w:tc>
          <w:tcPr>
            <w:tcW w:type="dxa" w:w="1953"/>
            <w:vAlign w:val="center"/>
          </w:tcPr>
          <w:p>
            <w:r>
              <w:rPr>
                <w:sz w:val="16"/>
              </w:rPr>
              <w:t>Domain (US$)</w:t>
            </w:r>
          </w:p>
        </w:tc>
        <w:tc>
          <w:tcPr>
            <w:tcW w:type="dxa" w:w="1953"/>
            <w:vAlign w:val="center"/>
          </w:tcPr>
          <w:p>
            <w:r>
              <w:rPr>
                <w:sz w:val="16"/>
              </w:rPr>
              <w:t>11.28</w:t>
            </w:r>
          </w:p>
        </w:tc>
        <w:tc>
          <w:tcPr>
            <w:tcW w:type="dxa" w:w="1953"/>
            <w:vAlign w:val="center"/>
          </w:tcPr>
          <w:p>
            <w:r>
              <w:rPr>
                <w:sz w:val="16"/>
              </w:rPr>
              <w:t>18.48</w:t>
            </w:r>
          </w:p>
        </w:tc>
        <w:tc>
          <w:tcPr>
            <w:tcW w:type="dxa" w:w="1953"/>
            <w:vAlign w:val="center"/>
          </w:tcPr>
          <w:p>
            <w:r>
              <w:rPr>
                <w:sz w:val="16"/>
              </w:rPr>
              <w:t>18.48</w:t>
            </w:r>
          </w:p>
        </w:tc>
        <w:tc>
          <w:tcPr>
            <w:tcW w:type="dxa" w:w="1953"/>
            <w:vAlign w:val="center"/>
          </w:tcPr>
          <w:p>
            <w:r>
              <w:rPr>
                <w:sz w:val="16"/>
              </w:rPr>
              <w:t>48.24</w:t>
            </w:r>
          </w:p>
        </w:tc>
      </w:tr>
      <w:tr>
        <w:tc>
          <w:tcPr>
            <w:tcW w:type="dxa" w:w="1953"/>
            <w:vAlign w:val="center"/>
          </w:tcPr>
          <w:p>
            <w:r>
              <w:rPr>
                <w:sz w:val="16"/>
              </w:rPr>
              <w:t>Hosting + domain (US$)</w:t>
            </w:r>
          </w:p>
        </w:tc>
        <w:tc>
          <w:tcPr>
            <w:tcW w:type="dxa" w:w="1953"/>
            <w:vAlign w:val="center"/>
          </w:tcPr>
          <w:p>
            <w:r>
              <w:rPr>
                <w:sz w:val="16"/>
              </w:rPr>
              <w:t>70.68</w:t>
            </w:r>
          </w:p>
        </w:tc>
        <w:tc>
          <w:tcPr>
            <w:tcW w:type="dxa" w:w="1953"/>
            <w:vAlign w:val="center"/>
          </w:tcPr>
          <w:p>
            <w:r>
              <w:rPr>
                <w:sz w:val="16"/>
              </w:rPr>
              <w:t>77.88</w:t>
            </w:r>
          </w:p>
        </w:tc>
        <w:tc>
          <w:tcPr>
            <w:tcW w:type="dxa" w:w="1953"/>
            <w:vAlign w:val="center"/>
          </w:tcPr>
          <w:p>
            <w:r>
              <w:rPr>
                <w:sz w:val="16"/>
              </w:rPr>
              <w:t>77.88</w:t>
            </w:r>
          </w:p>
        </w:tc>
        <w:tc>
          <w:tcPr>
            <w:tcW w:type="dxa" w:w="1953"/>
            <w:vAlign w:val="center"/>
          </w:tcPr>
          <w:p>
            <w:r>
              <w:rPr>
                <w:sz w:val="16"/>
              </w:rPr>
              <w:t>226.44</w:t>
            </w:r>
          </w:p>
        </w:tc>
      </w:tr>
      <w:tr>
        <w:tc>
          <w:tcPr>
            <w:tcW w:type="dxa" w:w="1953"/>
            <w:vAlign w:val="center"/>
          </w:tcPr>
          <w:p>
            <w:r>
              <w:rPr>
                <w:sz w:val="16"/>
              </w:rPr>
              <w:t>Email / backup allowance (GH₵)</w:t>
            </w:r>
          </w:p>
        </w:tc>
        <w:tc>
          <w:tcPr>
            <w:tcW w:type="dxa" w:w="1953"/>
            <w:vAlign w:val="center"/>
          </w:tcPr>
          <w:p>
            <w:r>
              <w:rPr>
                <w:sz w:val="16"/>
              </w:rPr>
              <w:t>0–600</w:t>
            </w:r>
          </w:p>
        </w:tc>
        <w:tc>
          <w:tcPr>
            <w:tcW w:type="dxa" w:w="1953"/>
            <w:vAlign w:val="center"/>
          </w:tcPr>
          <w:p>
            <w:r>
              <w:rPr>
                <w:sz w:val="16"/>
              </w:rPr>
              <w:t>0–600</w:t>
            </w:r>
          </w:p>
        </w:tc>
        <w:tc>
          <w:tcPr>
            <w:tcW w:type="dxa" w:w="1953"/>
            <w:vAlign w:val="center"/>
          </w:tcPr>
          <w:p>
            <w:r>
              <w:rPr>
                <w:sz w:val="16"/>
              </w:rPr>
              <w:t>0–600</w:t>
            </w:r>
          </w:p>
        </w:tc>
        <w:tc>
          <w:tcPr>
            <w:tcW w:type="dxa" w:w="1953"/>
            <w:vAlign w:val="center"/>
          </w:tcPr>
          <w:p>
            <w:r>
              <w:rPr>
                <w:sz w:val="16"/>
              </w:rPr>
              <w:t>0–1,800</w:t>
            </w:r>
          </w:p>
        </w:tc>
      </w:tr>
    </w:tbl>
    <w:p>
      <w:r>
        <w:t>Baseline projection assumes the selected hosting remains at US$4.95/month (US$59.40/year), the initial .com domain promotion is available at US$11.28, and subsequent annual renewal is US$18.48. It excludes optional support, payment transaction fees, premium plugins, tax, exchange-rate changes, and any usage-based service charges.</w:t>
      </w:r>
    </w:p>
    <w:p>
      <w:pPr>
        <w:pStyle w:val="Heading2"/>
      </w:pPr>
      <w:r>
        <w:t>9.3 Optional post-launch maintenance and support</w:t>
      </w:r>
    </w:p>
    <w:p>
      <w:r>
        <w:t>The development price includes the defect-warranty period described in Section 13; it does not include perpetual maintenance. For budgeting only, the client may elect a separate support agreement at an illustrative GH₵250 per month (GH₵3,000 annually), subject to an agreed service scope and signed quotation. The illustrative 36-month maintenance spend would be GH₵9,000 if charged from launch; this is NOT included in the project fee and is NOT a binding support offer.</w:t>
      </w:r>
    </w:p>
    <w:p>
      <w:r>
        <w:t>A maintenance agreement could cover security updates, routine health checks, backup verification and minor content assistance. Major feature requests, integrations, hosting migration, third-party outages and large data uploads should be quoted separately.</w:t>
      </w:r>
    </w:p>
    <w:p>
      <w:pPr>
        <w:pStyle w:val="Heading2"/>
      </w:pPr>
      <w:r>
        <w:t>9.4 Variable charges and budget sensitivity</w:t>
      </w:r>
    </w:p>
    <w:tbl>
      <w:tblPr>
        <w:tblStyle w:val="LightShading-Accent1"/>
        <w:tblW w:type="auto" w:w="0"/>
        <w:tblLook w:firstColumn="1" w:firstRow="1" w:lastColumn="0" w:lastRow="0" w:noHBand="0" w:noVBand="1" w:val="04A0"/>
      </w:tblPr>
      <w:tblGrid>
        <w:gridCol w:w="3255"/>
        <w:gridCol w:w="3255"/>
        <w:gridCol w:w="3255"/>
      </w:tblGrid>
      <w:tr>
        <w:tc>
          <w:tcPr>
            <w:tcW w:type="dxa" w:w="3255"/>
            <w:vAlign w:val="center"/>
          </w:tcPr>
          <w:p>
            <w:r>
              <w:rPr>
                <w:sz w:val="16"/>
              </w:rPr>
              <w:t>Cost driver</w:t>
            </w:r>
          </w:p>
        </w:tc>
        <w:tc>
          <w:tcPr>
            <w:tcW w:type="dxa" w:w="3255"/>
            <w:vAlign w:val="center"/>
          </w:tcPr>
          <w:p>
            <w:r>
              <w:rPr>
                <w:sz w:val="16"/>
              </w:rPr>
              <w:t>Planning method</w:t>
            </w:r>
          </w:p>
        </w:tc>
        <w:tc>
          <w:tcPr>
            <w:tcW w:type="dxa" w:w="3255"/>
            <w:vAlign w:val="center"/>
          </w:tcPr>
          <w:p>
            <w:r>
              <w:rPr>
                <w:sz w:val="16"/>
              </w:rPr>
              <w:t>Budget effect</w:t>
            </w:r>
          </w:p>
        </w:tc>
      </w:tr>
      <w:tr>
        <w:tc>
          <w:tcPr>
            <w:tcW w:type="dxa" w:w="3255"/>
            <w:vAlign w:val="center"/>
          </w:tcPr>
          <w:p>
            <w:r>
              <w:rPr>
                <w:sz w:val="16"/>
              </w:rPr>
              <w:t>Payment gateway</w:t>
            </w:r>
          </w:p>
        </w:tc>
        <w:tc>
          <w:tcPr>
            <w:tcW w:type="dxa" w:w="3255"/>
            <w:vAlign w:val="center"/>
          </w:tcPr>
          <w:p>
            <w:r>
              <w:rPr>
                <w:sz w:val="16"/>
              </w:rPr>
              <w:t>Eligible monthly online payment volume × 1.95%</w:t>
            </w:r>
          </w:p>
        </w:tc>
        <w:tc>
          <w:tcPr>
            <w:tcW w:type="dxa" w:w="3255"/>
            <w:vAlign w:val="center"/>
          </w:tcPr>
          <w:p>
            <w:r>
              <w:rPr>
                <w:sz w:val="16"/>
              </w:rPr>
              <w:t>Example: GH₵10,000 processed =&gt; GH₵195 fee; illustrative only</w:t>
            </w:r>
          </w:p>
        </w:tc>
      </w:tr>
      <w:tr>
        <w:tc>
          <w:tcPr>
            <w:tcW w:type="dxa" w:w="3255"/>
            <w:vAlign w:val="center"/>
          </w:tcPr>
          <w:p>
            <w:r>
              <w:rPr>
                <w:sz w:val="16"/>
              </w:rPr>
              <w:t>Foreign-currency subscription</w:t>
            </w:r>
          </w:p>
        </w:tc>
        <w:tc>
          <w:tcPr>
            <w:tcW w:type="dxa" w:w="3255"/>
            <w:vAlign w:val="center"/>
          </w:tcPr>
          <w:p>
            <w:r>
              <w:rPr>
                <w:sz w:val="16"/>
              </w:rPr>
              <w:t>US$ amount × actual settlement exchange rate</w:t>
            </w:r>
          </w:p>
        </w:tc>
        <w:tc>
          <w:tcPr>
            <w:tcW w:type="dxa" w:w="3255"/>
            <w:vAlign w:val="center"/>
          </w:tcPr>
          <w:p>
            <w:r>
              <w:rPr>
                <w:sz w:val="16"/>
              </w:rPr>
              <w:t>A GH₵1 increase per US$ raises 3-year hosting/domain spend by about GH₵226.44</w:t>
            </w:r>
          </w:p>
        </w:tc>
      </w:tr>
      <w:tr>
        <w:tc>
          <w:tcPr>
            <w:tcW w:type="dxa" w:w="3255"/>
            <w:vAlign w:val="center"/>
          </w:tcPr>
          <w:p>
            <w:r>
              <w:rPr>
                <w:sz w:val="16"/>
              </w:rPr>
              <w:t>Domain, hosting plan, VAT or taxes</w:t>
            </w:r>
          </w:p>
        </w:tc>
        <w:tc>
          <w:tcPr>
            <w:tcW w:type="dxa" w:w="3255"/>
            <w:vAlign w:val="center"/>
          </w:tcPr>
          <w:p>
            <w:r>
              <w:rPr>
                <w:sz w:val="16"/>
              </w:rPr>
              <w:t>Use supplier invoice at purchase/renewal</w:t>
            </w:r>
          </w:p>
        </w:tc>
        <w:tc>
          <w:tcPr>
            <w:tcW w:type="dxa" w:w="3255"/>
            <w:vAlign w:val="center"/>
          </w:tcPr>
          <w:p>
            <w:r>
              <w:rPr>
                <w:sz w:val="16"/>
              </w:rPr>
              <w:t>May increase or decrease from published estimates</w:t>
            </w:r>
          </w:p>
        </w:tc>
      </w:tr>
      <w:tr>
        <w:tc>
          <w:tcPr>
            <w:tcW w:type="dxa" w:w="3255"/>
            <w:vAlign w:val="center"/>
          </w:tcPr>
          <w:p>
            <w:r>
              <w:rPr>
                <w:sz w:val="16"/>
              </w:rPr>
              <w:t>Automated WhatsApp notifications</w:t>
            </w:r>
          </w:p>
        </w:tc>
        <w:tc>
          <w:tcPr>
            <w:tcW w:type="dxa" w:w="3255"/>
            <w:vAlign w:val="center"/>
          </w:tcPr>
          <w:p>
            <w:r>
              <w:rPr>
                <w:sz w:val="16"/>
              </w:rPr>
              <w:t>Provider and template rate × messages sent</w:t>
            </w:r>
          </w:p>
        </w:tc>
        <w:tc>
          <w:tcPr>
            <w:tcW w:type="dxa" w:w="3255"/>
            <w:vAlign w:val="center"/>
          </w:tcPr>
          <w:p>
            <w:r>
              <w:rPr>
                <w:sz w:val="16"/>
              </w:rPr>
              <w:t>Excluded from Phase 1; separately approved if requested</w:t>
            </w:r>
          </w:p>
        </w:tc>
      </w:tr>
      <w:tr>
        <w:tc>
          <w:tcPr>
            <w:tcW w:type="dxa" w:w="3255"/>
            <w:vAlign w:val="center"/>
          </w:tcPr>
          <w:p>
            <w:r>
              <w:rPr>
                <w:sz w:val="16"/>
              </w:rPr>
              <w:t>Business growth / additional storage</w:t>
            </w:r>
          </w:p>
        </w:tc>
        <w:tc>
          <w:tcPr>
            <w:tcW w:type="dxa" w:w="3255"/>
            <w:vAlign w:val="center"/>
          </w:tcPr>
          <w:p>
            <w:r>
              <w:rPr>
                <w:sz w:val="16"/>
              </w:rPr>
              <w:t>Upgrade to higher plan when limits require</w:t>
            </w:r>
          </w:p>
        </w:tc>
        <w:tc>
          <w:tcPr>
            <w:tcW w:type="dxa" w:w="3255"/>
            <w:vAlign w:val="center"/>
          </w:tcPr>
          <w:p>
            <w:r>
              <w:rPr>
                <w:sz w:val="16"/>
              </w:rPr>
              <w:t>Additional spend only after approved upgrade</w:t>
            </w:r>
          </w:p>
        </w:tc>
      </w:tr>
    </w:tbl>
    <w:p>
      <w:pPr>
        <w:pStyle w:val="Heading2"/>
      </w:pPr>
      <w:r>
        <w:t>9.5 Financial controls and procurement recommendations</w:t>
      </w:r>
    </w:p>
    <w:p>
      <w:pPr>
        <w:pStyle w:val="ListBullet"/>
      </w:pPr>
      <w:r>
        <w:t>Client should register the domain and hosting account under its own legal name and retain direct access to renewal notices and invoices.</w:t>
      </w:r>
    </w:p>
    <w:p>
      <w:pPr>
        <w:pStyle w:val="ListBullet"/>
      </w:pPr>
      <w:r>
        <w:t>Obtain updated provider quotations and confirm database limits, backup retention, payment gateway onboarding and any taxes before purchasing subscriptions.</w:t>
      </w:r>
    </w:p>
    <w:p>
      <w:pPr>
        <w:pStyle w:val="ListBullet"/>
      </w:pPr>
      <w:r>
        <w:t>Budget for annual renewals separately from the GH₵9,000 one-time software development fee.</w:t>
      </w:r>
    </w:p>
    <w:p>
      <w:pPr>
        <w:pStyle w:val="ListBullet"/>
      </w:pPr>
      <w:r>
        <w:t>Review operating charges after the first 90 days using actual traffic, transaction volumes and hosting consumption rather than assumed sales forecasts.</w:t>
      </w:r>
    </w:p>
    <w:p>
      <w:pPr>
        <w:pStyle w:val="Heading1"/>
      </w:pPr>
      <w:r>
        <w:t>10. Business value and go-to-market recommendations</w:t>
      </w:r>
    </w:p>
    <w:p>
      <w:pPr>
        <w:pStyle w:val="ListNumber"/>
      </w:pPr>
      <w:r>
        <w:t>Before launch, select 50–100 high-frequency products with photographs, variants and reliable price entries; highlight rice, oil, noodles and household staples.</w:t>
      </w:r>
    </w:p>
    <w:p>
      <w:pPr>
        <w:pStyle w:val="ListNumber"/>
      </w:pPr>
      <w:r>
        <w:t>Publish clear location-specific delivery charges, pickup instructions and fulfilment times; avoid promising same-day delivery without capacity.</w:t>
      </w:r>
    </w:p>
    <w:p>
      <w:pPr>
        <w:pStyle w:val="ListNumber"/>
      </w:pPr>
      <w:r>
        <w:t>Use the existing WhatsApp customer network and in-shop signage to drive first orders. Track where each customer heard about the website.</w:t>
      </w:r>
    </w:p>
    <w:p>
      <w:pPr>
        <w:pStyle w:val="ListNumber"/>
      </w:pPr>
      <w:r>
        <w:t>Review actual orders and repeat purchase every month; do not fund ads solely on projected gross revenue.</w:t>
      </w:r>
    </w:p>
    <w:p>
      <w:pPr>
        <w:pStyle w:val="ListNumber"/>
      </w:pPr>
      <w:r>
        <w:t>After 60–90 days of real demand, consider full inventory tracking, automated messaging and a courier integration based on measured bottlenecks.</w:t>
      </w:r>
    </w:p>
    <w:p>
      <w:pPr>
        <w:pStyle w:val="Heading1"/>
      </w:pPr>
      <w:r>
        <w:t>11. Responsibilities, dependencies and governance</w:t>
      </w:r>
    </w:p>
    <w:tbl>
      <w:tblPr>
        <w:tblStyle w:val="LightShading-Accent1"/>
        <w:tblW w:type="auto" w:w="0"/>
        <w:jc w:val="center"/>
        <w:tblLook w:firstColumn="1" w:firstRow="1" w:lastColumn="0" w:lastRow="0" w:noHBand="0" w:noVBand="1" w:val="04A0"/>
      </w:tblPr>
      <w:tblGrid>
        <w:gridCol w:w="4882"/>
        <w:gridCol w:w="4882"/>
      </w:tblGrid>
      <w:tr>
        <w:tc>
          <w:tcPr>
            <w:tcW w:type="dxa" w:w="4882"/>
            <w:vAlign w:val="center"/>
          </w:tcPr>
          <w:p>
            <w:r>
              <w:rPr>
                <w:b/>
                <w:color w:val="0C4850"/>
              </w:rPr>
              <w:t>Client / ILLiasu Local Mall</w:t>
            </w:r>
          </w:p>
        </w:tc>
        <w:tc>
          <w:tcPr>
            <w:tcW w:type="dxa" w:w="4882"/>
            <w:vAlign w:val="center"/>
          </w:tcPr>
          <w:p>
            <w:r>
              <w:rPr>
                <w:b/>
                <w:color w:val="0C4850"/>
              </w:rPr>
              <w:t>Developer / Emmanuel Ofori</w:t>
            </w:r>
          </w:p>
        </w:tc>
      </w:tr>
      <w:tr>
        <w:tc>
          <w:tcPr>
            <w:tcW w:type="dxa" w:w="4882"/>
            <w:vAlign w:val="center"/>
          </w:tcPr>
          <w:p>
            <w:r>
              <w:t>Provide logo, shop profile, product names, accurate prices, images and delivery zone rates</w:t>
            </w:r>
          </w:p>
        </w:tc>
        <w:tc>
          <w:tcPr>
            <w:tcW w:type="dxa" w:w="4882"/>
            <w:vAlign w:val="center"/>
          </w:tcPr>
          <w:p>
            <w:r>
              <w:t>Design and implement the agreed responsive storefront and management system</w:t>
            </w:r>
          </w:p>
        </w:tc>
      </w:tr>
      <w:tr>
        <w:tc>
          <w:tcPr>
            <w:tcW w:type="dxa" w:w="4882"/>
            <w:vAlign w:val="center"/>
          </w:tcPr>
          <w:p>
            <w:r>
              <w:t>Own and verify Paystack merchant account and settle gateway compliance requirements</w:t>
            </w:r>
          </w:p>
        </w:tc>
        <w:tc>
          <w:tcPr>
            <w:tcW w:type="dxa" w:w="4882"/>
            <w:vAlign w:val="center"/>
          </w:tcPr>
          <w:p>
            <w:r>
              <w:t>Integrate supported payment flow and demonstrate server-side verification</w:t>
            </w:r>
          </w:p>
        </w:tc>
      </w:tr>
      <w:tr>
        <w:tc>
          <w:tcPr>
            <w:tcW w:type="dxa" w:w="4882"/>
            <w:vAlign w:val="center"/>
          </w:tcPr>
          <w:p>
            <w:r>
              <w:t>Purchase/own domain, hosting and provider accounts; approve recurring fees</w:t>
            </w:r>
          </w:p>
        </w:tc>
        <w:tc>
          <w:tcPr>
            <w:tcW w:type="dxa" w:w="4882"/>
            <w:vAlign w:val="center"/>
          </w:tcPr>
          <w:p>
            <w:r>
              <w:t>Assist with account setup, DNS, deployment and operational documentation</w:t>
            </w:r>
          </w:p>
        </w:tc>
      </w:tr>
      <w:tr>
        <w:tc>
          <w:tcPr>
            <w:tcW w:type="dxa" w:w="4882"/>
            <w:vAlign w:val="center"/>
          </w:tcPr>
          <w:p>
            <w:r>
              <w:t>Supply prompt feedback and nominate one final decision-maker</w:t>
            </w:r>
          </w:p>
        </w:tc>
        <w:tc>
          <w:tcPr>
            <w:tcW w:type="dxa" w:w="4882"/>
            <w:vAlign w:val="center"/>
          </w:tcPr>
          <w:p>
            <w:r>
              <w:t>Provide staged reviews, progress updates and defect remediation</w:t>
            </w:r>
          </w:p>
        </w:tc>
      </w:tr>
      <w:tr>
        <w:tc>
          <w:tcPr>
            <w:tcW w:type="dxa" w:w="4882"/>
            <w:vAlign w:val="center"/>
          </w:tcPr>
          <w:p>
            <w:r>
              <w:t>Maintain catalogue accuracy, stock availability indicators and customer service</w:t>
            </w:r>
          </w:p>
        </w:tc>
        <w:tc>
          <w:tcPr>
            <w:tcW w:type="dxa" w:w="4882"/>
            <w:vAlign w:val="center"/>
          </w:tcPr>
          <w:p>
            <w:r>
              <w:t>Train assigned admin staff on key workflows and hand over code/assets on full payment</w:t>
            </w:r>
          </w:p>
        </w:tc>
      </w:tr>
    </w:tbl>
    <w:p/>
    <w:p>
      <w:pPr>
        <w:pStyle w:val="Heading1"/>
      </w:pPr>
      <w:r>
        <w:t>12. Project risks and mitigations</w:t>
      </w:r>
    </w:p>
    <w:tbl>
      <w:tblPr>
        <w:tblStyle w:val="LightShading-Accent1"/>
        <w:tblW w:type="auto" w:w="0"/>
        <w:jc w:val="center"/>
        <w:tblLook w:firstColumn="1" w:firstRow="1" w:lastColumn="0" w:lastRow="0" w:noHBand="0" w:noVBand="1" w:val="04A0"/>
      </w:tblPr>
      <w:tblGrid>
        <w:gridCol w:w="4882"/>
        <w:gridCol w:w="4882"/>
      </w:tblGrid>
      <w:tr>
        <w:tc>
          <w:tcPr>
            <w:tcW w:type="dxa" w:w="4882"/>
            <w:vAlign w:val="center"/>
          </w:tcPr>
          <w:p>
            <w:r>
              <w:rPr>
                <w:b/>
                <w:color w:val="0C4850"/>
              </w:rPr>
              <w:t>Risk</w:t>
            </w:r>
          </w:p>
        </w:tc>
        <w:tc>
          <w:tcPr>
            <w:tcW w:type="dxa" w:w="4882"/>
            <w:vAlign w:val="center"/>
          </w:tcPr>
          <w:p>
            <w:r>
              <w:rPr>
                <w:b/>
                <w:color w:val="0C4850"/>
              </w:rPr>
              <w:t>Response / boundary</w:t>
            </w:r>
          </w:p>
        </w:tc>
      </w:tr>
      <w:tr>
        <w:tc>
          <w:tcPr>
            <w:tcW w:type="dxa" w:w="4882"/>
            <w:vAlign w:val="center"/>
          </w:tcPr>
          <w:p>
            <w:r>
              <w:t>Inaccurate catalogue/unknown product count</w:t>
            </w:r>
          </w:p>
        </w:tc>
        <w:tc>
          <w:tcPr>
            <w:tcW w:type="dxa" w:w="4882"/>
            <w:vAlign w:val="center"/>
          </w:tcPr>
          <w:p>
            <w:r>
              <w:t>Start with controlled import template and cap onboarding at 100 products.</w:t>
            </w:r>
          </w:p>
        </w:tc>
      </w:tr>
      <w:tr>
        <w:tc>
          <w:tcPr>
            <w:tcW w:type="dxa" w:w="4882"/>
            <w:vAlign w:val="center"/>
          </w:tcPr>
          <w:p>
            <w:r>
              <w:t>Delivery zone ambiguity</w:t>
            </w:r>
          </w:p>
        </w:tc>
        <w:tc>
          <w:tcPr>
            <w:tcW w:type="dxa" w:w="4882"/>
            <w:vAlign w:val="center"/>
          </w:tcPr>
          <w:p>
            <w:r>
              <w:t>Client approves zone names and fee amounts before checkout is signed off.</w:t>
            </w:r>
          </w:p>
        </w:tc>
      </w:tr>
      <w:tr>
        <w:tc>
          <w:tcPr>
            <w:tcW w:type="dxa" w:w="4882"/>
            <w:vAlign w:val="center"/>
          </w:tcPr>
          <w:p>
            <w:r>
              <w:t>Inventory contradiction</w:t>
            </w:r>
          </w:p>
        </w:tc>
        <w:tc>
          <w:tcPr>
            <w:tcW w:type="dxa" w:w="4882"/>
            <w:vAlign w:val="center"/>
          </w:tcPr>
          <w:p>
            <w:r>
              <w:t>Manual availability only in Phase 1; quantity tracking separately agreed.</w:t>
            </w:r>
          </w:p>
        </w:tc>
      </w:tr>
      <w:tr>
        <w:tc>
          <w:tcPr>
            <w:tcW w:type="dxa" w:w="4882"/>
            <w:vAlign w:val="center"/>
          </w:tcPr>
          <w:p>
            <w:r>
              <w:t>Payment account delays</w:t>
            </w:r>
          </w:p>
        </w:tc>
        <w:tc>
          <w:tcPr>
            <w:tcW w:type="dxa" w:w="4882"/>
            <w:vAlign w:val="center"/>
          </w:tcPr>
          <w:p>
            <w:r>
              <w:t>Use sandbox for development; live activation requires client merchant approval.</w:t>
            </w:r>
          </w:p>
        </w:tc>
      </w:tr>
      <w:tr>
        <w:tc>
          <w:tcPr>
            <w:tcW w:type="dxa" w:w="4882"/>
            <w:vAlign w:val="center"/>
          </w:tcPr>
          <w:p>
            <w:r>
              <w:t>WhatsApp expectations</w:t>
            </w:r>
          </w:p>
        </w:tc>
        <w:tc>
          <w:tcPr>
            <w:tcW w:type="dxa" w:w="4882"/>
            <w:vAlign w:val="center"/>
          </w:tcPr>
          <w:p>
            <w:r>
              <w:t>Click-to-chat is included; automated WhatsApp messages require a separate provider/budget.</w:t>
            </w:r>
          </w:p>
        </w:tc>
      </w:tr>
      <w:tr>
        <w:tc>
          <w:tcPr>
            <w:tcW w:type="dxa" w:w="4882"/>
            <w:vAlign w:val="center"/>
          </w:tcPr>
          <w:p>
            <w:r>
              <w:t>High transaction or image load</w:t>
            </w:r>
          </w:p>
        </w:tc>
        <w:tc>
          <w:tcPr>
            <w:tcW w:type="dxa" w:w="4882"/>
            <w:vAlign w:val="center"/>
          </w:tcPr>
          <w:p>
            <w:r>
              <w:t>Monitor performance and upgrade hosting if real usage exceeds shared-hosting suitability.</w:t>
            </w:r>
          </w:p>
        </w:tc>
      </w:tr>
      <w:tr>
        <w:tc>
          <w:tcPr>
            <w:tcW w:type="dxa" w:w="4882"/>
            <w:vAlign w:val="center"/>
          </w:tcPr>
          <w:p>
            <w:r>
              <w:t>Customer data, security and refunds</w:t>
            </w:r>
          </w:p>
        </w:tc>
        <w:tc>
          <w:tcPr>
            <w:tcW w:type="dxa" w:w="4882"/>
            <w:vAlign w:val="center"/>
          </w:tcPr>
          <w:p>
            <w:r>
              <w:t>Access controls, backups, policies and documented merchant procedures; no absolute security guarantee.</w:t>
            </w:r>
          </w:p>
        </w:tc>
      </w:tr>
      <w:tr>
        <w:tc>
          <w:tcPr>
            <w:tcW w:type="dxa" w:w="4882"/>
            <w:vAlign w:val="center"/>
          </w:tcPr>
          <w:p>
            <w:r>
              <w:t>Changing requests or late sign-off</w:t>
            </w:r>
          </w:p>
        </w:tc>
        <w:tc>
          <w:tcPr>
            <w:tcW w:type="dxa" w:w="4882"/>
            <w:vAlign w:val="center"/>
          </w:tcPr>
          <w:p>
            <w:r>
              <w:t>Written change control and adjusted milestones.</w:t>
            </w:r>
          </w:p>
        </w:tc>
      </w:tr>
    </w:tbl>
    <w:p/>
    <w:p>
      <w:pPr>
        <w:pStyle w:val="Heading1"/>
      </w:pPr>
      <w:r>
        <w:t>13. Support, warranty and future enhancements</w:t>
      </w:r>
    </w:p>
    <w:p>
      <w:r>
        <w:t>The 30-day warranty starts after the agreed production handover and covers reproducible defects where the delivered system fails the approved Phase 1 specification. It does not cover new features, changes to third-party services, client-side data mistakes, hosting outages, compromised credentials, unpaid subscriptions or breakage from unauthorised changes. Support beyond warranty requires an optional maintenance agreement with separately agreed hours, severity levels, response targets and price.</w:t>
      </w:r>
    </w:p>
    <w:p>
      <w:r>
        <w:t>Possible Phase 2 services (not included in GH₵9,000): tracked inventory with reorder thresholds; automated WhatsApp Business API templates; advanced delivery distance/rider logistics; loyalty programmes; coupon complexity beyond basic offers; POS/accounting links; advanced analytics or additional staff roles.</w:t>
      </w:r>
    </w:p>
    <w:p>
      <w:pPr>
        <w:pStyle w:val="Heading1"/>
      </w:pPr>
      <w:r>
        <w:t>14. Acceptance and intellectual property</w:t>
      </w:r>
    </w:p>
    <w:p>
      <w:r>
        <w:t>Deliverables are accepted after the client completes a documented UAT checklist covering agreed customer and admin journeys, with any material defects corrected and re-tested. Minor cosmetic defects may be documented with mutually agreed resolution dates. Ownership of custom source code and finished project assets passes to the client on receipt of full payment, excluding third-party packages, licensed tools and pre-existing developer utilities, which remain subject to their existing licences. Domain, hosting, Paystack and business data should be registered in the client’s name.</w:t>
      </w:r>
    </w:p>
    <w:p>
      <w:r>
        <w:t>Both parties should sign a final services agreement covering confidentiality, Ghanaian legal/tax requirements, data handling, refunds and dispute resolution; this proposal alone should not be treated as a fully negotiated legal contract.</w:t>
      </w:r>
    </w:p>
    <w:p>
      <w:pPr>
        <w:pStyle w:val="Heading1"/>
      </w:pPr>
      <w:r>
        <w:t>15. Decision items and approval</w:t>
      </w:r>
    </w:p>
    <w:p>
      <w:r>
        <w:t>Before final acceptance, confirm the business and billing identity, preferred domain spelling, final colours/logo, first product catalogue, delivery zones and charges, pickup instructions, Paystack account access, email sender, approved launch date and designated project approver.</w:t>
      </w:r>
    </w:p>
    <w:tbl>
      <w:tblPr>
        <w:tblStyle w:val="LightShading-Accent1"/>
        <w:tblW w:type="auto" w:w="0"/>
        <w:jc w:val="center"/>
        <w:tblLook w:firstColumn="1" w:firstRow="1" w:lastColumn="0" w:lastRow="0" w:noHBand="0" w:noVBand="1" w:val="04A0"/>
      </w:tblPr>
      <w:tblGrid>
        <w:gridCol w:w="4882"/>
        <w:gridCol w:w="4882"/>
      </w:tblGrid>
      <w:tr>
        <w:tc>
          <w:tcPr>
            <w:tcW w:type="dxa" w:w="4882"/>
            <w:vAlign w:val="center"/>
          </w:tcPr>
          <w:p>
            <w:r>
              <w:rPr>
                <w:b/>
                <w:color w:val="0C4850"/>
              </w:rPr>
              <w:t>Decision</w:t>
            </w:r>
          </w:p>
        </w:tc>
        <w:tc>
          <w:tcPr>
            <w:tcW w:type="dxa" w:w="4882"/>
            <w:vAlign w:val="center"/>
          </w:tcPr>
          <w:p>
            <w:r>
              <w:rPr>
                <w:b/>
                <w:color w:val="0C4850"/>
              </w:rPr>
              <w:t>Recommended confirmation</w:t>
            </w:r>
          </w:p>
        </w:tc>
      </w:tr>
      <w:tr>
        <w:tc>
          <w:tcPr>
            <w:tcW w:type="dxa" w:w="4882"/>
            <w:vAlign w:val="center"/>
          </w:tcPr>
          <w:p>
            <w:r>
              <w:t>Development fee</w:t>
            </w:r>
          </w:p>
        </w:tc>
        <w:tc>
          <w:tcPr>
            <w:tcW w:type="dxa" w:w="4882"/>
            <w:vAlign w:val="center"/>
          </w:tcPr>
          <w:p>
            <w:r>
              <w:t>GH₵9,000 fixed Phase 1 scope</w:t>
            </w:r>
          </w:p>
        </w:tc>
      </w:tr>
      <w:tr>
        <w:tc>
          <w:tcPr>
            <w:tcW w:type="dxa" w:w="4882"/>
            <w:vAlign w:val="center"/>
          </w:tcPr>
          <w:p>
            <w:r>
              <w:t>Included catalogue onboarding</w:t>
            </w:r>
          </w:p>
        </w:tc>
        <w:tc>
          <w:tcPr>
            <w:tcW w:type="dxa" w:w="4882"/>
            <w:vAlign w:val="center"/>
          </w:tcPr>
          <w:p>
            <w:r>
              <w:t>Up to 100 client-supplied, complete product entries</w:t>
            </w:r>
          </w:p>
        </w:tc>
      </w:tr>
      <w:tr>
        <w:tc>
          <w:tcPr>
            <w:tcW w:type="dxa" w:w="4882"/>
            <w:vAlign w:val="center"/>
          </w:tcPr>
          <w:p>
            <w:r>
              <w:t>Payment milestones</w:t>
            </w:r>
          </w:p>
        </w:tc>
        <w:tc>
          <w:tcPr>
            <w:tcW w:type="dxa" w:w="4882"/>
            <w:vAlign w:val="center"/>
          </w:tcPr>
          <w:p>
            <w:r>
              <w:t>40% on acceptance; 30% at prototype; 30% at handover</w:t>
            </w:r>
          </w:p>
        </w:tc>
      </w:tr>
      <w:tr>
        <w:tc>
          <w:tcPr>
            <w:tcW w:type="dxa" w:w="4882"/>
            <w:vAlign w:val="center"/>
          </w:tcPr>
          <w:p>
            <w:r>
              <w:t>Estimate duration</w:t>
            </w:r>
          </w:p>
        </w:tc>
        <w:tc>
          <w:tcPr>
            <w:tcW w:type="dxa" w:w="4882"/>
            <w:vAlign w:val="center"/>
          </w:tcPr>
          <w:p>
            <w:r>
              <w:t>8–10 weeks after prerequisites met</w:t>
            </w:r>
          </w:p>
        </w:tc>
      </w:tr>
      <w:tr>
        <w:tc>
          <w:tcPr>
            <w:tcW w:type="dxa" w:w="4882"/>
            <w:vAlign w:val="center"/>
          </w:tcPr>
          <w:p>
            <w:r>
              <w:t>Low-stock alert module</w:t>
            </w:r>
          </w:p>
        </w:tc>
        <w:tc>
          <w:tcPr>
            <w:tcW w:type="dxa" w:w="4882"/>
            <w:vAlign w:val="center"/>
          </w:tcPr>
          <w:p>
            <w:r>
              <w:t>Excluded; separately quoted if desired</w:t>
            </w:r>
          </w:p>
        </w:tc>
      </w:tr>
      <w:tr>
        <w:tc>
          <w:tcPr>
            <w:tcW w:type="dxa" w:w="4882"/>
            <w:vAlign w:val="center"/>
          </w:tcPr>
          <w:p>
            <w:r>
              <w:t>Automated WhatsApp alerts</w:t>
            </w:r>
          </w:p>
        </w:tc>
        <w:tc>
          <w:tcPr>
            <w:tcW w:type="dxa" w:w="4882"/>
            <w:vAlign w:val="center"/>
          </w:tcPr>
          <w:p>
            <w:r>
              <w:t>Excluded; separately quoted with API costs</w:t>
            </w:r>
          </w:p>
        </w:tc>
      </w:tr>
      <w:tr>
        <w:tc>
          <w:tcPr>
            <w:tcW w:type="dxa" w:w="4882"/>
            <w:vAlign w:val="center"/>
          </w:tcPr>
          <w:p>
            <w:r>
              <w:t>Domain / hosting</w:t>
            </w:r>
          </w:p>
        </w:tc>
        <w:tc>
          <w:tcPr>
            <w:tcW w:type="dxa" w:w="4882"/>
            <w:vAlign w:val="center"/>
          </w:tcPr>
          <w:p>
            <w:r>
              <w:t>Purchased and owned by client; actual recurring invoice</w:t>
            </w:r>
          </w:p>
        </w:tc>
      </w:tr>
      <w:tr>
        <w:tc>
          <w:tcPr>
            <w:tcW w:type="dxa" w:w="4882"/>
            <w:vAlign w:val="center"/>
          </w:tcPr>
          <w:p>
            <w:r>
              <w:t>Warranty</w:t>
            </w:r>
          </w:p>
        </w:tc>
        <w:tc>
          <w:tcPr>
            <w:tcW w:type="dxa" w:w="4882"/>
            <w:vAlign w:val="center"/>
          </w:tcPr>
          <w:p>
            <w:r>
              <w:t>30 days from production handover</w:t>
            </w:r>
          </w:p>
        </w:tc>
      </w:tr>
    </w:tbl>
    <w:p/>
    <w:p>
      <w:r>
        <w:t>Prepared by: Emmanuel Ofori — Software Developer</w:t>
      </w:r>
    </w:p>
    <w:p>
      <w:r>
        <w:t>Developer email / phone: To be inserted before client issue</w:t>
      </w:r>
    </w:p>
    <w:p>
      <w:r>
        <w:t>For ILLiasu Local Mall: Authorised representative: __________________________</w:t>
      </w:r>
    </w:p>
    <w:p>
      <w:r>
        <w:t>Signature: _________________________   Date: _________________________</w:t>
      </w:r>
    </w:p>
    <w:p>
      <w:r>
        <w:t>Developer signature: __________________   Date: ________________________</w:t>
      </w:r>
    </w:p>
    <w:p>
      <w:pPr>
        <w:pStyle w:val="Heading1"/>
      </w:pPr>
      <w:r>
        <w:t>Appendix A — Source and cost references</w:t>
      </w:r>
    </w:p>
    <w:p>
      <w:pPr>
        <w:pStyle w:val="ListBullet"/>
      </w:pPr>
      <w:r>
        <w:t>Client requirements: Shop Website Requirements Form (Responses), dated 07 October 2026.</w:t>
      </w:r>
    </w:p>
    <w:p>
      <w:pPr>
        <w:pStyle w:val="ListBullet"/>
      </w:pPr>
      <w:r>
        <w:t>Hosting rates/features: SmarterASP.NET — https://www.smarterasp.net/index.ASP (checked 09 Oct 2026).</w:t>
      </w:r>
    </w:p>
    <w:p>
      <w:pPr>
        <w:pStyle w:val="ListBullet"/>
      </w:pPr>
      <w:r>
        <w:t>Domain and renewals: Namecheap — https://www.namecheap.com/domains/registration/gtld/com/ (checked 09 Oct 2026).</w:t>
      </w:r>
    </w:p>
    <w:p>
      <w:pPr>
        <w:pStyle w:val="ListBullet"/>
      </w:pPr>
      <w:r>
        <w:t>Paystack Ghana 1.95% local fee — https://support.paystack.com/en/articles/2130306 (checked 09 Oct 2026).</w:t>
      </w:r>
    </w:p>
    <w:p>
      <w:pPr>
        <w:pStyle w:val="ListBullet"/>
      </w:pPr>
      <w:r>
        <w:t>Paystack MoMo payment method — https://support.paystack.com/en/articles/2128386 (checked 09 Oct 2026).</w:t>
      </w:r>
    </w:p>
    <w:p>
      <w:r>
        <w:t>Three-year ownership estimates use disclosed supplier list prices and planning assumptions. They are not binding third-party quotations; actual renewals, exchange rates, usage fees and optional support require confirmation.</w:t>
      </w:r>
    </w:p>
    <w:sectPr w:rsidR="00FC693F" w:rsidRPr="0006063C" w:rsidSect="00034616">
      <w:footerReference w:type="default" r:id="rId9"/>
      <w:pgSz w:w="12240" w:h="15840"/>
      <w:pgMar w:top="1123" w:right="1238" w:bottom="100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ILLiasu Local Mall  |  Confidential proposal  |  Emmanuel Ofori  |  09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C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04553"/>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55B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0F2B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