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1ECF17" w14:textId="77777777" w:rsidR="004A7C49" w:rsidRDefault="004A7C49" w:rsidP="004A7C49">
      <w:pPr>
        <w:keepNext/>
      </w:pPr>
      <w:r>
        <w:rPr>
          <w:noProof/>
        </w:rPr>
        <w:drawing>
          <wp:inline distT="0" distB="0" distL="0" distR="0" wp14:anchorId="3985F0CC" wp14:editId="45FA586F">
            <wp:extent cx="6199507" cy="3832964"/>
            <wp:effectExtent l="0" t="0" r="0" b="2540"/>
            <wp:docPr id="1" name="Picture 1"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ox and whisker chart&#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6215266" cy="3842707"/>
                    </a:xfrm>
                    <a:prstGeom prst="rect">
                      <a:avLst/>
                    </a:prstGeom>
                  </pic:spPr>
                </pic:pic>
              </a:graphicData>
            </a:graphic>
          </wp:inline>
        </w:drawing>
      </w:r>
    </w:p>
    <w:p w14:paraId="34DA74C5" w14:textId="71924CFC" w:rsidR="004A7C49" w:rsidRDefault="004A7C49" w:rsidP="004A7C49">
      <w:pPr>
        <w:pStyle w:val="Caption"/>
        <w:rPr>
          <w:color w:val="000000" w:themeColor="text1"/>
          <w:sz w:val="22"/>
          <w:szCs w:val="22"/>
        </w:rPr>
      </w:pPr>
      <w:r w:rsidRPr="004A7C49">
        <w:rPr>
          <w:color w:val="000000" w:themeColor="text1"/>
          <w:sz w:val="22"/>
          <w:szCs w:val="22"/>
        </w:rPr>
        <w:t xml:space="preserve">Figure </w:t>
      </w:r>
      <w:r w:rsidRPr="004A7C49">
        <w:rPr>
          <w:color w:val="000000" w:themeColor="text1"/>
          <w:sz w:val="22"/>
          <w:szCs w:val="22"/>
        </w:rPr>
        <w:fldChar w:fldCharType="begin"/>
      </w:r>
      <w:r w:rsidRPr="004A7C49">
        <w:rPr>
          <w:color w:val="000000" w:themeColor="text1"/>
          <w:sz w:val="22"/>
          <w:szCs w:val="22"/>
        </w:rPr>
        <w:instrText xml:space="preserve"> SEQ Figure \* ARABIC </w:instrText>
      </w:r>
      <w:r w:rsidRPr="004A7C49">
        <w:rPr>
          <w:color w:val="000000" w:themeColor="text1"/>
          <w:sz w:val="22"/>
          <w:szCs w:val="22"/>
        </w:rPr>
        <w:fldChar w:fldCharType="separate"/>
      </w:r>
      <w:r w:rsidRPr="004A7C49">
        <w:rPr>
          <w:noProof/>
          <w:color w:val="000000" w:themeColor="text1"/>
          <w:sz w:val="22"/>
          <w:szCs w:val="22"/>
        </w:rPr>
        <w:t>1</w:t>
      </w:r>
      <w:r w:rsidRPr="004A7C49">
        <w:rPr>
          <w:color w:val="000000" w:themeColor="text1"/>
          <w:sz w:val="22"/>
          <w:szCs w:val="22"/>
        </w:rPr>
        <w:fldChar w:fldCharType="end"/>
      </w:r>
      <w:r w:rsidRPr="004A7C49">
        <w:rPr>
          <w:color w:val="000000" w:themeColor="text1"/>
          <w:sz w:val="22"/>
          <w:szCs w:val="22"/>
        </w:rPr>
        <w:t>: To quantify the visual trends we see in figure 3 we need to account for the fold-change in mutation load between PRE and OT and between OT and  EOS. The mutation load score accounts for the three fold changes (PRE to OT, OT to EOS, and PRE to EOS) as well as average mutation load. (I) Box plots of mutation load score for all patients grouped by PFS quartiles. (II) same as (I) but with patients further grouped by treatment arm.</w:t>
      </w:r>
    </w:p>
    <w:p w14:paraId="14A055DD" w14:textId="5858F05B" w:rsidR="00CB5B78" w:rsidRPr="00CB5B78" w:rsidRDefault="00CB5B78" w:rsidP="00CB5B78"/>
    <w:sectPr w:rsidR="00CB5B78" w:rsidRPr="00CB5B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1"/>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7C49"/>
    <w:rsid w:val="003A5F9B"/>
    <w:rsid w:val="004A7C49"/>
    <w:rsid w:val="00A23960"/>
    <w:rsid w:val="00CB5B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279EFDC"/>
  <w15:chartTrackingRefBased/>
  <w15:docId w15:val="{60A7C7DA-5E6A-BA44-9524-CB6BBAD972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4A7C49"/>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A5E410-5465-7448-92A3-08C5F8A867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Pages>
  <Words>70</Words>
  <Characters>399</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 Mitchell</dc:creator>
  <cp:keywords/>
  <dc:description/>
  <cp:lastModifiedBy>Emma Mitchell</cp:lastModifiedBy>
  <cp:revision>1</cp:revision>
  <dcterms:created xsi:type="dcterms:W3CDTF">2023-03-07T01:35:00Z</dcterms:created>
  <dcterms:modified xsi:type="dcterms:W3CDTF">2023-03-07T02:01:00Z</dcterms:modified>
</cp:coreProperties>
</file>