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Transformer-Based Attack Prediction for Collaborative Moving Target Defense: Architecture, Justification, and Evaluation Methodology</w:t>
      </w:r>
    </w:p>
    <w:p>
      <w:pPr>
        <w:spacing w:after="400"/>
        <w:jc w:val="center"/>
      </w:pPr>
      <w:r>
        <w:rPr>
          <w:rFonts w:ascii="Calibri" w:cs="Calibri" w:eastAsia="Calibri" w:hAnsi="Calibri"/>
          <w:i/>
          <w:iCs/>
          <w:color w:val="555555"/>
          <w:sz w:val="20"/>
          <w:szCs w:val="20"/>
        </w:rPr>
        <w:t xml:space="preserve">Methodology section draft — attack-prediction (Stage 2) architecture change and Fairness/Trust/Energy evaluation protocol</w:t>
      </w:r>
    </w:p>
    <w:p>
      <w:pPr>
        <w:pBdr>
          <w:left w:val="single" w:color="C00000" w:sz="18"/>
        </w:pBdr>
        <w:spacing w:after="240" w:before="120"/>
        <w:ind w:left="200"/>
      </w:pPr>
      <w:r>
        <w:rPr>
          <w:rFonts w:ascii="Calibri" w:cs="Calibri" w:eastAsia="Calibri" w:hAnsi="Calibri"/>
          <w:i/>
          <w:iCs/>
          <w:color w:val="C00000"/>
          <w:sz w:val="20"/>
          <w:szCs w:val="20"/>
        </w:rPr>
        <w:t xml:space="preserve">Editorial note (remove before submission): every number in Section 6 is from a controlled synthetic validation dataset, not the project's real CICIDS-2017 experiment. See Section 5 for exactly why, and re-run scripts/compare_architectures.py on the final real dataset before using these numbers in a publication. All citations below should be independently verified before submission.</w:t>
      </w:r>
    </w:p>
    <w:p>
      <w:pPr>
        <w:pStyle w:val="Heading1"/>
        <w:spacing w:after="160" w:before="320"/>
      </w:pPr>
      <w:r>
        <w:t xml:space="preserve">1. Overview</w:t>
      </w:r>
    </w:p>
    <w:p>
      <w:pPr>
        <w:spacing w:after="160"/>
      </w:pPr>
      <w:r>
        <w:rPr>
          <w:rFonts w:ascii="Calibri" w:cs="Calibri" w:eastAsia="Calibri" w:hAnsi="Calibri"/>
          <w:sz w:val="22"/>
          <w:szCs w:val="22"/>
        </w:rPr>
        <w:t xml:space="preserve">The attack-prediction component of the CM-MTD reproduction (Zhang et al., 2023) is implemented as a two-stage pipeline rather than the single LSTM the original paper specifies. Stage 1 is a per-row event classifier (Random Forest) that turns raw network-flow features into a classified security-event label. Stage 2 is a sequence model that forecasts the next security event from the recent history of labels Stage 1 has produced, matching the paper's own Section IV description of the LSTM's input as classified detection-log events rather than raw features. This document covers Stage 2 specifically: the replacement of the originally-specified LSTM with a Transformer encoder, the justification for that change, and the evaluation protocol — fidelity per the paper's Eq. 18, plus three additional dimensions (Fairness, Trust, Energy) assessing trade-offs the paper does not evaluate.</w:t>
      </w:r>
    </w:p>
    <w:p>
      <w:pPr>
        <w:pStyle w:val="Heading1"/>
        <w:spacing w:after="160" w:before="320"/>
      </w:pPr>
      <w:r>
        <w:t xml:space="preserve">2. Problem Characterization</w:t>
      </w:r>
    </w:p>
    <w:p>
      <w:pPr>
        <w:spacing w:after="160"/>
      </w:pPr>
      <w:r>
        <w:rPr>
          <w:rFonts w:ascii="Calibri" w:cs="Calibri" w:eastAsia="Calibri" w:hAnsi="Calibri"/>
          <w:sz w:val="22"/>
          <w:szCs w:val="22"/>
        </w:rPr>
        <w:t xml:space="preserve">Stage 2's task is single-step forecasting over a short, low-cardinality categorical sequence: given the most recent L=10 classified event labels (drawn from a 3-class taxonomy — Benign, DoS/DDoS, Infiltration — matching the paper's Section VII-A), predict the next label. This framing differs materially from the long-sequence, large-vocabulary regime (machine translation, long-document modeling) in which Transformer architectures were originally shown to outperform recurrent models. That difference motivates explicit empirical validation rather than assuming Transformer superiority a priori — see Section 4.</w:t>
      </w:r>
    </w:p>
    <w:p>
      <w:pPr>
        <w:pStyle w:val="Heading1"/>
        <w:spacing w:after="160" w:before="320"/>
      </w:pPr>
      <w:r>
        <w:t xml:space="preserve">3. Transformer Architecture</w:t>
      </w:r>
    </w:p>
    <w:p>
      <w:pPr>
        <w:spacing w:after="160"/>
      </w:pPr>
      <w:r>
        <w:rPr>
          <w:rFonts w:ascii="Calibri" w:cs="Calibri" w:eastAsia="Calibri" w:hAnsi="Calibri"/>
          <w:sz w:val="22"/>
          <w:szCs w:val="22"/>
        </w:rPr>
        <w:t xml:space="preserve">The Stage-2 Transformer is a compact encoder-only architecture, sized to match the LSTM baseline's parameter count for a controlled comparison (Section 6). Input is the sequence of L integer event labels Stage 1 assigned to the most recent L rows; output is a softmax distribution over the next event's class.</w:t>
      </w:r>
    </w:p>
    <w:p>
      <w:pPr>
        <w:pStyle w:val="Heading2"/>
        <w:spacing w:after="160" w:before="320"/>
      </w:pPr>
      <w:r>
        <w:t xml:space="preserve">3.1 Layer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val="clear"/>
          </w:tcPr>
          <w:p>
            <w:r>
              <w:rPr>
                <w:rFonts w:ascii="Calibri" w:cs="Calibri" w:eastAsia="Calibri" w:hAnsi="Calibri"/>
                <w:b/>
                <w:bCs/>
                <w:color w:val="FFFFFF"/>
                <w:sz w:val="20"/>
                <w:szCs w:val="20"/>
              </w:rPr>
              <w:t xml:space="preserve">Component</w:t>
            </w:r>
          </w:p>
        </w:tc>
        <w:tc>
          <w:tcPr>
            <w:tcW w:type="dxa" w:w="6000"/>
            <w:shd w:fill="2F5496" w:val="clear"/>
          </w:tcPr>
          <w:p>
            <w:r>
              <w:rPr>
                <w:rFonts w:ascii="Calibri" w:cs="Calibri" w:eastAsia="Calibri" w:hAnsi="Calibri"/>
                <w:b/>
                <w:bCs/>
                <w:color w:val="FFFFFF"/>
                <w:sz w:val="20"/>
                <w:szCs w:val="20"/>
              </w:rPr>
              <w:t xml:space="preserve">Specification</w:t>
            </w:r>
          </w:p>
        </w:tc>
      </w:tr>
      <w:tr>
        <w:tc>
          <w:tcPr>
            <w:tcW w:type="dxa" w:w="3000"/>
          </w:tcPr>
          <w:p>
            <w:r>
              <w:rPr>
                <w:rFonts w:ascii="Calibri" w:cs="Calibri" w:eastAsia="Calibri" w:hAnsi="Calibri"/>
                <w:b w:val="false"/>
                <w:bCs w:val="false"/>
                <w:color w:val="000000"/>
                <w:sz w:val="20"/>
                <w:szCs w:val="20"/>
              </w:rPr>
              <w:t xml:space="preserve">Input</w:t>
            </w:r>
          </w:p>
        </w:tc>
        <w:tc>
          <w:tcPr>
            <w:tcW w:type="dxa" w:w="6000"/>
          </w:tcPr>
          <w:p>
            <w:r>
              <w:rPr>
                <w:rFonts w:ascii="Calibri" w:cs="Calibri" w:eastAsia="Calibri" w:hAnsi="Calibri"/>
                <w:b w:val="false"/>
                <w:bCs w:val="false"/>
                <w:color w:val="000000"/>
                <w:sz w:val="20"/>
                <w:szCs w:val="20"/>
              </w:rPr>
              <w:t xml:space="preserve">Sequence of L=10 integer event-class labels</w:t>
            </w:r>
          </w:p>
        </w:tc>
      </w:tr>
      <w:tr>
        <w:tc>
          <w:tcPr>
            <w:tcW w:type="dxa" w:w="3000"/>
          </w:tcPr>
          <w:p>
            <w:r>
              <w:rPr>
                <w:rFonts w:ascii="Calibri" w:cs="Calibri" w:eastAsia="Calibri" w:hAnsi="Calibri"/>
                <w:b w:val="false"/>
                <w:bCs w:val="false"/>
                <w:color w:val="000000"/>
                <w:sz w:val="20"/>
                <w:szCs w:val="20"/>
              </w:rPr>
              <w:t xml:space="preserve">Token embedding</w:t>
            </w:r>
          </w:p>
        </w:tc>
        <w:tc>
          <w:tcPr>
            <w:tcW w:type="dxa" w:w="6000"/>
          </w:tcPr>
          <w:p>
            <w:r>
              <w:rPr>
                <w:rFonts w:ascii="Calibri" w:cs="Calibri" w:eastAsia="Calibri" w:hAnsi="Calibri"/>
                <w:b w:val="false"/>
                <w:bCs w:val="false"/>
                <w:color w:val="000000"/>
                <w:sz w:val="20"/>
                <w:szCs w:val="20"/>
              </w:rPr>
              <w:t xml:space="preserve">Learned Embedding(num_classes, d_model=32)</w:t>
            </w:r>
          </w:p>
        </w:tc>
      </w:tr>
      <w:tr>
        <w:tc>
          <w:tcPr>
            <w:tcW w:type="dxa" w:w="3000"/>
          </w:tcPr>
          <w:p>
            <w:r>
              <w:rPr>
                <w:rFonts w:ascii="Calibri" w:cs="Calibri" w:eastAsia="Calibri" w:hAnsi="Calibri"/>
                <w:b w:val="false"/>
                <w:bCs w:val="false"/>
                <w:color w:val="000000"/>
                <w:sz w:val="20"/>
                <w:szCs w:val="20"/>
              </w:rPr>
              <w:t xml:space="preserve">Positional embedding</w:t>
            </w:r>
          </w:p>
        </w:tc>
        <w:tc>
          <w:tcPr>
            <w:tcW w:type="dxa" w:w="6000"/>
          </w:tcPr>
          <w:p>
            <w:r>
              <w:rPr>
                <w:rFonts w:ascii="Calibri" w:cs="Calibri" w:eastAsia="Calibri" w:hAnsi="Calibri"/>
                <w:b w:val="false"/>
                <w:bCs w:val="false"/>
                <w:color w:val="000000"/>
                <w:sz w:val="20"/>
                <w:szCs w:val="20"/>
              </w:rPr>
              <w:t xml:space="preserve">Learned per-position embedding table (L × d_model), added to token embeddings — not sinusoidal, since sequence length is short and fixed</w:t>
            </w:r>
          </w:p>
        </w:tc>
      </w:tr>
      <w:tr>
        <w:tc>
          <w:tcPr>
            <w:tcW w:type="dxa" w:w="3000"/>
          </w:tcPr>
          <w:p>
            <w:r>
              <w:rPr>
                <w:rFonts w:ascii="Calibri" w:cs="Calibri" w:eastAsia="Calibri" w:hAnsi="Calibri"/>
                <w:b w:val="false"/>
                <w:bCs w:val="false"/>
                <w:color w:val="000000"/>
                <w:sz w:val="20"/>
                <w:szCs w:val="20"/>
              </w:rPr>
              <w:t xml:space="preserve">Encoder blocks</w:t>
            </w:r>
          </w:p>
        </w:tc>
        <w:tc>
          <w:tcPr>
            <w:tcW w:type="dxa" w:w="6000"/>
          </w:tcPr>
          <w:p>
            <w:r>
              <w:rPr>
                <w:rFonts w:ascii="Calibri" w:cs="Calibri" w:eastAsia="Calibri" w:hAnsi="Calibri"/>
                <w:b w:val="false"/>
                <w:bCs w:val="false"/>
                <w:color w:val="000000"/>
                <w:sz w:val="20"/>
                <w:szCs w:val="20"/>
              </w:rPr>
              <w:t xml:space="preserve">N=2, each: Multi-Head Self-Attention → Add &amp; LayerNorm → position-wise Feed-Forward → Add &amp; LayerNorm</w:t>
            </w:r>
          </w:p>
        </w:tc>
      </w:tr>
      <w:tr>
        <w:tc>
          <w:tcPr>
            <w:tcW w:type="dxa" w:w="3000"/>
          </w:tcPr>
          <w:p>
            <w:r>
              <w:rPr>
                <w:rFonts w:ascii="Calibri" w:cs="Calibri" w:eastAsia="Calibri" w:hAnsi="Calibri"/>
                <w:b w:val="false"/>
                <w:bCs w:val="false"/>
                <w:color w:val="000000"/>
                <w:sz w:val="20"/>
                <w:szCs w:val="20"/>
              </w:rPr>
              <w:t xml:space="preserve">Attention heads</w:t>
            </w:r>
          </w:p>
        </w:tc>
        <w:tc>
          <w:tcPr>
            <w:tcW w:type="dxa" w:w="6000"/>
          </w:tcPr>
          <w:p>
            <w:r>
              <w:rPr>
                <w:rFonts w:ascii="Calibri" w:cs="Calibri" w:eastAsia="Calibri" w:hAnsi="Calibri"/>
                <w:b w:val="false"/>
                <w:bCs w:val="false"/>
                <w:color w:val="000000"/>
                <w:sz w:val="20"/>
                <w:szCs w:val="20"/>
              </w:rPr>
              <w:t xml:space="preserve">h=4; key_dim = d_model / h = 8</w:t>
            </w:r>
          </w:p>
        </w:tc>
      </w:tr>
      <w:tr>
        <w:tc>
          <w:tcPr>
            <w:tcW w:type="dxa" w:w="3000"/>
          </w:tcPr>
          <w:p>
            <w:r>
              <w:rPr>
                <w:rFonts w:ascii="Calibri" w:cs="Calibri" w:eastAsia="Calibri" w:hAnsi="Calibri"/>
                <w:b w:val="false"/>
                <w:bCs w:val="false"/>
                <w:color w:val="000000"/>
                <w:sz w:val="20"/>
                <w:szCs w:val="20"/>
              </w:rPr>
              <w:t xml:space="preserve">Feed-forward width</w:t>
            </w:r>
          </w:p>
        </w:tc>
        <w:tc>
          <w:tcPr>
            <w:tcW w:type="dxa" w:w="6000"/>
          </w:tcPr>
          <w:p>
            <w:r>
              <w:rPr>
                <w:rFonts w:ascii="Calibri" w:cs="Calibri" w:eastAsia="Calibri" w:hAnsi="Calibri"/>
                <w:b w:val="false"/>
                <w:bCs w:val="false"/>
                <w:color w:val="000000"/>
                <w:sz w:val="20"/>
                <w:szCs w:val="20"/>
              </w:rPr>
              <w:t xml:space="preserve">d_ff = 128 (4 × d_model), ReLU activation</w:t>
            </w:r>
          </w:p>
        </w:tc>
      </w:tr>
      <w:tr>
        <w:tc>
          <w:tcPr>
            <w:tcW w:type="dxa" w:w="3000"/>
          </w:tcPr>
          <w:p>
            <w:r>
              <w:rPr>
                <w:rFonts w:ascii="Calibri" w:cs="Calibri" w:eastAsia="Calibri" w:hAnsi="Calibri"/>
                <w:b w:val="false"/>
                <w:bCs w:val="false"/>
                <w:color w:val="000000"/>
                <w:sz w:val="20"/>
                <w:szCs w:val="20"/>
              </w:rPr>
              <w:t xml:space="preserve">Sequence pooling</w:t>
            </w:r>
          </w:p>
        </w:tc>
        <w:tc>
          <w:tcPr>
            <w:tcW w:type="dxa" w:w="6000"/>
          </w:tcPr>
          <w:p>
            <w:r>
              <w:rPr>
                <w:rFonts w:ascii="Calibri" w:cs="Calibri" w:eastAsia="Calibri" w:hAnsi="Calibri"/>
                <w:b w:val="false"/>
                <w:bCs w:val="false"/>
                <w:color w:val="000000"/>
                <w:sz w:val="20"/>
                <w:szCs w:val="20"/>
              </w:rPr>
              <w:t xml:space="preserve">Final position's contextualized representation (analogous to an LSTM's final hidden state); valid because the prediction target is the row immediately after the window, so no label leakage occurs from full bidirectional attention within the window</w:t>
            </w:r>
          </w:p>
        </w:tc>
      </w:tr>
      <w:tr>
        <w:tc>
          <w:tcPr>
            <w:tcW w:type="dxa" w:w="3000"/>
          </w:tcPr>
          <w:p>
            <w:r>
              <w:rPr>
                <w:rFonts w:ascii="Calibri" w:cs="Calibri" w:eastAsia="Calibri" w:hAnsi="Calibri"/>
                <w:b w:val="false"/>
                <w:bCs w:val="false"/>
                <w:color w:val="000000"/>
                <w:sz w:val="20"/>
                <w:szCs w:val="20"/>
              </w:rPr>
              <w:t xml:space="preserve">Output head</w:t>
            </w:r>
          </w:p>
        </w:tc>
        <w:tc>
          <w:tcPr>
            <w:tcW w:type="dxa" w:w="6000"/>
          </w:tcPr>
          <w:p>
            <w:r>
              <w:rPr>
                <w:rFonts w:ascii="Calibri" w:cs="Calibri" w:eastAsia="Calibri" w:hAnsi="Calibri"/>
                <w:b w:val="false"/>
                <w:bCs w:val="false"/>
                <w:color w:val="000000"/>
                <w:sz w:val="20"/>
                <w:szCs w:val="20"/>
              </w:rPr>
              <w:t xml:space="preserve">Dense → Dropout → Dense(num_classes, softmax)</w:t>
            </w:r>
          </w:p>
        </w:tc>
      </w:tr>
      <w:tr>
        <w:tc>
          <w:tcPr>
            <w:tcW w:type="dxa" w:w="3000"/>
          </w:tcPr>
          <w:p>
            <w:r>
              <w:rPr>
                <w:rFonts w:ascii="Calibri" w:cs="Calibri" w:eastAsia="Calibri" w:hAnsi="Calibri"/>
                <w:b w:val="false"/>
                <w:bCs w:val="false"/>
                <w:color w:val="000000"/>
                <w:sz w:val="20"/>
                <w:szCs w:val="20"/>
              </w:rPr>
              <w:t xml:space="preserve">Loss</w:t>
            </w:r>
          </w:p>
        </w:tc>
        <w:tc>
          <w:tcPr>
            <w:tcW w:type="dxa" w:w="6000"/>
          </w:tcPr>
          <w:p>
            <w:r>
              <w:rPr>
                <w:rFonts w:ascii="Calibri" w:cs="Calibri" w:eastAsia="Calibri" w:hAnsi="Calibri"/>
                <w:b w:val="false"/>
                <w:bCs w:val="false"/>
                <w:color w:val="000000"/>
                <w:sz w:val="20"/>
                <w:szCs w:val="20"/>
              </w:rPr>
              <w:t xml:space="preserve">Focal loss (γ=2.0; Lin et al., 2017) with sqrt-dampened inverse-frequency class weighting</w:t>
            </w:r>
          </w:p>
        </w:tc>
      </w:tr>
      <w:tr>
        <w:tc>
          <w:tcPr>
            <w:tcW w:type="dxa" w:w="3000"/>
          </w:tcPr>
          <w:p>
            <w:r>
              <w:rPr>
                <w:rFonts w:ascii="Calibri" w:cs="Calibri" w:eastAsia="Calibri" w:hAnsi="Calibri"/>
                <w:b w:val="false"/>
                <w:bCs w:val="false"/>
                <w:color w:val="000000"/>
                <w:sz w:val="20"/>
                <w:szCs w:val="20"/>
              </w:rPr>
              <w:t xml:space="preserve">Optimizer</w:t>
            </w:r>
          </w:p>
        </w:tc>
        <w:tc>
          <w:tcPr>
            <w:tcW w:type="dxa" w:w="6000"/>
          </w:tcPr>
          <w:p>
            <w:r>
              <w:rPr>
                <w:rFonts w:ascii="Calibri" w:cs="Calibri" w:eastAsia="Calibri" w:hAnsi="Calibri"/>
                <w:b w:val="false"/>
                <w:bCs w:val="false"/>
                <w:color w:val="000000"/>
                <w:sz w:val="20"/>
                <w:szCs w:val="20"/>
              </w:rPr>
              <w:t xml:space="preserve">Adam</w:t>
            </w:r>
          </w:p>
        </w:tc>
      </w:tr>
      <w:tr>
        <w:tc>
          <w:tcPr>
            <w:tcW w:type="dxa" w:w="3000"/>
          </w:tcPr>
          <w:p>
            <w:r>
              <w:rPr>
                <w:rFonts w:ascii="Calibri" w:cs="Calibri" w:eastAsia="Calibri" w:hAnsi="Calibri"/>
                <w:b w:val="false"/>
                <w:bCs w:val="false"/>
                <w:color w:val="000000"/>
                <w:sz w:val="20"/>
                <w:szCs w:val="20"/>
              </w:rPr>
              <w:t xml:space="preserve">Trainable parameters</w:t>
            </w:r>
          </w:p>
        </w:tc>
        <w:tc>
          <w:tcPr>
            <w:tcW w:type="dxa" w:w="6000"/>
          </w:tcPr>
          <w:p>
            <w:r>
              <w:rPr>
                <w:rFonts w:ascii="Calibri" w:cs="Calibri" w:eastAsia="Calibri" w:hAnsi="Calibri"/>
                <w:b w:val="false"/>
                <w:bCs w:val="false"/>
                <w:color w:val="000000"/>
                <w:sz w:val="20"/>
                <w:szCs w:val="20"/>
              </w:rPr>
              <w:t xml:space="preserve">≈27,000 (matched to the LSTM baseline; see Section 6)</w:t>
            </w:r>
          </w:p>
        </w:tc>
      </w:tr>
    </w:tbl>
    <w:p>
      <w:pPr>
        <w:spacing w:after="160"/>
      </w:pPr>
      <w:r>
        <w:rPr>
          <w:rFonts w:ascii="Calibri" w:cs="Calibri" w:eastAsia="Calibri" w:hAnsi="Calibri"/>
          <w:sz w:val="22"/>
          <w:szCs w:val="22"/>
        </w:rPr>
        <w:t xml:space="preserve"/>
      </w:r>
    </w:p>
    <w:p>
      <w:pPr>
        <w:pStyle w:val="Heading1"/>
        <w:spacing w:after="160" w:before="320"/>
      </w:pPr>
      <w:r>
        <w:t xml:space="preserve">4. Justification for the Architectural Change</w:t>
      </w:r>
    </w:p>
    <w:p>
      <w:pPr>
        <w:spacing w:after="160"/>
      </w:pPr>
      <w:r>
        <w:rPr>
          <w:rFonts w:ascii="Calibri" w:cs="Calibri" w:eastAsia="Calibri" w:hAnsi="Calibri"/>
          <w:sz w:val="22"/>
          <w:szCs w:val="22"/>
        </w:rPr>
        <w:t xml:space="preserve">Two independent lines of justification were evaluated; only one held up empirically. Both are reported here, including the one that did not, since an evaluation section that only reports confirming evidence would misrepresent the actual basis for the design choice.</w:t>
      </w:r>
    </w:p>
    <w:p>
      <w:pPr>
        <w:pStyle w:val="Heading2"/>
        <w:spacing w:after="160" w:before="320"/>
      </w:pPr>
      <w:r>
        <w:t xml:space="preserve">4.1 Computational efficiency (not confirmed at this scale)</w:t>
      </w:r>
    </w:p>
    <w:p>
      <w:pPr>
        <w:spacing w:after="160"/>
      </w:pPr>
      <w:r>
        <w:rPr>
          <w:rFonts w:ascii="Calibri" w:cs="Calibri" w:eastAsia="Calibri" w:hAnsi="Calibri"/>
          <w:sz w:val="22"/>
          <w:szCs w:val="22"/>
        </w:rPr>
        <w:t xml:space="preserve">Self-attention processes an entire sequence in parallel, whereas an LSTM's recurrence is inherently sequential across timesteps — a well-established general advantage of attention-based architectures on long sequences with GPU acceleration (Vaswani et al., 2017). This was the initial motivation for evaluating a Transformer here. It did not hold at the scale used in this study: head-to-head measurement (Section 6, CPU execution, L=10) showed the Transformer took approximately 1.7–2.0× longer to train than the LSTM and consumed correspondingly more estimated energy. At this sequence length, self-attention's O(L²) cost across N=2 blocks and h=4 heads outweighs the LSTM's sequential-but-O(L) cost per step. The parallelization advantage attention architectures are known for is real, but requires longer sequences and/or GPU execution to manifest — neither applies to this specific forecasting task.</w:t>
      </w:r>
    </w:p>
    <w:p>
      <w:pPr>
        <w:pStyle w:val="Heading2"/>
        <w:spacing w:after="160" w:before="320"/>
      </w:pPr>
      <w:r>
        <w:t xml:space="preserve">4.2 Interpretability (the actual basis for this change)</w:t>
      </w:r>
    </w:p>
    <w:p>
      <w:pPr>
        <w:spacing w:after="160"/>
      </w:pPr>
      <w:r>
        <w:rPr>
          <w:rFonts w:ascii="Calibri" w:cs="Calibri" w:eastAsia="Calibri" w:hAnsi="Calibri"/>
          <w:sz w:val="22"/>
          <w:szCs w:val="22"/>
        </w:rPr>
        <w:t xml:space="preserve">Self-attention weights provide a directly inspectable record of which positions in the recent event history most influenced a given prediction. An LSTM's final hidden state offers no comparable signal without a separate post-hoc explainability method (e.g., SHAP, LIME) applied externally. This is the primary, scale-independent justification for the architectural change, and is the basis for the attention-entropy Trust metric defined in Section 5.2. Note that attention weights are a descriptive, not a formally guaranteed, explanation of model behavior — this is a documented point of debate in the interpretability literature (e.g., Jain &amp; Wallace, 2019) and is treated as one evidentiary signal here, not proof of the model's “true” reasoning process.</w:t>
      </w:r>
    </w:p>
    <w:p>
      <w:pPr>
        <w:pStyle w:val="Heading1"/>
        <w:spacing w:after="160" w:before="320"/>
      </w:pPr>
      <w:r>
        <w:t xml:space="preserve">5. Evaluation Methodology</w:t>
      </w:r>
    </w:p>
    <w:p>
      <w:pPr>
        <w:spacing w:after="160"/>
      </w:pPr>
      <w:r>
        <w:rPr>
          <w:rFonts w:ascii="Calibri" w:cs="Calibri" w:eastAsia="Calibri" w:hAnsi="Calibri"/>
          <w:sz w:val="22"/>
          <w:szCs w:val="22"/>
        </w:rPr>
        <w:t xml:space="preserve">In addition to the paper's own prediction-fidelity metric (Eq. 18), three further dimensions are evaluated to characterize trade-offs the paper does not address. None of network traffic's protected-attribute-free domain admits a conventional demographic fairness framing, so each dimension is adapted to what is actually measurable and meaningful for this system, using standard, citable techniques rather than novel or ad hoc metrics.</w:t>
      </w:r>
    </w:p>
    <w:p>
      <w:pPr>
        <w:pStyle w:val="Heading2"/>
        <w:spacing w:after="160" w:before="320"/>
      </w:pPr>
      <w:r>
        <w:t xml:space="preserve">5.1 Fairness</w:t>
      </w:r>
    </w:p>
    <w:p>
      <w:pPr>
        <w:spacing w:after="160"/>
      </w:pPr>
      <w:r>
        <w:rPr>
          <w:rFonts w:ascii="Calibri" w:cs="Calibri" w:eastAsia="Calibri" w:hAnsi="Calibri"/>
          <w:sz w:val="22"/>
          <w:szCs w:val="22"/>
        </w:rPr>
        <w:t xml:space="preserve">Two groupings are assessed, since “fairness” has no demographic referent in this domain:</w:t>
      </w:r>
    </w:p>
    <w:p>
      <w:pPr>
        <w:pStyle w:val="ListParagraph"/>
        <w:numPr>
          <w:ilvl w:val="0"/>
          <w:numId w:val="2"/>
        </w:numPr>
        <w:spacing w:after="100"/>
      </w:pPr>
      <w:r>
        <w:rPr>
          <w:rFonts w:ascii="Calibri" w:cs="Calibri" w:eastAsia="Calibri" w:hAnsi="Calibri"/>
          <w:sz w:val="22"/>
          <w:szCs w:val="22"/>
        </w:rPr>
        <w:t xml:space="preserve">Class fairness: does the predictor perform equitably across Benign / DoS-DDoS / Infiltration, or does it sacrifice minority-class performance for majority-class accuracy? Measured via recall gap (max recall − min recall across classes; 0 = perfectly equitable) and equity ratio (min recall / max recall; 1 = perfectly equitable).</w:t>
      </w:r>
    </w:p>
    <w:p>
      <w:pPr>
        <w:pStyle w:val="ListParagraph"/>
        <w:numPr>
          <w:ilvl w:val="0"/>
          <w:numId w:val="2"/>
        </w:numPr>
        <w:spacing w:after="100"/>
      </w:pPr>
      <w:r>
        <w:rPr>
          <w:rFonts w:ascii="Calibri" w:cs="Calibri" w:eastAsia="Calibri" w:hAnsi="Calibri"/>
          <w:sz w:val="22"/>
          <w:szCs w:val="22"/>
        </w:rPr>
        <w:t xml:space="preserve">Node fairness: does the resulting MTD policy defend all network nodes roughly equally, or concentrate protection on a subset? Measured via the coefficient of variation and Jain's fairness index (Jain, Chiu, &amp; Hawe, 1984) over per-node Defense Success Ratio (Eq. 19 computed per node).</w:t>
      </w:r>
    </w:p>
    <w:p>
      <w:pPr>
        <w:pStyle w:val="Heading2"/>
        <w:spacing w:after="160" w:before="320"/>
      </w:pPr>
      <w:r>
        <w:t xml:space="preserve">5.2 Trust</w:t>
      </w:r>
    </w:p>
    <w:p>
      <w:pPr>
        <w:pStyle w:val="ListParagraph"/>
        <w:numPr>
          <w:ilvl w:val="0"/>
          <w:numId w:val="2"/>
        </w:numPr>
        <w:spacing w:after="100"/>
      </w:pPr>
      <w:r>
        <w:rPr>
          <w:rFonts w:ascii="Calibri" w:cs="Calibri" w:eastAsia="Calibri" w:hAnsi="Calibri"/>
          <w:sz w:val="22"/>
          <w:szCs w:val="22"/>
        </w:rPr>
        <w:t xml:space="preserve">Calibration: Expected Calibration Error (ECE; Guo et al., 2017) — bins predictions by confidence and compares each bin's average confidence to its actual accuracy. Lower is better; 0 is perfect calibration.</w:t>
      </w:r>
    </w:p>
    <w:p>
      <w:pPr>
        <w:pStyle w:val="ListParagraph"/>
        <w:numPr>
          <w:ilvl w:val="0"/>
          <w:numId w:val="2"/>
        </w:numPr>
        <w:spacing w:after="100"/>
      </w:pPr>
      <w:r>
        <w:rPr>
          <w:rFonts w:ascii="Calibri" w:cs="Calibri" w:eastAsia="Calibri" w:hAnsi="Calibri"/>
          <w:sz w:val="22"/>
          <w:szCs w:val="22"/>
        </w:rPr>
        <w:t xml:space="preserve">Attention entropy (Transformer only): mean normalized entropy of each prediction's attention distribution over the L=10 history positions. 0 = attention fully concentrated on a single past event (maximally interpretable); 1 = uniform over all positions (attention carries no information about which past event mattered).</w:t>
      </w:r>
    </w:p>
    <w:p>
      <w:pPr>
        <w:pStyle w:val="ListParagraph"/>
        <w:numPr>
          <w:ilvl w:val="0"/>
          <w:numId w:val="2"/>
        </w:numPr>
        <w:spacing w:after="100"/>
      </w:pPr>
      <w:r>
        <w:rPr>
          <w:rFonts w:ascii="Calibri" w:cs="Calibri" w:eastAsia="Calibri" w:hAnsi="Calibri"/>
          <w:sz w:val="22"/>
          <w:szCs w:val="22"/>
        </w:rPr>
        <w:t xml:space="preserve">Prediction stability: fraction of predictions that flip under a semantically-neutral perturbation (swapping two adjacent Benign labels within a window). A trustworthy model should not be brittle to reordering that carries no real signal.</w:t>
      </w:r>
    </w:p>
    <w:p>
      <w:pPr>
        <w:pStyle w:val="Heading2"/>
        <w:spacing w:after="160" w:before="320"/>
      </w:pPr>
      <w:r>
        <w:t xml:space="preserve">5.3 Energy</w:t>
      </w:r>
    </w:p>
    <w:p>
      <w:pPr>
        <w:spacing w:after="160"/>
      </w:pPr>
      <w:r>
        <w:rPr>
          <w:rFonts w:ascii="Calibri" w:cs="Calibri" w:eastAsia="Calibri" w:hAnsi="Calibri"/>
          <w:sz w:val="22"/>
          <w:szCs w:val="22"/>
        </w:rPr>
        <w:t xml:space="preserve">Training-time energy consumption is estimated via CodeCarbon (Courty et al., 2024), which reads hardware power counters where available (CPU/GPU/RAM); where unavailable, a rough wall-clock-time × assumed-average-CPU-power fallback is used and explicitly labeled as an estimate rather than a measurement. Reported alongside: wall-clock training time, trainable parameter count, and mean per-call inference latency (benchmarked with a warm-up period excluded, since first-call graph-compilation cost is a one-time cost not representative of steady-state inference).</w:t>
      </w:r>
    </w:p>
    <w:p>
      <w:pPr>
        <w:pStyle w:val="Heading1"/>
        <w:spacing w:after="160" w:before="320"/>
      </w:pPr>
      <w:r>
        <w:t xml:space="preserve">6. Experimental Setup and Results</w:t>
      </w:r>
    </w:p>
    <w:p>
      <w:pPr>
        <w:pBdr>
          <w:left w:val="single" w:color="C00000" w:sz="18"/>
        </w:pBdr>
        <w:spacing w:after="240" w:before="120"/>
        <w:ind w:left="200"/>
      </w:pPr>
      <w:r>
        <w:rPr>
          <w:rFonts w:ascii="Calibri" w:cs="Calibri" w:eastAsia="Calibri" w:hAnsi="Calibri"/>
          <w:i/>
          <w:iCs/>
          <w:color w:val="C00000"/>
          <w:sz w:val="20"/>
          <w:szCs w:val="20"/>
        </w:rPr>
        <w:t xml:space="preserve">The real CICIDS-2017 preprocessing pipeline was, at the time of this comparison, still being corrected for a train/test split issue (a stratified split that destroys chronological event ordering, which Stage 2's sequence model depends on). To evaluate architecture and methodology correctness in the interim, results below use a controlled synthetic dataset built to reproduce two properties already confirmed on the real preprocessing pipeline via a separate diagnostic (scripts/diagnose_separability.py): (a) feature separability — a Random Forest baseline achieved ~100% recall on Benign/DoS-DDoS directly from the real features; (b) genuine temporal clustering of attack traffic (attacks occur in contiguous bursts, not independently at random). These are software-validation results, not a substitute for the real-data experiment — re-run scripts/compare_architectures.py on the corrected real dataset for publication-ready numbers.</w:t>
      </w:r>
    </w:p>
    <w:p>
      <w:pPr>
        <w:pStyle w:val="Heading2"/>
        <w:spacing w:after="160" w:before="320"/>
      </w:pPr>
      <w:r>
        <w:t xml:space="preserve">6.1 Synthetic validation data</w:t>
      </w:r>
    </w:p>
    <w:p>
      <w:pPr>
        <w:spacing w:after="160"/>
      </w:pPr>
      <w:r>
        <w:rPr>
          <w:rFonts w:ascii="Calibri" w:cs="Calibri" w:eastAsia="Calibri" w:hAnsi="Calibri"/>
          <w:sz w:val="22"/>
          <w:szCs w:val="22"/>
        </w:rPr>
        <w:t xml:space="preserve">30,000 training / 8,000 test rows generated via a Markov process with class self-transition probability 0.97 (reproducing burst-like attack clustering) and class proportions matching real CICIDS-2017 (Benign ≈ 85.6%, DoS/DDoS ≈ 14.3%, Infiltration ≈ 0.1%, the last supplemented with several explicit short bursts to guarantee testable representation). Features are class-conditional Gaussians with mean offsets calibrated to reproduce the separability level the Random Forest diagnostic found in the real data, not an arbitrarily easy synthetic signal.</w:t>
      </w:r>
    </w:p>
    <w:p>
      <w:pPr>
        <w:pStyle w:val="Heading2"/>
        <w:spacing w:after="160" w:before="320"/>
      </w:pPr>
      <w:r>
        <w:t xml:space="preserve">6.2 Results: three-class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2F5496" w:val="clear"/>
          </w:tcPr>
          <w:p>
            <w:r>
              <w:rPr>
                <w:rFonts w:ascii="Calibri" w:cs="Calibri" w:eastAsia="Calibri" w:hAnsi="Calibri"/>
                <w:b/>
                <w:bCs/>
                <w:color w:val="FFFFFF"/>
                <w:sz w:val="20"/>
                <w:szCs w:val="20"/>
              </w:rPr>
              <w:t xml:space="preserve">Metric</w:t>
            </w:r>
          </w:p>
        </w:tc>
        <w:tc>
          <w:tcPr>
            <w:tcW w:type="dxa" w:w="2400"/>
            <w:shd w:fill="2F5496" w:val="clear"/>
          </w:tcPr>
          <w:p>
            <w:r>
              <w:rPr>
                <w:rFonts w:ascii="Calibri" w:cs="Calibri" w:eastAsia="Calibri" w:hAnsi="Calibri"/>
                <w:b/>
                <w:bCs/>
                <w:color w:val="FFFFFF"/>
                <w:sz w:val="20"/>
                <w:szCs w:val="20"/>
              </w:rPr>
              <w:t xml:space="preserve">LSTM</w:t>
            </w:r>
          </w:p>
        </w:tc>
        <w:tc>
          <w:tcPr>
            <w:tcW w:type="dxa" w:w="2400"/>
            <w:shd w:fill="2F5496" w:val="clear"/>
          </w:tcPr>
          <w:p>
            <w:r>
              <w:rPr>
                <w:rFonts w:ascii="Calibri" w:cs="Calibri" w:eastAsia="Calibri" w:hAnsi="Calibri"/>
                <w:b/>
                <w:bCs/>
                <w:color w:val="FFFFFF"/>
                <w:sz w:val="20"/>
                <w:szCs w:val="20"/>
              </w:rPr>
              <w:t xml:space="preserve">Transformer</w:t>
            </w:r>
          </w:p>
        </w:tc>
      </w:tr>
      <w:tr>
        <w:tc>
          <w:tcPr>
            <w:tcW w:type="dxa" w:w="4200"/>
          </w:tcPr>
          <w:p>
            <w:r>
              <w:rPr>
                <w:rFonts w:ascii="Calibri" w:cs="Calibri" w:eastAsia="Calibri" w:hAnsi="Calibri"/>
                <w:b w:val="false"/>
                <w:bCs w:val="false"/>
                <w:color w:val="000000"/>
                <w:sz w:val="20"/>
                <w:szCs w:val="20"/>
              </w:rPr>
              <w:t xml:space="preserve">Fidelity (Eq. 18)</w:t>
            </w:r>
          </w:p>
        </w:tc>
        <w:tc>
          <w:tcPr>
            <w:tcW w:type="dxa" w:w="2400"/>
          </w:tcPr>
          <w:p>
            <w:r>
              <w:rPr>
                <w:rFonts w:ascii="Calibri" w:cs="Calibri" w:eastAsia="Calibri" w:hAnsi="Calibri"/>
                <w:b w:val="false"/>
                <w:bCs w:val="false"/>
                <w:color w:val="000000"/>
                <w:sz w:val="20"/>
                <w:szCs w:val="20"/>
              </w:rPr>
              <w:t xml:space="preserve">0.9927</w:t>
            </w:r>
          </w:p>
        </w:tc>
        <w:tc>
          <w:tcPr>
            <w:tcW w:type="dxa" w:w="2400"/>
          </w:tcPr>
          <w:p>
            <w:r>
              <w:rPr>
                <w:rFonts w:ascii="Calibri" w:cs="Calibri" w:eastAsia="Calibri" w:hAnsi="Calibri"/>
                <w:b w:val="false"/>
                <w:bCs w:val="false"/>
                <w:color w:val="000000"/>
                <w:sz w:val="20"/>
                <w:szCs w:val="20"/>
              </w:rPr>
              <w:t xml:space="preserve">0.9927</w:t>
            </w:r>
          </w:p>
        </w:tc>
      </w:tr>
      <w:tr>
        <w:tc>
          <w:tcPr>
            <w:tcW w:type="dxa" w:w="4200"/>
          </w:tcPr>
          <w:p>
            <w:r>
              <w:rPr>
                <w:rFonts w:ascii="Calibri" w:cs="Calibri" w:eastAsia="Calibri" w:hAnsi="Calibri"/>
                <w:b w:val="false"/>
                <w:bCs w:val="false"/>
                <w:color w:val="000000"/>
                <w:sz w:val="20"/>
                <w:szCs w:val="20"/>
              </w:rPr>
              <w:t xml:space="preserve">Fairness: recall gap (lower better)</w:t>
            </w:r>
          </w:p>
        </w:tc>
        <w:tc>
          <w:tcPr>
            <w:tcW w:type="dxa" w:w="2400"/>
          </w:tcPr>
          <w:p>
            <w:r>
              <w:rPr>
                <w:rFonts w:ascii="Calibri" w:cs="Calibri" w:eastAsia="Calibri" w:hAnsi="Calibri"/>
                <w:b w:val="false"/>
                <w:bCs w:val="false"/>
                <w:color w:val="000000"/>
                <w:sz w:val="20"/>
                <w:szCs w:val="20"/>
              </w:rPr>
              <w:t xml:space="preserve">0.0626</w:t>
            </w:r>
          </w:p>
        </w:tc>
        <w:tc>
          <w:tcPr>
            <w:tcW w:type="dxa" w:w="2400"/>
          </w:tcPr>
          <w:p>
            <w:r>
              <w:rPr>
                <w:rFonts w:ascii="Calibri" w:cs="Calibri" w:eastAsia="Calibri" w:hAnsi="Calibri"/>
                <w:b w:val="false"/>
                <w:bCs w:val="false"/>
                <w:color w:val="000000"/>
                <w:sz w:val="20"/>
                <w:szCs w:val="20"/>
              </w:rPr>
              <w:t xml:space="preserve">0.0626</w:t>
            </w:r>
          </w:p>
        </w:tc>
      </w:tr>
      <w:tr>
        <w:tc>
          <w:tcPr>
            <w:tcW w:type="dxa" w:w="4200"/>
          </w:tcPr>
          <w:p>
            <w:r>
              <w:rPr>
                <w:rFonts w:ascii="Calibri" w:cs="Calibri" w:eastAsia="Calibri" w:hAnsi="Calibri"/>
                <w:b w:val="false"/>
                <w:bCs w:val="false"/>
                <w:color w:val="000000"/>
                <w:sz w:val="20"/>
                <w:szCs w:val="20"/>
              </w:rPr>
              <w:t xml:space="preserve">Fairness: equity ratio (higher better)</w:t>
            </w:r>
          </w:p>
        </w:tc>
        <w:tc>
          <w:tcPr>
            <w:tcW w:type="dxa" w:w="2400"/>
          </w:tcPr>
          <w:p>
            <w:r>
              <w:rPr>
                <w:rFonts w:ascii="Calibri" w:cs="Calibri" w:eastAsia="Calibri" w:hAnsi="Calibri"/>
                <w:b w:val="false"/>
                <w:bCs w:val="false"/>
                <w:color w:val="000000"/>
                <w:sz w:val="20"/>
                <w:szCs w:val="20"/>
              </w:rPr>
              <w:t xml:space="preserve">0.9372</w:t>
            </w:r>
          </w:p>
        </w:tc>
        <w:tc>
          <w:tcPr>
            <w:tcW w:type="dxa" w:w="2400"/>
          </w:tcPr>
          <w:p>
            <w:r>
              <w:rPr>
                <w:rFonts w:ascii="Calibri" w:cs="Calibri" w:eastAsia="Calibri" w:hAnsi="Calibri"/>
                <w:b w:val="false"/>
                <w:bCs w:val="false"/>
                <w:color w:val="000000"/>
                <w:sz w:val="20"/>
                <w:szCs w:val="20"/>
              </w:rPr>
              <w:t xml:space="preserve">0.9372</w:t>
            </w:r>
          </w:p>
        </w:tc>
      </w:tr>
      <w:tr>
        <w:tc>
          <w:tcPr>
            <w:tcW w:type="dxa" w:w="4200"/>
          </w:tcPr>
          <w:p>
            <w:r>
              <w:rPr>
                <w:rFonts w:ascii="Calibri" w:cs="Calibri" w:eastAsia="Calibri" w:hAnsi="Calibri"/>
                <w:b w:val="false"/>
                <w:bCs w:val="false"/>
                <w:color w:val="000000"/>
                <w:sz w:val="20"/>
                <w:szCs w:val="20"/>
              </w:rPr>
              <w:t xml:space="preserve">Trust: ECE (lower better)</w:t>
            </w:r>
          </w:p>
        </w:tc>
        <w:tc>
          <w:tcPr>
            <w:tcW w:type="dxa" w:w="2400"/>
          </w:tcPr>
          <w:p>
            <w:r>
              <w:rPr>
                <w:rFonts w:ascii="Calibri" w:cs="Calibri" w:eastAsia="Calibri" w:hAnsi="Calibri"/>
                <w:b w:val="false"/>
                <w:bCs w:val="false"/>
                <w:color w:val="000000"/>
                <w:sz w:val="20"/>
                <w:szCs w:val="20"/>
              </w:rPr>
              <w:t xml:space="preserve">0.1398</w:t>
            </w:r>
          </w:p>
        </w:tc>
        <w:tc>
          <w:tcPr>
            <w:tcW w:type="dxa" w:w="2400"/>
          </w:tcPr>
          <w:p>
            <w:r>
              <w:rPr>
                <w:rFonts w:ascii="Calibri" w:cs="Calibri" w:eastAsia="Calibri" w:hAnsi="Calibri"/>
                <w:b w:val="false"/>
                <w:bCs w:val="false"/>
                <w:color w:val="000000"/>
                <w:sz w:val="20"/>
                <w:szCs w:val="20"/>
              </w:rPr>
              <w:t xml:space="preserve">0.1428</w:t>
            </w:r>
          </w:p>
        </w:tc>
      </w:tr>
      <w:tr>
        <w:tc>
          <w:tcPr>
            <w:tcW w:type="dxa" w:w="4200"/>
          </w:tcPr>
          <w:p>
            <w:r>
              <w:rPr>
                <w:rFonts w:ascii="Calibri" w:cs="Calibri" w:eastAsia="Calibri" w:hAnsi="Calibri"/>
                <w:b w:val="false"/>
                <w:bCs w:val="false"/>
                <w:color w:val="000000"/>
                <w:sz w:val="20"/>
                <w:szCs w:val="20"/>
              </w:rPr>
              <w:t xml:space="preserve">Trust: prediction flip rate</w:t>
            </w:r>
          </w:p>
        </w:tc>
        <w:tc>
          <w:tcPr>
            <w:tcW w:type="dxa" w:w="2400"/>
          </w:tcPr>
          <w:p>
            <w:r>
              <w:rPr>
                <w:rFonts w:ascii="Calibri" w:cs="Calibri" w:eastAsia="Calibri" w:hAnsi="Calibri"/>
                <w:b w:val="false"/>
                <w:bCs w:val="false"/>
                <w:color w:val="000000"/>
                <w:sz w:val="20"/>
                <w:szCs w:val="20"/>
              </w:rPr>
              <w:t xml:space="preserve">0.0000</w:t>
            </w:r>
          </w:p>
        </w:tc>
        <w:tc>
          <w:tcPr>
            <w:tcW w:type="dxa" w:w="2400"/>
          </w:tcPr>
          <w:p>
            <w:r>
              <w:rPr>
                <w:rFonts w:ascii="Calibri" w:cs="Calibri" w:eastAsia="Calibri" w:hAnsi="Calibri"/>
                <w:b w:val="false"/>
                <w:bCs w:val="false"/>
                <w:color w:val="000000"/>
                <w:sz w:val="20"/>
                <w:szCs w:val="20"/>
              </w:rPr>
              <w:t xml:space="preserve">0.0000</w:t>
            </w:r>
          </w:p>
        </w:tc>
      </w:tr>
      <w:tr>
        <w:tc>
          <w:tcPr>
            <w:tcW w:type="dxa" w:w="4200"/>
          </w:tcPr>
          <w:p>
            <w:r>
              <w:rPr>
                <w:rFonts w:ascii="Calibri" w:cs="Calibri" w:eastAsia="Calibri" w:hAnsi="Calibri"/>
                <w:b w:val="false"/>
                <w:bCs w:val="false"/>
                <w:color w:val="000000"/>
                <w:sz w:val="20"/>
                <w:szCs w:val="20"/>
              </w:rPr>
              <w:t xml:space="preserve">Trust: attention entropy (normalized)</w:t>
            </w:r>
          </w:p>
        </w:tc>
        <w:tc>
          <w:tcPr>
            <w:tcW w:type="dxa" w:w="2400"/>
          </w:tcPr>
          <w:p>
            <w:r>
              <w:rPr>
                <w:rFonts w:ascii="Calibri" w:cs="Calibri" w:eastAsia="Calibri" w:hAnsi="Calibri"/>
                <w:b w:val="false"/>
                <w:bCs w:val="false"/>
                <w:color w:val="000000"/>
                <w:sz w:val="20"/>
                <w:szCs w:val="20"/>
              </w:rPr>
              <w:t xml:space="preserve">n/a</w:t>
            </w:r>
          </w:p>
        </w:tc>
        <w:tc>
          <w:tcPr>
            <w:tcW w:type="dxa" w:w="2400"/>
          </w:tcPr>
          <w:p>
            <w:r>
              <w:rPr>
                <w:rFonts w:ascii="Calibri" w:cs="Calibri" w:eastAsia="Calibri" w:hAnsi="Calibri"/>
                <w:b w:val="false"/>
                <w:bCs w:val="false"/>
                <w:color w:val="000000"/>
                <w:sz w:val="20"/>
                <w:szCs w:val="20"/>
              </w:rPr>
              <w:t xml:space="preserve">0.9379</w:t>
            </w:r>
          </w:p>
        </w:tc>
      </w:tr>
      <w:tr>
        <w:tc>
          <w:tcPr>
            <w:tcW w:type="dxa" w:w="4200"/>
          </w:tcPr>
          <w:p>
            <w:r>
              <w:rPr>
                <w:rFonts w:ascii="Calibri" w:cs="Calibri" w:eastAsia="Calibri" w:hAnsi="Calibri"/>
                <w:b w:val="false"/>
                <w:bCs w:val="false"/>
                <w:color w:val="000000"/>
                <w:sz w:val="20"/>
                <w:szCs w:val="20"/>
              </w:rPr>
              <w:t xml:space="preserve">Energy: training time (s)</w:t>
            </w:r>
          </w:p>
        </w:tc>
        <w:tc>
          <w:tcPr>
            <w:tcW w:type="dxa" w:w="2400"/>
          </w:tcPr>
          <w:p>
            <w:r>
              <w:rPr>
                <w:rFonts w:ascii="Calibri" w:cs="Calibri" w:eastAsia="Calibri" w:hAnsi="Calibri"/>
                <w:b w:val="false"/>
                <w:bCs w:val="false"/>
                <w:color w:val="000000"/>
                <w:sz w:val="20"/>
                <w:szCs w:val="20"/>
              </w:rPr>
              <w:t xml:space="preserve">47.4</w:t>
            </w:r>
          </w:p>
        </w:tc>
        <w:tc>
          <w:tcPr>
            <w:tcW w:type="dxa" w:w="2400"/>
          </w:tcPr>
          <w:p>
            <w:r>
              <w:rPr>
                <w:rFonts w:ascii="Calibri" w:cs="Calibri" w:eastAsia="Calibri" w:hAnsi="Calibri"/>
                <w:b w:val="false"/>
                <w:bCs w:val="false"/>
                <w:color w:val="000000"/>
                <w:sz w:val="20"/>
                <w:szCs w:val="20"/>
              </w:rPr>
              <w:t xml:space="preserve">84.3</w:t>
            </w:r>
          </w:p>
        </w:tc>
      </w:tr>
      <w:tr>
        <w:tc>
          <w:tcPr>
            <w:tcW w:type="dxa" w:w="4200"/>
          </w:tcPr>
          <w:p>
            <w:r>
              <w:rPr>
                <w:rFonts w:ascii="Calibri" w:cs="Calibri" w:eastAsia="Calibri" w:hAnsi="Calibri"/>
                <w:b w:val="false"/>
                <w:bCs w:val="false"/>
                <w:color w:val="000000"/>
                <w:sz w:val="20"/>
                <w:szCs w:val="20"/>
              </w:rPr>
              <w:t xml:space="preserve">Energy: estimated training energy (kWh)</w:t>
            </w:r>
          </w:p>
        </w:tc>
        <w:tc>
          <w:tcPr>
            <w:tcW w:type="dxa" w:w="2400"/>
          </w:tcPr>
          <w:p>
            <w:r>
              <w:rPr>
                <w:rFonts w:ascii="Calibri" w:cs="Calibri" w:eastAsia="Calibri" w:hAnsi="Calibri"/>
                <w:b w:val="false"/>
                <w:bCs w:val="false"/>
                <w:color w:val="000000"/>
                <w:sz w:val="20"/>
                <w:szCs w:val="20"/>
              </w:rPr>
              <w:t xml:space="preserve">0.000145</w:t>
            </w:r>
          </w:p>
        </w:tc>
        <w:tc>
          <w:tcPr>
            <w:tcW w:type="dxa" w:w="2400"/>
          </w:tcPr>
          <w:p>
            <w:r>
              <w:rPr>
                <w:rFonts w:ascii="Calibri" w:cs="Calibri" w:eastAsia="Calibri" w:hAnsi="Calibri"/>
                <w:b w:val="false"/>
                <w:bCs w:val="false"/>
                <w:color w:val="000000"/>
                <w:sz w:val="20"/>
                <w:szCs w:val="20"/>
              </w:rPr>
              <w:t xml:space="preserve">0.000264</w:t>
            </w:r>
          </w:p>
        </w:tc>
      </w:tr>
      <w:tr>
        <w:tc>
          <w:tcPr>
            <w:tcW w:type="dxa" w:w="4200"/>
          </w:tcPr>
          <w:p>
            <w:r>
              <w:rPr>
                <w:rFonts w:ascii="Calibri" w:cs="Calibri" w:eastAsia="Calibri" w:hAnsi="Calibri"/>
                <w:b w:val="false"/>
                <w:bCs w:val="false"/>
                <w:color w:val="000000"/>
                <w:sz w:val="20"/>
                <w:szCs w:val="20"/>
              </w:rPr>
              <w:t xml:space="preserve">Energy: inference latency (ms/call)</w:t>
            </w:r>
          </w:p>
        </w:tc>
        <w:tc>
          <w:tcPr>
            <w:tcW w:type="dxa" w:w="2400"/>
          </w:tcPr>
          <w:p>
            <w:r>
              <w:rPr>
                <w:rFonts w:ascii="Calibri" w:cs="Calibri" w:eastAsia="Calibri" w:hAnsi="Calibri"/>
                <w:b w:val="false"/>
                <w:bCs w:val="false"/>
                <w:color w:val="000000"/>
                <w:sz w:val="20"/>
                <w:szCs w:val="20"/>
              </w:rPr>
              <w:t xml:space="preserve">1.264</w:t>
            </w:r>
          </w:p>
        </w:tc>
        <w:tc>
          <w:tcPr>
            <w:tcW w:type="dxa" w:w="2400"/>
          </w:tcPr>
          <w:p>
            <w:r>
              <w:rPr>
                <w:rFonts w:ascii="Calibri" w:cs="Calibri" w:eastAsia="Calibri" w:hAnsi="Calibri"/>
                <w:b w:val="false"/>
                <w:bCs w:val="false"/>
                <w:color w:val="000000"/>
                <w:sz w:val="20"/>
                <w:szCs w:val="20"/>
              </w:rPr>
              <w:t xml:space="preserve">1.452</w:t>
            </w:r>
          </w:p>
        </w:tc>
      </w:tr>
      <w:tr>
        <w:tc>
          <w:tcPr>
            <w:tcW w:type="dxa" w:w="4200"/>
          </w:tcPr>
          <w:p>
            <w:r>
              <w:rPr>
                <w:rFonts w:ascii="Calibri" w:cs="Calibri" w:eastAsia="Calibri" w:hAnsi="Calibri"/>
                <w:b w:val="false"/>
                <w:bCs w:val="false"/>
                <w:color w:val="000000"/>
                <w:sz w:val="20"/>
                <w:szCs w:val="20"/>
              </w:rPr>
              <w:t xml:space="preserve">Model size (trainable params)</w:t>
            </w:r>
          </w:p>
        </w:tc>
        <w:tc>
          <w:tcPr>
            <w:tcW w:type="dxa" w:w="2400"/>
          </w:tcPr>
          <w:p>
            <w:r>
              <w:rPr>
                <w:rFonts w:ascii="Calibri" w:cs="Calibri" w:eastAsia="Calibri" w:hAnsi="Calibri"/>
                <w:b w:val="false"/>
                <w:bCs w:val="false"/>
                <w:color w:val="000000"/>
                <w:sz w:val="20"/>
                <w:szCs w:val="20"/>
              </w:rPr>
              <w:t xml:space="preserve">27,107</w:t>
            </w:r>
          </w:p>
        </w:tc>
        <w:tc>
          <w:tcPr>
            <w:tcW w:type="dxa" w:w="2400"/>
          </w:tcPr>
          <w:p>
            <w:r>
              <w:rPr>
                <w:rFonts w:ascii="Calibri" w:cs="Calibri" w:eastAsia="Calibri" w:hAnsi="Calibri"/>
                <w:b w:val="false"/>
                <w:bCs w:val="false"/>
                <w:color w:val="000000"/>
                <w:sz w:val="20"/>
                <w:szCs w:val="20"/>
              </w:rPr>
              <w:t xml:space="preserve">26,979</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Interpretation: fidelity and class fairness are statistically tied — both architectures learned the same underlying event-transition structure equally well at this scale. Calibration is marginally in the LSTM's favor here (dataset-dependent; the two-class variant tested during development showed the opposite direction by a similar margin, so this should not be read as a systematic effect without further runs). The LSTM trained faster and used less estimated energy. The Transformer's distinguishing contribution is the attention-entropy signal (0.938, fairly diffuse but not uniform), which is simply unavailable from the LSTM baseline.</w:t>
      </w:r>
    </w:p>
    <w:p>
      <w:pPr>
        <w:pStyle w:val="Heading1"/>
        <w:spacing w:after="160" w:before="320"/>
      </w:pPr>
      <w:r>
        <w:t xml:space="preserve">7. Limitations</w:t>
      </w:r>
    </w:p>
    <w:p>
      <w:pPr>
        <w:pStyle w:val="ListParagraph"/>
        <w:numPr>
          <w:ilvl w:val="0"/>
          <w:numId w:val="2"/>
        </w:numPr>
        <w:spacing w:after="100"/>
      </w:pPr>
      <w:r>
        <w:rPr>
          <w:rFonts w:ascii="Calibri" w:cs="Calibri" w:eastAsia="Calibri" w:hAnsi="Calibri"/>
          <w:sz w:val="22"/>
          <w:szCs w:val="22"/>
        </w:rPr>
        <w:t xml:space="preserve">Results in Section 6 are from synthetic validation data, not the real CICIDS-2017 experiment; treat as a methodology/correctness check, not a publication-ready result.</w:t>
      </w:r>
    </w:p>
    <w:p>
      <w:pPr>
        <w:pStyle w:val="ListParagraph"/>
        <w:numPr>
          <w:ilvl w:val="0"/>
          <w:numId w:val="2"/>
        </w:numPr>
        <w:spacing w:after="100"/>
      </w:pPr>
      <w:r>
        <w:rPr>
          <w:rFonts w:ascii="Calibri" w:cs="Calibri" w:eastAsia="Calibri" w:hAnsi="Calibri"/>
          <w:sz w:val="22"/>
          <w:szCs w:val="22"/>
        </w:rPr>
        <w:t xml:space="preserve">Energy estimates depend on CodeCarbon's ability to read the host machine's hardware power counters; on systems without RAPL/NVML access, the fallback wall-clock estimate is materially less precise and should be reported as such.</w:t>
      </w:r>
    </w:p>
    <w:p>
      <w:pPr>
        <w:pStyle w:val="ListParagraph"/>
        <w:numPr>
          <w:ilvl w:val="0"/>
          <w:numId w:val="2"/>
        </w:numPr>
        <w:spacing w:after="100"/>
      </w:pPr>
      <w:r>
        <w:rPr>
          <w:rFonts w:ascii="Calibri" w:cs="Calibri" w:eastAsia="Calibri" w:hAnsi="Calibri"/>
          <w:sz w:val="22"/>
          <w:szCs w:val="22"/>
        </w:rPr>
        <w:t xml:space="preserve">Attention entropy characterizes concentration, not correctness — a peaked attention distribution is more inspectable but is not independent evidence the prediction itself is accurate.</w:t>
      </w:r>
    </w:p>
    <w:p>
      <w:pPr>
        <w:pStyle w:val="ListParagraph"/>
        <w:numPr>
          <w:ilvl w:val="0"/>
          <w:numId w:val="2"/>
        </w:numPr>
        <w:spacing w:after="100"/>
      </w:pPr>
      <w:r>
        <w:rPr>
          <w:rFonts w:ascii="Calibri" w:cs="Calibri" w:eastAsia="Calibri" w:hAnsi="Calibri"/>
          <w:sz w:val="22"/>
          <w:szCs w:val="22"/>
        </w:rPr>
        <w:t xml:space="preserve">The efficiency comparison (Section 4.1) is CPU-only and specific to L=10; conclusions about relative training cost should not be generalized to GPU execution or longer sequence lengths without separate measurement.</w:t>
      </w:r>
    </w:p>
    <w:p>
      <w:pPr>
        <w:pStyle w:val="ListParagraph"/>
        <w:numPr>
          <w:ilvl w:val="0"/>
          <w:numId w:val="2"/>
        </w:numPr>
        <w:spacing w:after="100"/>
      </w:pPr>
      <w:r>
        <w:rPr>
          <w:rFonts w:ascii="Calibri" w:cs="Calibri" w:eastAsia="Calibri" w:hAnsi="Calibri"/>
          <w:sz w:val="22"/>
          <w:szCs w:val="22"/>
        </w:rPr>
        <w:t xml:space="preserve">Node-fairness (Section 5.1) requires per-node DSR data from a completed RL training run; it is defined and implemented (src/metrics.py) but not yet populated with results from a full 10,000-episode run.</w:t>
      </w:r>
    </w:p>
    <w:p>
      <w:pPr>
        <w:pStyle w:val="Heading1"/>
        <w:spacing w:after="160" w:before="320"/>
      </w:pPr>
      <w:r>
        <w:t xml:space="preserve">8. Reproducibility</w:t>
      </w:r>
    </w:p>
    <w:p>
      <w:pPr>
        <w:spacing w:after="160"/>
      </w:pPr>
      <w:r>
        <w:rPr>
          <w:rFonts w:ascii="Calibri" w:cs="Calibri" w:eastAsia="Calibri" w:hAnsi="Calibri"/>
          <w:sz w:val="22"/>
          <w:szCs w:val="22"/>
        </w:rPr>
        <w:t xml:space="preserve">All code referenced is in the project repository. Architecture: src/models.py (TransformerAttackPredictor, LSTMAttackPredictor). Evaluation metrics: src/metrics.py. Comparison harness: scripts/compare_architectures.py. Configuration (all hyperparameters in Sections 3 and 6.1): config/config.yaml (transformer:, lstm:, evaluation: sections). Predictor selection is a single config field (predictor_type: "transformer" | "lstm") so the comparison is a controlled, single-variable change with every other pipeline component (Stage-1 classifier, data split, class weighting, random seed) held identical between conditions.</w:t>
      </w:r>
    </w:p>
    <w:p>
      <w:pPr>
        <w:pStyle w:val="Heading1"/>
        <w:spacing w:after="160" w:before="320"/>
      </w:pPr>
      <w:r>
        <w:t xml:space="preserve">References</w:t>
      </w:r>
    </w:p>
    <w:p>
      <w:pPr>
        <w:spacing w:after="100"/>
      </w:pPr>
      <w:r>
        <w:rPr>
          <w:rFonts w:ascii="Calibri" w:cs="Calibri" w:eastAsia="Calibri" w:hAnsi="Calibri"/>
          <w:sz w:val="22"/>
          <w:szCs w:val="22"/>
        </w:rPr>
        <w:t xml:space="preserve">Courty, B., et al. (2024). CodeCarbon: Estimate and track carbon emissions from machine learning computing. mlco2/codecarbon.</w:t>
      </w:r>
    </w:p>
    <w:p>
      <w:pPr>
        <w:spacing w:after="100"/>
      </w:pPr>
      <w:r>
        <w:rPr>
          <w:rFonts w:ascii="Calibri" w:cs="Calibri" w:eastAsia="Calibri" w:hAnsi="Calibri"/>
          <w:sz w:val="22"/>
          <w:szCs w:val="22"/>
        </w:rPr>
        <w:t xml:space="preserve">Guo, C., Pleiss, G., Sun, Y., &amp; Weinberger, K. Q. (2017). On calibration of modern neural networks. Proceedings of the 34th International Conference on Machine Learning (ICML).</w:t>
      </w:r>
    </w:p>
    <w:p>
      <w:pPr>
        <w:spacing w:after="100"/>
      </w:pPr>
      <w:r>
        <w:rPr>
          <w:rFonts w:ascii="Calibri" w:cs="Calibri" w:eastAsia="Calibri" w:hAnsi="Calibri"/>
          <w:sz w:val="22"/>
          <w:szCs w:val="22"/>
        </w:rPr>
        <w:t xml:space="preserve">Jain, R., Chiu, D., &amp; Hawe, W. (1984). A quantitative measure of fairness and discrimination for resource allocation in shared computer systems. DEC Research Report TR-301.</w:t>
      </w:r>
    </w:p>
    <w:p>
      <w:pPr>
        <w:spacing w:after="100"/>
      </w:pPr>
      <w:r>
        <w:rPr>
          <w:rFonts w:ascii="Calibri" w:cs="Calibri" w:eastAsia="Calibri" w:hAnsi="Calibri"/>
          <w:sz w:val="22"/>
          <w:szCs w:val="22"/>
        </w:rPr>
        <w:t xml:space="preserve">Jain, S., &amp; Wallace, B. C. (2019). Attention is not explanation. Proceedings of NAACL-HLT 2019.</w:t>
      </w:r>
    </w:p>
    <w:p>
      <w:pPr>
        <w:spacing w:after="100"/>
      </w:pPr>
      <w:r>
        <w:rPr>
          <w:rFonts w:ascii="Calibri" w:cs="Calibri" w:eastAsia="Calibri" w:hAnsi="Calibri"/>
          <w:sz w:val="22"/>
          <w:szCs w:val="22"/>
        </w:rPr>
        <w:t xml:space="preserve">Lin, T.-Y., Goyal, P., Girshick, R., He, K., &amp; Dollár, P. (2017). Focal loss for dense object detection. Proceedings of the IEEE International Conference on Computer Vision (ICCV).</w:t>
      </w:r>
    </w:p>
    <w:p>
      <w:pPr>
        <w:spacing w:after="100"/>
      </w:pPr>
      <w:r>
        <w:rPr>
          <w:rFonts w:ascii="Calibri" w:cs="Calibri" w:eastAsia="Calibri" w:hAnsi="Calibri"/>
          <w:sz w:val="22"/>
          <w:szCs w:val="22"/>
        </w:rPr>
        <w:t xml:space="preserve">Vaswani, A., et al. (2017). Attention is all you need. Advances in Neural Information Processing Systems (NeurIPS).</w:t>
      </w:r>
    </w:p>
    <w:p>
      <w:pPr>
        <w:spacing w:after="100"/>
      </w:pPr>
      <w:r>
        <w:rPr>
          <w:rFonts w:ascii="Calibri" w:cs="Calibri" w:eastAsia="Calibri" w:hAnsi="Calibri"/>
          <w:sz w:val="22"/>
          <w:szCs w:val="22"/>
        </w:rPr>
        <w:t xml:space="preserve">Zhang, T., Xu, C., Lian, Y., Tian, H., Kang, J., Kuang, X., &amp; Niyato, D. (2023). When moving target defense meets attack prediction in digital twins: A convolutional and hierarchical reinforcement learning approach. IEEE Journal on Selected Areas in Communications, 41(10), 3293–3305.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2026-08-03T09:09:22.821Z</dcterms:created>
  <dcterms:modified xsi:type="dcterms:W3CDTF">2026-08-03T09:09:22.834Z</dcterms:modified>
</cp:coreProperties>
</file>

<file path=docProps/custom.xml><?xml version="1.0" encoding="utf-8"?>
<Properties xmlns="http://schemas.openxmlformats.org/officeDocument/2006/custom-properties" xmlns:vt="http://schemas.openxmlformats.org/officeDocument/2006/docPropsVTypes"/>
</file>